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339725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360045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color w:val="auto"/>
        </w:rPr>
        <w:t>_____________________________________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6"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color w:val="auto"/>
        </w:rPr>
        <w:t>_____________________________________</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24" w:lineRule="exact"/>
        <w:rPr>
          <w:sz w:val="24"/>
          <w:szCs w:val="24"/>
          <w:color w:val="auto"/>
        </w:rPr>
      </w:pPr>
    </w:p>
    <w:p>
      <w:pPr>
        <w:ind w:left="460" w:hanging="441"/>
        <w:spacing w:after="0"/>
        <w:tabs>
          <w:tab w:leader="none" w:pos="460" w:val="left"/>
        </w:tabs>
        <w:numPr>
          <w:ilvl w:val="0"/>
          <w:numId w:val="1"/>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7" w:lineRule="exact"/>
        <w:rPr>
          <w:sz w:val="24"/>
          <w:szCs w:val="24"/>
          <w:color w:val="auto"/>
        </w:rPr>
      </w:pPr>
    </w:p>
    <w:p>
      <w:pPr>
        <w:ind w:left="460" w:hanging="441"/>
        <w:spacing w:after="0"/>
        <w:tabs>
          <w:tab w:leader="none" w:pos="460" w:val="left"/>
        </w:tabs>
        <w:numPr>
          <w:ilvl w:val="0"/>
          <w:numId w:val="2"/>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440"/>
        <w:spacing w:after="0"/>
        <w:tabs>
          <w:tab w:leader="none" w:pos="758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ectPr>
          <w:pgSz w:w="11900" w:h="16838" w:orient="portrait"/>
          <w:cols w:equalWidth="0" w:num="1">
            <w:col w:w="11280"/>
          </w:cols>
          <w:pgMar w:left="300" w:top="208" w:right="319" w:bottom="1440" w:gutter="0" w:footer="0" w:header="0"/>
        </w:sectPr>
      </w:pPr>
    </w:p>
    <w:p>
      <w:pPr>
        <w:spacing w:after="0" w:line="46" w:lineRule="exact"/>
        <w:rPr>
          <w:sz w:val="24"/>
          <w:szCs w:val="24"/>
          <w:color w:val="auto"/>
        </w:rPr>
      </w:pPr>
    </w:p>
    <w:p>
      <w:pPr>
        <w:jc w:val="center"/>
        <w:ind w:left="3920"/>
        <w:spacing w:after="0"/>
        <w:rPr>
          <w:sz w:val="20"/>
          <w:szCs w:val="20"/>
          <w:color w:val="auto"/>
        </w:rPr>
      </w:pPr>
      <w:r>
        <w:rPr>
          <w:rFonts w:ascii="Times New Roman" w:cs="Times New Roman" w:eastAsia="Times New Roman" w:hAnsi="Times New Roman"/>
          <w:sz w:val="14"/>
          <w:szCs w:val="14"/>
          <w:b w:val="1"/>
          <w:bCs w:val="1"/>
          <w:color w:val="auto"/>
        </w:rPr>
        <w:t>Commission File Number 001-39567</w:t>
      </w:r>
    </w:p>
    <w:p>
      <w:pPr>
        <w:spacing w:after="0" w:line="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color w:val="auto"/>
        </w:rPr>
        <w:t>_____________________________________</w:t>
      </w:r>
    </w:p>
    <w:p>
      <w:pPr>
        <w:spacing w:after="0" w:line="9" w:lineRule="exact"/>
        <w:rPr>
          <w:sz w:val="24"/>
          <w:szCs w:val="24"/>
          <w:color w:val="auto"/>
        </w:rPr>
      </w:pPr>
    </w:p>
    <w:p>
      <w:pPr>
        <w:jc w:val="center"/>
        <w:ind w:left="3920"/>
        <w:spacing w:after="0"/>
        <w:rPr>
          <w:sz w:val="20"/>
          <w:szCs w:val="20"/>
          <w:color w:val="auto"/>
        </w:rPr>
      </w:pPr>
      <w:r>
        <w:rPr>
          <w:rFonts w:ascii="Times New Roman" w:cs="Times New Roman" w:eastAsia="Times New Roman" w:hAnsi="Times New Roman"/>
          <w:sz w:val="28"/>
          <w:szCs w:val="28"/>
          <w:b w:val="1"/>
          <w:bCs w:val="1"/>
          <w:color w:val="auto"/>
        </w:rPr>
        <w:t>C4 Therapeutics, Inc.</w:t>
      </w:r>
    </w:p>
    <w:p>
      <w:pPr>
        <w:spacing w:after="0" w:line="19" w:lineRule="exact"/>
        <w:rPr>
          <w:sz w:val="24"/>
          <w:szCs w:val="24"/>
          <w:color w:val="auto"/>
        </w:rPr>
      </w:pPr>
    </w:p>
    <w:p>
      <w:pPr>
        <w:jc w:val="center"/>
        <w:ind w:left="39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7"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color w:val="auto"/>
        </w:rPr>
        <w:t>_____________________________________</w:t>
      </w:r>
    </w:p>
    <w:p>
      <w:pPr>
        <w:spacing w:after="0" w:line="35"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4"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ind w:left="2180"/>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47-5617627</w:t>
      </w:r>
    </w:p>
    <w:p>
      <w:pPr>
        <w:spacing w:after="0" w:line="7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5" w:lineRule="exact"/>
        <w:rPr>
          <w:sz w:val="24"/>
          <w:szCs w:val="24"/>
          <w:color w:val="auto"/>
        </w:rPr>
      </w:pPr>
    </w:p>
    <w:p>
      <w:pPr>
        <w:sectPr>
          <w:pgSz w:w="11900" w:h="16838" w:orient="portrait"/>
          <w:cols w:equalWidth="0" w:num="2">
            <w:col w:w="7360" w:space="720"/>
            <w:col w:w="3200"/>
          </w:cols>
          <w:pgMar w:left="300" w:top="208" w:right="319" w:bottom="1440" w:gutter="0" w:footer="0" w:header="0"/>
          <w:type w:val="continuous"/>
        </w:sectPr>
      </w:pPr>
    </w:p>
    <w:tbl>
      <w:tblPr>
        <w:tblLayout w:type="fixed"/>
        <w:tblInd w:w="2000" w:type="dxa"/>
        <w:tblCellMar>
          <w:top w:w="0" w:type="dxa"/>
          <w:left w:w="0" w:type="dxa"/>
          <w:bottom w:w="0" w:type="dxa"/>
          <w:right w:w="0" w:type="dxa"/>
        </w:tblCellMar>
      </w:tblPr>
      <w:tr>
        <w:trPr>
          <w:trHeight w:val="161"/>
        </w:trPr>
        <w:tc>
          <w:tcPr>
            <w:tcW w:w="5960" w:type="dxa"/>
            <w:vAlign w:val="bottom"/>
          </w:tcPr>
          <w:p>
            <w:pPr>
              <w:jc w:val="center"/>
              <w:ind w:right="4234"/>
              <w:spacing w:after="0"/>
              <w:rPr>
                <w:sz w:val="20"/>
                <w:szCs w:val="20"/>
                <w:color w:val="auto"/>
              </w:rPr>
            </w:pPr>
            <w:r>
              <w:rPr>
                <w:rFonts w:ascii="Times New Roman" w:cs="Times New Roman" w:eastAsia="Times New Roman" w:hAnsi="Times New Roman"/>
                <w:sz w:val="14"/>
                <w:szCs w:val="14"/>
                <w:b w:val="1"/>
                <w:bCs w:val="1"/>
                <w:color w:val="auto"/>
              </w:rPr>
              <w:t>490 Arsenal Way, Suite 120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02472</w:t>
            </w:r>
          </w:p>
        </w:tc>
        <w:tc>
          <w:tcPr>
            <w:tcW w:w="0" w:type="dxa"/>
            <w:vAlign w:val="bottom"/>
          </w:tcPr>
          <w:p>
            <w:pPr>
              <w:spacing w:after="0"/>
              <w:rPr>
                <w:sz w:val="1"/>
                <w:szCs w:val="1"/>
                <w:color w:val="auto"/>
              </w:rPr>
            </w:pPr>
          </w:p>
        </w:tc>
      </w:tr>
      <w:tr>
        <w:trPr>
          <w:trHeight w:val="186"/>
        </w:trPr>
        <w:tc>
          <w:tcPr>
            <w:tcW w:w="5960" w:type="dxa"/>
            <w:vAlign w:val="bottom"/>
          </w:tcPr>
          <w:p>
            <w:pPr>
              <w:jc w:val="center"/>
              <w:ind w:right="4234"/>
              <w:spacing w:after="0"/>
              <w:rPr>
                <w:sz w:val="20"/>
                <w:szCs w:val="20"/>
                <w:color w:val="auto"/>
              </w:rPr>
            </w:pPr>
            <w:r>
              <w:rPr>
                <w:rFonts w:ascii="Times New Roman" w:cs="Times New Roman" w:eastAsia="Times New Roman" w:hAnsi="Times New Roman"/>
                <w:sz w:val="14"/>
                <w:szCs w:val="14"/>
                <w:b w:val="1"/>
                <w:bCs w:val="1"/>
                <w:color w:val="auto"/>
                <w:w w:val="99"/>
              </w:rPr>
              <w:t>Watertown, MA</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5960" w:type="dxa"/>
            <w:vAlign w:val="bottom"/>
          </w:tcPr>
          <w:p>
            <w:pPr>
              <w:jc w:val="center"/>
              <w:ind w:right="4254"/>
              <w:spacing w:after="0"/>
              <w:rPr>
                <w:sz w:val="20"/>
                <w:szCs w:val="20"/>
                <w:color w:val="auto"/>
              </w:rPr>
            </w:pPr>
            <w:r>
              <w:rPr>
                <w:rFonts w:ascii="Times New Roman" w:cs="Times New Roman" w:eastAsia="Times New Roman" w:hAnsi="Times New Roman"/>
                <w:sz w:val="10"/>
                <w:szCs w:val="10"/>
                <w:b w:val="1"/>
                <w:bCs w:val="1"/>
                <w:color w:val="auto"/>
                <w:w w:val="99"/>
              </w:rPr>
              <w:t>(Address of principal executive offices)</w:t>
            </w:r>
          </w:p>
        </w:tc>
        <w:tc>
          <w:tcPr>
            <w:tcW w:w="740" w:type="dxa"/>
            <w:vAlign w:val="bottom"/>
          </w:tcPr>
          <w:p>
            <w:pPr>
              <w:jc w:val="center"/>
              <w:ind w:left="220"/>
              <w:spacing w:after="0"/>
              <w:rPr>
                <w:sz w:val="20"/>
                <w:szCs w:val="20"/>
                <w:color w:val="auto"/>
              </w:rPr>
            </w:pPr>
            <w:r>
              <w:rPr>
                <w:rFonts w:ascii="Times New Roman" w:cs="Times New Roman" w:eastAsia="Times New Roman" w:hAnsi="Times New Roman"/>
                <w:sz w:val="10"/>
                <w:szCs w:val="10"/>
                <w:b w:val="1"/>
                <w:bCs w:val="1"/>
                <w:color w:val="auto"/>
                <w:w w:val="99"/>
              </w:rPr>
              <w:t>(Zip Code)</w:t>
            </w:r>
          </w:p>
        </w:tc>
        <w:tc>
          <w:tcPr>
            <w:tcW w:w="0" w:type="dxa"/>
            <w:vAlign w:val="bottom"/>
          </w:tcPr>
          <w:p>
            <w:pPr>
              <w:spacing w:after="0"/>
              <w:rPr>
                <w:sz w:val="1"/>
                <w:szCs w:val="1"/>
                <w:color w:val="auto"/>
              </w:rPr>
            </w:pPr>
          </w:p>
        </w:tc>
      </w:tr>
      <w:tr>
        <w:trPr>
          <w:trHeight w:val="252"/>
        </w:trPr>
        <w:tc>
          <w:tcPr>
            <w:tcW w:w="5960" w:type="dxa"/>
            <w:vAlign w:val="bottom"/>
          </w:tcPr>
          <w:p>
            <w:pPr>
              <w:jc w:val="center"/>
              <w:ind w:left="127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(617) 231-0700</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960" w:type="dxa"/>
            <w:vAlign w:val="bottom"/>
          </w:tcPr>
          <w:p>
            <w:pPr>
              <w:jc w:val="right"/>
              <w:ind w:right="934"/>
              <w:spacing w:after="0"/>
              <w:rPr>
                <w:sz w:val="20"/>
                <w:szCs w:val="20"/>
                <w:color w:val="auto"/>
              </w:rPr>
            </w:pPr>
            <w:r>
              <w:rPr>
                <w:rFonts w:ascii="Times New Roman" w:cs="Times New Roman" w:eastAsia="Times New Roman" w:hAnsi="Times New Roman"/>
                <w:sz w:val="14"/>
                <w:szCs w:val="14"/>
                <w:color w:val="auto"/>
              </w:rPr>
              <w:t>_____________________________________</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3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vMerge w:val="restart"/>
          </w:tcPr>
          <w:p>
            <w:pPr>
              <w:spacing w:after="0"/>
              <w:rPr>
                <w:sz w:val="11"/>
                <w:szCs w:val="11"/>
                <w:color w:val="auto"/>
              </w:rPr>
            </w:pPr>
          </w:p>
        </w:tc>
        <w:tc>
          <w:tcPr>
            <w:tcW w:w="32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Trading</w:t>
            </w:r>
          </w:p>
        </w:tc>
        <w:tc>
          <w:tcPr>
            <w:tcW w:w="3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53"/>
        </w:trPr>
        <w:tc>
          <w:tcPr>
            <w:tcW w:w="396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3"/>
                <w:szCs w:val="13"/>
                <w:color w:val="auto"/>
              </w:rPr>
            </w:pPr>
          </w:p>
        </w:tc>
        <w:tc>
          <w:tcPr>
            <w:tcW w:w="3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Common Stock, $0.0001 par value per share</w:t>
            </w:r>
          </w:p>
        </w:tc>
        <w:tc>
          <w:tcPr>
            <w:tcW w:w="32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CCCC</w:t>
            </w:r>
          </w:p>
        </w:tc>
        <w:tc>
          <w:tcPr>
            <w:tcW w:w="3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The Nasdaq Global Select Market</w:t>
            </w:r>
          </w:p>
        </w:tc>
        <w:tc>
          <w:tcPr>
            <w:tcW w:w="0" w:type="dxa"/>
            <w:vAlign w:val="bottom"/>
          </w:tcPr>
          <w:p>
            <w:pPr>
              <w:spacing w:after="0"/>
              <w:rPr>
                <w:sz w:val="1"/>
                <w:szCs w:val="1"/>
                <w:color w:val="auto"/>
              </w:rPr>
            </w:pPr>
          </w:p>
        </w:tc>
      </w:tr>
      <w:tr>
        <w:trPr>
          <w:trHeight w:val="217"/>
        </w:trPr>
        <w:tc>
          <w:tcPr>
            <w:tcW w:w="3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 xml:space="preserve">Securities registered pursuant to Section 12(g) of the Act: </w:t>
            </w:r>
            <w:r>
              <w:rPr>
                <w:rFonts w:ascii="Times New Roman" w:cs="Times New Roman" w:eastAsia="Times New Roman" w:hAnsi="Times New Roman"/>
                <w:sz w:val="11"/>
                <w:szCs w:val="11"/>
                <w:b w:val="1"/>
                <w:bCs w:val="1"/>
                <w:color w:val="auto"/>
              </w:rPr>
              <w:t>None</w:t>
            </w: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_____________________________________</w:t>
            </w:r>
          </w:p>
        </w:tc>
        <w:tc>
          <w:tcPr>
            <w:tcW w:w="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right="5300"/>
        <w:spacing w:after="0" w:line="342" w:lineRule="auto"/>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Indicate by check mark if the Registrant is not required to file reports pursuant to Section 13 or 15(d) of the Act. 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x</w:t>
      </w:r>
    </w:p>
    <w:p>
      <w:pPr>
        <w:ind w:right="60"/>
        <w:spacing w:after="0" w:line="312"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o</w:t>
      </w:r>
    </w:p>
    <w:p>
      <w:pPr>
        <w:ind w:right="120"/>
        <w:spacing w:after="0" w:line="301"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o</w:t>
      </w:r>
    </w:p>
    <w:p>
      <w:pPr>
        <w:spacing w:after="0" w:line="1" w:lineRule="exact"/>
        <w:rPr>
          <w:sz w:val="24"/>
          <w:szCs w:val="24"/>
          <w:color w:val="auto"/>
        </w:rPr>
      </w:pPr>
    </w:p>
    <w:p>
      <w:pPr>
        <w:ind w:right="220"/>
        <w:spacing w:after="0" w:line="30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20" w:type="dxa"/>
        <w:tblCellMar>
          <w:top w:w="0" w:type="dxa"/>
          <w:left w:w="0" w:type="dxa"/>
          <w:bottom w:w="0" w:type="dxa"/>
          <w:right w:w="0" w:type="dxa"/>
        </w:tblCellMar>
      </w:tblPr>
      <w:tr>
        <w:trPr>
          <w:trHeight w:val="147"/>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820" w:type="dxa"/>
            <w:vAlign w:val="bottom"/>
          </w:tcPr>
          <w:p>
            <w:pPr>
              <w:ind w:left="460"/>
              <w:spacing w:after="0"/>
              <w:rPr>
                <w:sz w:val="20"/>
                <w:szCs w:val="20"/>
                <w:color w:val="auto"/>
              </w:rPr>
            </w:pPr>
            <w:r>
              <w:rPr>
                <w:rFonts w:ascii="Wingdings" w:cs="Wingdings" w:eastAsia="Wingdings" w:hAnsi="Wingdings"/>
                <w:sz w:val="11"/>
                <w:szCs w:val="11"/>
                <w:b w:val="1"/>
                <w:bCs w:val="1"/>
                <w:color w:val="auto"/>
              </w:rPr>
              <w:t>o</w:t>
            </w:r>
          </w:p>
        </w:tc>
        <w:tc>
          <w:tcPr>
            <w:tcW w:w="4940" w:type="dxa"/>
            <w:vAlign w:val="bottom"/>
          </w:tcPr>
          <w:p>
            <w:pPr>
              <w:ind w:left="3240"/>
              <w:spacing w:after="0"/>
              <w:rPr>
                <w:sz w:val="20"/>
                <w:szCs w:val="20"/>
                <w:color w:val="auto"/>
              </w:rPr>
            </w:pPr>
            <w:r>
              <w:rPr>
                <w:rFonts w:ascii="Times New Roman" w:cs="Times New Roman" w:eastAsia="Times New Roman" w:hAnsi="Times New Roman"/>
                <w:sz w:val="11"/>
                <w:szCs w:val="11"/>
                <w:color w:val="auto"/>
              </w:rPr>
              <w:t>Accelerated filer</w:t>
            </w:r>
          </w:p>
        </w:tc>
        <w:tc>
          <w:tcPr>
            <w:tcW w:w="580" w:type="dxa"/>
            <w:vAlign w:val="bottom"/>
          </w:tcPr>
          <w:p>
            <w:pPr>
              <w:ind w:left="460"/>
              <w:spacing w:after="0"/>
              <w:rPr>
                <w:sz w:val="20"/>
                <w:szCs w:val="20"/>
                <w:color w:val="auto"/>
              </w:rPr>
            </w:pPr>
            <w:r>
              <w:rPr>
                <w:rFonts w:ascii="Wingdings" w:cs="Wingdings" w:eastAsia="Wingdings" w:hAnsi="Wingdings"/>
                <w:sz w:val="11"/>
                <w:szCs w:val="11"/>
                <w:b w:val="1"/>
                <w:bCs w:val="1"/>
                <w:color w:val="auto"/>
              </w:rPr>
              <w:t>o</w:t>
            </w:r>
          </w:p>
        </w:tc>
      </w:tr>
      <w:tr>
        <w:trPr>
          <w:trHeight w:val="170"/>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820" w:type="dxa"/>
            <w:vAlign w:val="bottom"/>
          </w:tcPr>
          <w:p>
            <w:pPr>
              <w:ind w:left="460"/>
              <w:spacing w:after="0"/>
              <w:rPr>
                <w:sz w:val="20"/>
                <w:szCs w:val="20"/>
                <w:color w:val="auto"/>
              </w:rPr>
            </w:pPr>
            <w:r>
              <w:rPr>
                <w:rFonts w:ascii="Wingdings" w:cs="Wingdings" w:eastAsia="Wingdings" w:hAnsi="Wingdings"/>
                <w:sz w:val="11"/>
                <w:szCs w:val="11"/>
                <w:b w:val="1"/>
                <w:bCs w:val="1"/>
                <w:color w:val="auto"/>
              </w:rPr>
              <w:t>x</w:t>
            </w:r>
          </w:p>
        </w:tc>
        <w:tc>
          <w:tcPr>
            <w:tcW w:w="4940" w:type="dxa"/>
            <w:vAlign w:val="bottom"/>
          </w:tcPr>
          <w:p>
            <w:pPr>
              <w:ind w:left="324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580" w:type="dxa"/>
            <w:vAlign w:val="bottom"/>
          </w:tcPr>
          <w:p>
            <w:pPr>
              <w:ind w:left="460"/>
              <w:spacing w:after="0"/>
              <w:rPr>
                <w:sz w:val="20"/>
                <w:szCs w:val="20"/>
                <w:color w:val="auto"/>
              </w:rPr>
            </w:pPr>
            <w:r>
              <w:rPr>
                <w:rFonts w:ascii="Wingdings" w:cs="Wingdings" w:eastAsia="Wingdings" w:hAnsi="Wingdings"/>
                <w:sz w:val="11"/>
                <w:szCs w:val="11"/>
                <w:b w:val="1"/>
                <w:bCs w:val="1"/>
                <w:color w:val="auto"/>
                <w:w w:val="85"/>
              </w:rPr>
              <w:t>x</w:t>
            </w:r>
          </w:p>
        </w:tc>
      </w:tr>
      <w:tr>
        <w:trPr>
          <w:trHeight w:val="170"/>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Emerging growth company</w:t>
            </w:r>
          </w:p>
        </w:tc>
        <w:tc>
          <w:tcPr>
            <w:tcW w:w="3820" w:type="dxa"/>
            <w:vAlign w:val="bottom"/>
          </w:tcPr>
          <w:p>
            <w:pPr>
              <w:ind w:left="460"/>
              <w:spacing w:after="0"/>
              <w:rPr>
                <w:sz w:val="20"/>
                <w:szCs w:val="20"/>
                <w:color w:val="auto"/>
              </w:rPr>
            </w:pPr>
            <w:r>
              <w:rPr>
                <w:rFonts w:ascii="Wingdings" w:cs="Wingdings" w:eastAsia="Wingdings" w:hAnsi="Wingdings"/>
                <w:sz w:val="11"/>
                <w:szCs w:val="11"/>
                <w:b w:val="1"/>
                <w:bCs w:val="1"/>
                <w:color w:val="auto"/>
              </w:rPr>
              <w:t>o</w:t>
            </w:r>
          </w:p>
        </w:tc>
        <w:tc>
          <w:tcPr>
            <w:tcW w:w="494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spacing w:after="0" w:line="118" w:lineRule="exact"/>
        <w:rPr>
          <w:sz w:val="24"/>
          <w:szCs w:val="24"/>
          <w:color w:val="auto"/>
        </w:rPr>
      </w:pPr>
    </w:p>
    <w:p>
      <w:pPr>
        <w:ind w:right="80"/>
        <w:spacing w:after="0" w:line="300" w:lineRule="auto"/>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1"/>
          <w:szCs w:val="11"/>
          <w:b w:val="1"/>
          <w:bCs w:val="1"/>
          <w:color w:val="auto"/>
        </w:rPr>
        <w:t>o</w:t>
      </w:r>
    </w:p>
    <w:p>
      <w:pPr>
        <w:spacing w:after="0" w:line="2" w:lineRule="exact"/>
        <w:rPr>
          <w:sz w:val="24"/>
          <w:szCs w:val="24"/>
          <w:color w:val="auto"/>
        </w:rPr>
      </w:pPr>
    </w:p>
    <w:p>
      <w:pPr>
        <w:ind w:right="420"/>
        <w:spacing w:after="0" w:line="320"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1"/>
          <w:szCs w:val="11"/>
          <w:b w:val="1"/>
          <w:bCs w:val="1"/>
          <w:color w:val="auto"/>
        </w:rPr>
        <w:t>o</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1"/>
          <w:szCs w:val="11"/>
          <w:b w:val="1"/>
          <w:bCs w:val="1"/>
          <w:color w:val="auto"/>
        </w:rPr>
        <w:t>o</w:t>
      </w:r>
    </w:p>
    <w:p>
      <w:pPr>
        <w:spacing w:after="0" w:line="54" w:lineRule="exact"/>
        <w:rPr>
          <w:sz w:val="24"/>
          <w:szCs w:val="24"/>
          <w:color w:val="auto"/>
        </w:rPr>
      </w:pPr>
    </w:p>
    <w:p>
      <w:pPr>
        <w:ind w:right="140"/>
        <w:spacing w:after="0" w:line="300" w:lineRule="auto"/>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1"/>
          <w:szCs w:val="11"/>
          <w:b w:val="1"/>
          <w:bCs w:val="1"/>
          <w:color w:val="auto"/>
        </w:rPr>
        <w:t>o</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1"/>
          <w:szCs w:val="11"/>
          <w:b w:val="1"/>
          <w:bCs w:val="1"/>
          <w:color w:val="auto"/>
        </w:rPr>
        <w:t>o</w:t>
      </w:r>
    </w:p>
    <w:p>
      <w:pPr>
        <w:spacing w:after="0" w:line="20" w:lineRule="exact"/>
        <w:rPr>
          <w:sz w:val="24"/>
          <w:szCs w:val="24"/>
          <w:color w:val="auto"/>
        </w:rPr>
      </w:pPr>
    </w:p>
    <w:p>
      <w:pPr>
        <w:ind w:right="140"/>
        <w:spacing w:after="0" w:line="283" w:lineRule="auto"/>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1"/>
          <w:szCs w:val="11"/>
          <w:b w:val="1"/>
          <w:bCs w:val="1"/>
          <w:color w:val="auto"/>
        </w:rPr>
        <w:t>o</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x</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aggregate market value of the voting and non-voting common equity held by non-affiliates of the Registrant, based on the closing price of the shares of common stock on The NASDAQ Stock Market on June 30, 2024, was $306,036,742.</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number of shares of Registrant’s Common Stock outstanding as of February 20, 2025 was 70,989,661.</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DOCUMENTS INCORPORATED BY REFERENCE</w:t>
      </w:r>
    </w:p>
    <w:p>
      <w:pPr>
        <w:spacing w:after="0" w:line="54" w:lineRule="exact"/>
        <w:rPr>
          <w:sz w:val="24"/>
          <w:szCs w:val="24"/>
          <w:color w:val="auto"/>
        </w:rPr>
      </w:pPr>
    </w:p>
    <w:p>
      <w:pPr>
        <w:ind w:right="380"/>
        <w:spacing w:after="0" w:line="280" w:lineRule="auto"/>
        <w:rPr>
          <w:sz w:val="20"/>
          <w:szCs w:val="20"/>
          <w:color w:val="auto"/>
        </w:rPr>
      </w:pPr>
      <w:r>
        <w:rPr>
          <w:rFonts w:ascii="Times New Roman" w:cs="Times New Roman" w:eastAsia="Times New Roman" w:hAnsi="Times New Roman"/>
          <w:sz w:val="11"/>
          <w:szCs w:val="11"/>
          <w:color w:val="auto"/>
        </w:rPr>
        <w:t>Portions of the registrant’s definitive proxy statement for its 2025 Annual Meeting of Stockholders to be filed pursuant to Regulation 14A within 120 days of the end of the registrant’s fiscal year ended December 31, 2024 are incorporated by reference into Part III of this Annual Report on Form 10-K to the extent stated herein.</w:t>
      </w:r>
    </w:p>
    <w:p>
      <w:pPr>
        <w:spacing w:after="0" w:line="55" w:lineRule="exact"/>
        <w:rPr>
          <w:sz w:val="24"/>
          <w:szCs w:val="24"/>
          <w:color w:val="auto"/>
        </w:rPr>
      </w:pPr>
    </w:p>
    <w:p>
      <w:pPr>
        <w:ind w:left="1400"/>
        <w:spacing w:after="0"/>
        <w:tabs>
          <w:tab w:leader="none" w:pos="5000" w:val="left"/>
          <w:tab w:leader="none" w:pos="8360" w:val="left"/>
        </w:tabs>
        <w:rPr>
          <w:sz w:val="20"/>
          <w:szCs w:val="20"/>
          <w:color w:val="auto"/>
        </w:rPr>
      </w:pPr>
      <w:r>
        <w:rPr>
          <w:rFonts w:ascii="Times New Roman" w:cs="Times New Roman" w:eastAsia="Times New Roman" w:hAnsi="Times New Roman"/>
          <w:sz w:val="11"/>
          <w:szCs w:val="11"/>
          <w:color w:val="auto"/>
        </w:rPr>
        <w:t>Auditor Firm ID: 185</w:t>
      </w:r>
      <w:r>
        <w:rPr>
          <w:sz w:val="20"/>
          <w:szCs w:val="20"/>
          <w:color w:val="auto"/>
        </w:rPr>
        <w:tab/>
      </w:r>
      <w:r>
        <w:rPr>
          <w:rFonts w:ascii="Times New Roman" w:cs="Times New Roman" w:eastAsia="Times New Roman" w:hAnsi="Times New Roman"/>
          <w:sz w:val="11"/>
          <w:szCs w:val="11"/>
          <w:color w:val="auto"/>
        </w:rPr>
        <w:t>Auditor Name: KPMG LLP</w:t>
      </w:r>
      <w:r>
        <w:rPr>
          <w:sz w:val="20"/>
          <w:szCs w:val="20"/>
          <w:color w:val="auto"/>
        </w:rPr>
        <w:tab/>
      </w:r>
      <w:r>
        <w:rPr>
          <w:rFonts w:ascii="Times New Roman" w:cs="Times New Roman" w:eastAsia="Times New Roman" w:hAnsi="Times New Roman"/>
          <w:sz w:val="11"/>
          <w:szCs w:val="11"/>
          <w:color w:val="auto"/>
        </w:rPr>
        <w:t>Auditor Location: Boston, MA,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672465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153035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173355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8"/>
        </w:trPr>
        <w:tc>
          <w:tcPr>
            <w:tcW w:w="10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2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7"/>
        </w:trPr>
        <w:tc>
          <w:tcPr>
            <w:tcW w:w="116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Item 1.</w:t>
            </w:r>
          </w:p>
        </w:tc>
        <w:tc>
          <w:tcPr>
            <w:tcW w:w="8980" w:type="dxa"/>
            <w:vAlign w:val="bottom"/>
            <w:gridSpan w:val="21"/>
          </w:tcPr>
          <w:p>
            <w:pPr>
              <w:spacing w:after="0" w:line="153" w:lineRule="exact"/>
              <w:rPr>
                <w:sz w:val="20"/>
                <w:szCs w:val="20"/>
                <w:color w:val="auto"/>
              </w:rPr>
            </w:pPr>
            <w:r>
              <w:rPr>
                <w:rFonts w:ascii="Times New Roman" w:cs="Times New Roman" w:eastAsia="Times New Roman" w:hAnsi="Times New Roman"/>
                <w:sz w:val="14"/>
                <w:szCs w:val="14"/>
                <w:color w:val="0000FF"/>
              </w:rPr>
              <w:t>Business</w:t>
            </w: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8260" w:type="dxa"/>
            <w:vAlign w:val="bottom"/>
            <w:gridSpan w:val="18"/>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1B.</w:t>
            </w:r>
          </w:p>
        </w:tc>
        <w:tc>
          <w:tcPr>
            <w:tcW w:w="16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7360" w:type="dxa"/>
            <w:vAlign w:val="bottom"/>
            <w:gridSpan w:val="12"/>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88"/>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1C.</w:t>
            </w:r>
          </w:p>
        </w:tc>
        <w:tc>
          <w:tcPr>
            <w:tcW w:w="898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Cybersecurity</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53"/>
        </w:trPr>
        <w:tc>
          <w:tcPr>
            <w:tcW w:w="11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Item 2.</w:t>
            </w:r>
          </w:p>
        </w:tc>
        <w:tc>
          <w:tcPr>
            <w:tcW w:w="580" w:type="dxa"/>
            <w:vAlign w:val="bottom"/>
            <w:tcBorders>
              <w:bottom w:val="single" w:sz="8" w:color="0000FF"/>
            </w:tcBorders>
            <w:gridSpan w:val="2"/>
          </w:tcPr>
          <w:p>
            <w:pPr>
              <w:spacing w:after="0" w:line="153" w:lineRule="exact"/>
              <w:rPr>
                <w:sz w:val="20"/>
                <w:szCs w:val="20"/>
                <w:color w:val="auto"/>
              </w:rPr>
            </w:pPr>
            <w:r>
              <w:rPr>
                <w:rFonts w:ascii="Times New Roman" w:cs="Times New Roman" w:eastAsia="Times New Roman" w:hAnsi="Times New Roman"/>
                <w:sz w:val="14"/>
                <w:szCs w:val="14"/>
                <w:color w:val="0000FF"/>
                <w:w w:val="98"/>
              </w:rPr>
              <w:t>Properties</w:t>
            </w:r>
          </w:p>
        </w:tc>
        <w:tc>
          <w:tcPr>
            <w:tcW w:w="8400" w:type="dxa"/>
            <w:vAlign w:val="bottom"/>
            <w:gridSpan w:val="19"/>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1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7920" w:type="dxa"/>
            <w:vAlign w:val="bottom"/>
            <w:gridSpan w:val="16"/>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89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305"/>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1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Item 5.</w:t>
            </w:r>
          </w:p>
        </w:tc>
        <w:tc>
          <w:tcPr>
            <w:tcW w:w="8980" w:type="dxa"/>
            <w:vAlign w:val="bottom"/>
            <w:gridSpan w:val="21"/>
          </w:tcPr>
          <w:p>
            <w:pPr>
              <w:spacing w:after="0" w:line="153" w:lineRule="exact"/>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88"/>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6.</w:t>
            </w:r>
          </w:p>
        </w:tc>
        <w:tc>
          <w:tcPr>
            <w:tcW w:w="634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auto"/>
              </w:rPr>
              <w:t>[Reserved]</w:t>
            </w:r>
          </w:p>
        </w:tc>
        <w:tc>
          <w:tcPr>
            <w:tcW w:w="26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53"/>
        </w:trPr>
        <w:tc>
          <w:tcPr>
            <w:tcW w:w="11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Item 7.</w:t>
            </w:r>
          </w:p>
        </w:tc>
        <w:tc>
          <w:tcPr>
            <w:tcW w:w="5080" w:type="dxa"/>
            <w:vAlign w:val="bottom"/>
            <w:tcBorders>
              <w:bottom w:val="single" w:sz="8" w:color="0000FF"/>
            </w:tcBorders>
            <w:gridSpan w:val="17"/>
          </w:tcPr>
          <w:p>
            <w:pPr>
              <w:spacing w:after="0" w:line="153"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3900" w:type="dxa"/>
            <w:vAlign w:val="bottom"/>
            <w:gridSpan w:val="4"/>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7A.</w:t>
            </w:r>
          </w:p>
        </w:tc>
        <w:tc>
          <w:tcPr>
            <w:tcW w:w="89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8.</w:t>
            </w:r>
          </w:p>
        </w:tc>
        <w:tc>
          <w:tcPr>
            <w:tcW w:w="34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5560" w:type="dxa"/>
            <w:vAlign w:val="bottom"/>
            <w:gridSpan w:val="7"/>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9.</w:t>
            </w:r>
          </w:p>
        </w:tc>
        <w:tc>
          <w:tcPr>
            <w:tcW w:w="51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3880" w:type="dxa"/>
            <w:vAlign w:val="bottom"/>
            <w:gridSpan w:val="3"/>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9A.</w:t>
            </w:r>
          </w:p>
        </w:tc>
        <w:tc>
          <w:tcPr>
            <w:tcW w:w="14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7580" w:type="dxa"/>
            <w:vAlign w:val="bottom"/>
            <w:gridSpan w:val="14"/>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9B.</w:t>
            </w:r>
          </w:p>
        </w:tc>
        <w:tc>
          <w:tcPr>
            <w:tcW w:w="10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7940" w:type="dxa"/>
            <w:vAlign w:val="bottom"/>
            <w:gridSpan w:val="17"/>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9C.</w:t>
            </w:r>
          </w:p>
        </w:tc>
        <w:tc>
          <w:tcPr>
            <w:tcW w:w="89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305"/>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1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Item 10.</w:t>
            </w:r>
          </w:p>
        </w:tc>
        <w:tc>
          <w:tcPr>
            <w:tcW w:w="8980" w:type="dxa"/>
            <w:vAlign w:val="bottom"/>
            <w:gridSpan w:val="21"/>
          </w:tcPr>
          <w:p>
            <w:pPr>
              <w:spacing w:after="0" w:line="153" w:lineRule="exact"/>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11.</w:t>
            </w:r>
          </w:p>
        </w:tc>
        <w:tc>
          <w:tcPr>
            <w:tcW w:w="32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5760" w:type="dxa"/>
            <w:vAlign w:val="bottom"/>
            <w:gridSpan w:val="8"/>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12.</w:t>
            </w:r>
          </w:p>
        </w:tc>
        <w:tc>
          <w:tcPr>
            <w:tcW w:w="57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3240" w:type="dxa"/>
            <w:vAlign w:val="bottom"/>
            <w:gridSpan w:val="2"/>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13.</w:t>
            </w:r>
          </w:p>
        </w:tc>
        <w:tc>
          <w:tcPr>
            <w:tcW w:w="89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14.</w:t>
            </w:r>
          </w:p>
        </w:tc>
        <w:tc>
          <w:tcPr>
            <w:tcW w:w="42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Principal Accounting Fees and Services</w:t>
            </w:r>
          </w:p>
        </w:tc>
        <w:tc>
          <w:tcPr>
            <w:tcW w:w="4700" w:type="dxa"/>
            <w:vAlign w:val="bottom"/>
            <w:gridSpan w:val="5"/>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305"/>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1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Item 15.</w:t>
            </w:r>
          </w:p>
        </w:tc>
        <w:tc>
          <w:tcPr>
            <w:tcW w:w="8980" w:type="dxa"/>
            <w:vAlign w:val="bottom"/>
            <w:gridSpan w:val="21"/>
          </w:tcPr>
          <w:p>
            <w:pPr>
              <w:spacing w:after="0" w:line="153" w:lineRule="exact"/>
              <w:rPr>
                <w:sz w:val="20"/>
                <w:szCs w:val="20"/>
                <w:color w:val="auto"/>
              </w:rPr>
            </w:pPr>
            <w:r>
              <w:rPr>
                <w:rFonts w:ascii="Times New Roman" w:cs="Times New Roman" w:eastAsia="Times New Roman" w:hAnsi="Times New Roman"/>
                <w:sz w:val="14"/>
                <w:szCs w:val="14"/>
                <w:color w:val="0000FF"/>
              </w:rPr>
              <w:t>Exhibits, Financial Statement Schedules</w:t>
            </w: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16</w:t>
            </w:r>
          </w:p>
        </w:tc>
        <w:tc>
          <w:tcPr>
            <w:tcW w:w="22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Form 10-K Summary</w:t>
            </w:r>
          </w:p>
        </w:tc>
        <w:tc>
          <w:tcPr>
            <w:tcW w:w="6700" w:type="dxa"/>
            <w:vAlign w:val="bottom"/>
            <w:gridSpan w:val="10"/>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This Annual Report on Form 10-K, or Form 10-K, including the section entitled “Management’s Discussion and Analysis of Financial Condition and Results of Operations,”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Form 10-K may include, but are not limited to, statements about:</w:t>
      </w:r>
    </w:p>
    <w:p>
      <w:pPr>
        <w:spacing w:after="0" w:line="58" w:lineRule="exact"/>
        <w:rPr>
          <w:sz w:val="20"/>
          <w:szCs w:val="20"/>
          <w:color w:val="auto"/>
        </w:rPr>
      </w:pPr>
    </w:p>
    <w:p>
      <w:pPr>
        <w:jc w:val="both"/>
        <w:ind w:left="640" w:hanging="317"/>
        <w:spacing w:after="0" w:line="270" w:lineRule="auto"/>
        <w:tabs>
          <w:tab w:leader="none" w:pos="63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results, safety and efficacy, and cost of our research and development programs and our current and future preclinical studies and clinical trials, including statements regarding the timing of initiation and completion of studies or trials, the period during which the results of the trials will become available, and our research and development programs;</w:t>
      </w:r>
    </w:p>
    <w:p>
      <w:pPr>
        <w:spacing w:after="0" w:line="50"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funding for our operations necessary to complete further development, manufacturing and commercialization of our product candidates;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regulatory approval for any of our current or future product candidates;</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of time over which we anticipate our existing cash and cash equivalents, and marketable securities will be sufficient to fund our operating expenses and capital expenditure requirements;</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develop product candidates for treatment of additional disease indications;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attributes and benefits of our product candidates;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and clinical utility for any product candidates we may develop;</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pricing and reimbursement of our product candidates, if approved, including the possibility for reduced pricing of our products, once approved, if they are later subject to mandatory price negotiation with the Centers for Medicare and Medicaid Services under the Inflation Reduction Act of 2022 or other applicable laws;</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competition with respect to any of our current or future product candidates, as well as innovations by current and future competitors in our industry;</w:t>
      </w:r>
    </w:p>
    <w:p>
      <w:pPr>
        <w:spacing w:after="0" w:line="90"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strategic plans for our business, any product candidates we may develop, and our TORPEDO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platform;</w:t>
      </w:r>
    </w:p>
    <w:p>
      <w:pPr>
        <w:spacing w:after="0" w:line="50" w:lineRule="exact"/>
        <w:rPr>
          <w:rFonts w:ascii="Times New Roman" w:cs="Times New Roman" w:eastAsia="Times New Roman" w:hAnsi="Times New Roman"/>
          <w:sz w:val="14"/>
          <w:szCs w:val="14"/>
          <w:color w:val="auto"/>
        </w:rPr>
      </w:pPr>
    </w:p>
    <w:p>
      <w:pPr>
        <w:jc w:val="both"/>
        <w:ind w:left="640" w:hanging="317"/>
        <w:spacing w:after="0" w:line="270" w:lineRule="auto"/>
        <w:tabs>
          <w:tab w:leader="none" w:pos="63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and willingness of our third-party strategic collaborators to continue research, development, and manufacturing activities relating to our product candidates, including our ability to advance programs under our existing collaboration agreements with F. Hoffmann-La Roche Ltd and Hoffmann-La Roche Inc., or Roche, Betta Pharmaceuticals, Co., Ltd., or Betta Pharma, Merck Sharp &amp; Dohme, LLC, or Merck, and Merck KGaA, Darmstadt, Germany, or MKDG, or other new collaboration agreements;</w:t>
      </w:r>
    </w:p>
    <w:p>
      <w:pPr>
        <w:spacing w:after="0" w:line="50"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 covering our product candidates;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our future expenses, revenues, capital requirements, and our needs for additional financing;</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agreements with third parties in connection with the manufacturing and commercialization of our product candidates, if approved;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markets for our product candidates and our ability to serve those markets;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United States and foreign countries;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contract with third-party suppliers and manufacturers and their ability to perform adequately;</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competing therapies that are or may become available;</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scientific or management personnel;</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including those discussed in Part I, Item 1A - Risk Factors in this Form 10-K.</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some cases, forward-looking statements can be identified by terminology such as “will,” “may,” “should,” “could,” “expects,” “intends,” “plans,” “aims,” “anticipates,” “believes,” “estimates,” “predicts,” “potential,” “continue,” or the negative of these terms or other comparable terminology, although not all forward-looking statements contain these words.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and elsewhere in this Form 10-K. If one or more of these risks or uncertainties occur, or if our underlying assumptions prove to be incorrect, actual events or results may vary significantly from those expressed or implied by the forward-looking statements. No forward-looking statement is a promise or a guarantee of future performance.</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forward-looking statements in this Form 10-K represent our views as of the date of this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Form 10-K.</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This Form 10-K may include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We have not independently verified the information contained in such sources.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ability to implement our business strategy is subject to numerous risks that you should be aware of before making an investment decision. These risks are described more fully in Part I, Item 1A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Risk Factors in this Form 10-K. These risks include, among others:</w:t>
      </w:r>
    </w:p>
    <w:p>
      <w:pPr>
        <w:spacing w:after="0" w:line="79" w:lineRule="exact"/>
        <w:rPr>
          <w:sz w:val="20"/>
          <w:szCs w:val="20"/>
          <w:color w:val="auto"/>
        </w:rPr>
      </w:pPr>
    </w:p>
    <w:p>
      <w:pPr>
        <w:jc w:val="both"/>
        <w:ind w:left="640" w:hanging="317"/>
        <w:spacing w:after="0" w:line="270"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 clinical-stage biopharmaceutical company with a limited operating history and have incurred significant losses since our inception. To date, we have not generated any revenue from product sales. We expect to continue to incur significant expenses and increasing operating losses for at least the next several years and may never achieve or maintain profitability. Our net loss was $105.3 million and $132.5 million for the years ended December 31, 2024 and 2023, respectively.</w:t>
      </w:r>
    </w:p>
    <w:p>
      <w:pPr>
        <w:spacing w:after="0" w:line="50"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need substantial additional funding to pursue our business objectives and continue our operations. If we are unable to raise capital when needed, we may be required to delay, limit, reduce or terminate our research or product development programs or future commercialization efforts.</w:t>
      </w:r>
    </w:p>
    <w:p>
      <w:pPr>
        <w:spacing w:after="0" w:line="39"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approach to the discovery and development of product candidates based on our TORPEDO platform is unproven, which makes it difficult to predict the time, cost and likelihood of successfully developing any products.</w:t>
      </w:r>
    </w:p>
    <w:p>
      <w:pPr>
        <w:spacing w:after="0" w:line="39" w:lineRule="exact"/>
        <w:rPr>
          <w:rFonts w:ascii="Times New Roman" w:cs="Times New Roman" w:eastAsia="Times New Roman" w:hAnsi="Times New Roman"/>
          <w:sz w:val="14"/>
          <w:szCs w:val="14"/>
          <w:color w:val="auto"/>
        </w:rPr>
      </w:pPr>
    </w:p>
    <w:p>
      <w:pPr>
        <w:jc w:val="both"/>
        <w:ind w:left="640" w:hanging="317"/>
        <w:spacing w:after="0" w:line="270"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we are a clinical-stage company and have commenced clinical trials of several product candidates, we have never completed a clinical trial of any of our product candidates. Our business could be harmed if we are unable to develop, obtain regulatory approval for and/or commercialize our product candidates, or if we experience significant delays in doing any of these things.</w:t>
      </w:r>
    </w:p>
    <w:p>
      <w:pPr>
        <w:spacing w:after="0" w:line="50"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cannot be certain of the timely completion or outcome of our preclinical testing and clinical trials. In addition, the results of preclinical studies may not be predictive of the results of clinical trials and the results of any early-stage clinical trials we commence may not be predictive of the results of later-stage clinical trials.</w:t>
      </w:r>
    </w:p>
    <w:p>
      <w:pPr>
        <w:spacing w:after="0" w:line="39"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preclinical studies and clinical trials may fail to demonstrate adequately the safety and efficacy of any of our product candidates, which would prevent, delay, or require additional research or analysis to proceed with development, regulatory approval, and commercialization of our current and future product candidates.</w:t>
      </w:r>
    </w:p>
    <w:p>
      <w:pPr>
        <w:spacing w:after="0" w:line="39" w:lineRule="exact"/>
        <w:rPr>
          <w:rFonts w:ascii="Times New Roman" w:cs="Times New Roman" w:eastAsia="Times New Roman" w:hAnsi="Times New Roman"/>
          <w:sz w:val="14"/>
          <w:szCs w:val="14"/>
          <w:color w:val="auto"/>
        </w:rPr>
      </w:pPr>
    </w:p>
    <w:p>
      <w:pPr>
        <w:jc w:val="both"/>
        <w:ind w:left="640" w:hanging="317"/>
        <w:spacing w:after="0" w:line="270"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ongoing collaboration agreements with Roche, Betta Pharma, Merck, and MKDG, as well as collaboration agreements with Biogen MA, Inc., or Biogen and Calico, whose research terms expired on June 30, 2023 and March 13, 2023, respectively. We may also seek to enter into additional collaborations in the future with third parties for the development and/or commercialization of certain of our product candidates. However, we may never realize the full potential benefits under these existing or potential collaboration arrangements.</w:t>
      </w:r>
    </w:p>
    <w:p>
      <w:pPr>
        <w:spacing w:after="0" w:line="50"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substantial competition, which may result in others discovering, developing or commercializing products for the same indication and/or patient population before or more successfully than we do.</w:t>
      </w:r>
    </w:p>
    <w:p>
      <w:pPr>
        <w:spacing w:after="0" w:line="39" w:lineRule="exact"/>
        <w:rPr>
          <w:rFonts w:ascii="Times New Roman" w:cs="Times New Roman" w:eastAsia="Times New Roman" w:hAnsi="Times New Roman"/>
          <w:sz w:val="14"/>
          <w:szCs w:val="14"/>
          <w:color w:val="auto"/>
        </w:rPr>
      </w:pPr>
    </w:p>
    <w:p>
      <w:pPr>
        <w:jc w:val="both"/>
        <w:ind w:left="640" w:hanging="317"/>
        <w:spacing w:after="0" w:line="270"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and expect to continue to rely, on third parties for the manufacture of our product candidates for preclinical and clinical testing, as well as for commercial manufacture if any of our product candidates receive marketing approval. This reliance on third parties may increase the risk that we will not have sufficient quantities of our product candidates in a timely manner, or at an acceptable cost or quality.</w:t>
      </w:r>
    </w:p>
    <w:p>
      <w:pPr>
        <w:spacing w:after="0" w:line="50"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obtain required marketing approvals for, commercialize, manufacture, obtain, and maintain patent protection for or gain market acceptance of our product candidates, or if we experience significant delays in doing so, our business will be materially harmed and our ability to generate revenue from product sales will be materially impaired.</w:t>
      </w:r>
    </w:p>
    <w:p>
      <w:pPr>
        <w:spacing w:after="0" w:line="39" w:lineRule="exact"/>
        <w:rPr>
          <w:rFonts w:ascii="Times New Roman" w:cs="Times New Roman" w:eastAsia="Times New Roman" w:hAnsi="Times New Roman"/>
          <w:sz w:val="14"/>
          <w:szCs w:val="14"/>
          <w:color w:val="auto"/>
        </w:rPr>
      </w:pPr>
    </w:p>
    <w:p>
      <w:pPr>
        <w:jc w:val="both"/>
        <w:ind w:left="640" w:hanging="317"/>
        <w:spacing w:after="0" w:line="270"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obtain and maintain patent protection for our technology and products or if the scope of the patent protection obtained is not sufficiently broad or enforceable, our competitors could develop and commercialize technology, product candidates, and products similar or identical to ours, and our ability to successfully commercialize our technology, product candidates, and products may be impaired.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REGARDING COMPANY REFERENCES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the context otherwise requires, the terms “C4 Therapeutics,” “the Company,” “we,” “us,” and “our” in this Form 10-K refer to C4 Therapeutics, Inc. and its consolidated subsidiary.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REGARDING TRADEMARKS</w:t>
      </w:r>
    </w:p>
    <w:p>
      <w:pPr>
        <w:spacing w:after="0" w:line="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 xml:space="preserve">We own or have rights to various trademarks, service marks, and trade names that are used in connection with the operation of our business, including our company name, C4 Therapeutics, our logo, the name of our TORPEDO technology platform and the names of our BIDAC and MONODAC protein degrader product candidates. This Form 10-K may also contain trademarks, service marks, and trade names of third parties, which are the property of their respective owners. Our use or display of third parties’ trademarks, service marks, trade names or products in this prospectus is not intended to and does not imply a relationship with, or endorsement or sponsorship by us. Solely for convenience, the trademarks, service marks, and trade names referred to in this prospectus may appear without the ®, </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8"/>
          <w:szCs w:val="18"/>
          <w:color w:val="auto"/>
          <w:vertAlign w:val="superscript"/>
        </w:rPr>
        <w:t>SM</w:t>
      </w:r>
      <w:r>
        <w:rPr>
          <w:rFonts w:ascii="Times New Roman" w:cs="Times New Roman" w:eastAsia="Times New Roman" w:hAnsi="Times New Roman"/>
          <w:sz w:val="14"/>
          <w:szCs w:val="14"/>
          <w:color w:val="auto"/>
        </w:rPr>
        <w:t xml:space="preserve"> symbols, but the omission of such references is not intended to indicate, in any way, that we will not assert, to the fullest extent under applicable law, our rights or the right of the applicable owner of these trademarks, service marks, and trade names.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are a clinical-stage biopharmaceutical company dedicated to delivering on the promise of targeted protein degradation, or TPD, science to create a new generation of small-molecule medicines that transform patients’ lives. By leveraging our proprietary TORPEDO platform, we have the capability to efficiently design and optimize small molecule protein degraders that are highly active against their desired targets by harnessing the body’s natural process for destroying unwanted proteins. Our degrader approaches are focused on bringing the E3 ligase in close enough proximity to the disease-causing protein, so that the E3 ligase can “tag” it for destruction. We have the capability to design two different types of protein degraders depending on the target. The first type are MonoDAC degraders, which function by binding to E3 ligases and creating a new surface on the E3 ligases that enhances the binding of the E3 ligases to target proteins. The second type are BiDAC degraders, which are designed to have one end of the molecule bind to the disease-causing target protein and the other end bind to the E3 ligase. To date, our platform has produced several novel, oral, highly catalytic and brain penetrant degraders that have demonstrated robust target degradation, several of which are progressing through clinical development and have the potential to improve patient outcomes.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Currently, our solely-owned pipeline is focused on oncology and our partnership strategy allows us to explore other disease areas. Our solely-owned pipeline is reflected in the image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4446270" cy="13544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46270"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most advanced product candidate, cemsidomide, is an orally bioavailable MonoDAC degrader of protein targets called IKZF1 and IKZF3. Cemsidomide is currently in clinical development for multiple myeloma, or MM, and non-Hodgkin lymphoma, or NHL. With a strong mechanistic rationale and well-defined biology of targeting IKZF1 and IKZF3, cemsidomide has the opportunity to address a significant unmet need. In August 2021, the United States Food and Drug Administration, or FDA, granted orphan drug designation to cemsidomide for the treatment of MM. In December 2024, we shared data evaluating cemsidomide in combination with dexamethasone in multiple myeloma, or MM, that demonstrated a well-tolerated safety profile with compelling anti-myeloma activity. In addition, in December 2023, we shared MM monotherapy data that demonstrated that cemsidomide activates immune cells at clinically relevant doses. Additionally, in December 2024, we shared data evaluating cemsidomide as a monotherapy in NHL demonstrating a well-tolerated profile and compelling anti-lymphoma activity in NHL and in particular in peripheral t-cell lymphoma or PTCL. We continue to progress the ongoing Phase 1/2 clinical trial in MM and NHL.</w:t>
      </w:r>
    </w:p>
    <w:p>
      <w:pPr>
        <w:spacing w:after="0" w:line="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Our next most advanced product candidate, CFT1946, is an orally bioavailable BiDAC degrader designed to be potent and selective against BRAF V600 mutant proteins to treat melanoma, colorectal cancer, or CRC, and other malignancies that harbor V600 mutations. In preclinical studies, CFT1946 has demonstrated the ability to cross the blood-brain barrier with Kp</w:t>
      </w:r>
      <w:r>
        <w:rPr>
          <w:rFonts w:ascii="Times New Roman" w:cs="Times New Roman" w:eastAsia="Times New Roman" w:hAnsi="Times New Roman"/>
          <w:sz w:val="18"/>
          <w:szCs w:val="18"/>
          <w:color w:val="auto"/>
          <w:vertAlign w:val="subscript"/>
        </w:rPr>
        <w:t>uu</w:t>
      </w:r>
      <w:r>
        <w:rPr>
          <w:rFonts w:ascii="Times New Roman" w:cs="Times New Roman" w:eastAsia="Times New Roman" w:hAnsi="Times New Roman"/>
          <w:sz w:val="14"/>
          <w:szCs w:val="14"/>
          <w:color w:val="auto"/>
        </w:rPr>
        <w:t xml:space="preserve"> values ranging from 0.34 to 0.88, an important feature as a portion of patients with BRAF V600 mutant solid tumors develop brain metastases. Additionally, CFT1946 is more efficacious than the standard of care therapies in CRC and BRAF V600 mutant protein xenograft models and in a melanoma patient-derived xenograft, or PDX, BRAF inhibitor resistance model. In September 2024, at the European Society of Medical Oncology Congress, we presented monotherapy data from the ongoing Phase 1/2 trial, which demonstrated that CFT1946 was well tolerated with initial signs of anti-tumor activity across all dose levels. We continue to progress the ongoing Phase 1/2 clinical trial in BRAF V600 mutant protein cancers, including melanoma and CRC.</w:t>
      </w:r>
    </w:p>
    <w:p>
      <w:pPr>
        <w:spacing w:after="0" w:line="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Additionally, we are developing CFT8919, an orally bioavailable, allosteric, mutant-selective BiDAC degrader of epidermal growth factor receptor, or EGFR, with an L858R mutation in non-small lung cancer, or NSCLC. In preclinical studies, CFT8919 demonstrated equivalent anti-proliferation activity against the major EGFR-inhibitor resistance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mutations, including L858R-C797S, L858R-T790M, and L858R-T790M-C797S compared to L858R single mutation in Ba/F3 cell models in vitro. In May 2023, we entered into a license and collaboration agreement with Betta Pharma to collaborate on the development and commercialization of CFT8919 in mainland China, Hong Kong SAR, Macau SAR and Taiwan, with us retaining rights to develop and commercialize CFT8919 in the rest of the world. In November 2024, Betta Pharma initiated a Phase 1 clinical trial in NSCLC patients with the EGFR L858R mutation in Greater China and is continuing to progress the trial. Data generated from this trial will inform our ex-China clinical development strategy.</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Beyond these initial product candidates, we are further diversifying our pipeline by developing new degraders for our own proprietary pipeline and for the pipeline we are developing in collaboration with MKDG, Merck and Roche. We have engineered degraders that have successfully achieved blood-brain barrier penetration in preclinical studies, which is a key step in developing medicines with the potential to treat brain metastases in oncology, as well as in therapeutic areas such neurodegenerative diseases. We also believe there are many therapeutic areas and indications where leveraging our TORPEDO platform to develop novel degraders may be advantageous.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Strategy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committed to transforming the treatment of cancer and other diseases through the discovery, development, and commercialization of novel therapies that destroy disease-causing proteins.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Key elements of our strategy are to:</w:t>
      </w:r>
    </w:p>
    <w:p>
      <w:pPr>
        <w:spacing w:after="0" w:line="92" w:lineRule="exact"/>
        <w:rPr>
          <w:sz w:val="20"/>
          <w:szCs w:val="20"/>
          <w:color w:val="auto"/>
        </w:rPr>
      </w:pPr>
    </w:p>
    <w:p>
      <w:pPr>
        <w:jc w:val="both"/>
        <w:ind w:left="640" w:hanging="317"/>
        <w:spacing w:after="0" w:line="271" w:lineRule="auto"/>
        <w:tabs>
          <w:tab w:leader="none" w:pos="636"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Advance our clinical oral oncology degrader programs. </w:t>
      </w:r>
      <w:r>
        <w:rPr>
          <w:rFonts w:ascii="Times New Roman" w:cs="Times New Roman" w:eastAsia="Times New Roman" w:hAnsi="Times New Roman"/>
          <w:sz w:val="14"/>
          <w:szCs w:val="14"/>
          <w:color w:val="auto"/>
        </w:rPr>
        <w:t>Using our proprietary TORPEDO platform, we have generated novel product candidates for the treatment of cancer that we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believe have the potential to improve patients’ outcomes. Based on the results of our clinical trials, we will work with the FDA to discuss potential expedited development and accelerated approval pathways for our product candidates as applicable.</w:t>
      </w:r>
    </w:p>
    <w:p>
      <w:pPr>
        <w:spacing w:after="0" w:line="48" w:lineRule="exact"/>
        <w:rPr>
          <w:rFonts w:ascii="Times New Roman" w:cs="Times New Roman" w:eastAsia="Times New Roman" w:hAnsi="Times New Roman"/>
          <w:sz w:val="14"/>
          <w:szCs w:val="14"/>
          <w:b w:val="1"/>
          <w:bCs w:val="1"/>
          <w:color w:val="auto"/>
        </w:rPr>
      </w:pPr>
    </w:p>
    <w:p>
      <w:pPr>
        <w:jc w:val="both"/>
        <w:ind w:left="640" w:hanging="317"/>
        <w:spacing w:after="0" w:line="271" w:lineRule="auto"/>
        <w:tabs>
          <w:tab w:leader="none" w:pos="636"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Continue to focus our internal pipeline on targets that we believe could benefit from a TPD approach. </w:t>
      </w:r>
      <w:r>
        <w:rPr>
          <w:rFonts w:ascii="Times New Roman" w:cs="Times New Roman" w:eastAsia="Times New Roman" w:hAnsi="Times New Roman"/>
          <w:sz w:val="14"/>
          <w:szCs w:val="14"/>
          <w:color w:val="auto"/>
        </w:rPr>
        <w:t>Through our target identification process, we evaluate where TPD could have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 outsized patient impact and where the biology supports degrading those targets could have an impact on the disease. We select targets with a clear genetic link to a disease where degraders potentially offer a benefit over other therapeutic options.</w:t>
      </w:r>
    </w:p>
    <w:p>
      <w:pPr>
        <w:spacing w:after="0" w:line="50" w:lineRule="exact"/>
        <w:rPr>
          <w:rFonts w:ascii="Times New Roman" w:cs="Times New Roman" w:eastAsia="Times New Roman" w:hAnsi="Times New Roman"/>
          <w:sz w:val="14"/>
          <w:szCs w:val="14"/>
          <w:b w:val="1"/>
          <w:bCs w:val="1"/>
          <w:color w:val="auto"/>
        </w:rPr>
      </w:pPr>
    </w:p>
    <w:p>
      <w:pPr>
        <w:ind w:left="640"/>
        <w:spacing w:after="0" w:line="28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We also consider clinical development as part of the target selection process. We review potential targets to ensure we can prospectively select patients for clinical trials and can identify a path to registration. Additionally, we evaluate available biomarker assays to help identify which patients may benefit from the investigational therapy.</w:t>
      </w:r>
    </w:p>
    <w:p>
      <w:pPr>
        <w:spacing w:after="0" w:line="37" w:lineRule="exact"/>
        <w:rPr>
          <w:rFonts w:ascii="Times New Roman" w:cs="Times New Roman" w:eastAsia="Times New Roman" w:hAnsi="Times New Roman"/>
          <w:sz w:val="14"/>
          <w:szCs w:val="14"/>
          <w:b w:val="1"/>
          <w:bCs w:val="1"/>
          <w:color w:val="auto"/>
        </w:rPr>
      </w:pPr>
    </w:p>
    <w:p>
      <w:pPr>
        <w:jc w:val="both"/>
        <w:ind w:left="640" w:hanging="317"/>
        <w:spacing w:after="0" w:line="271" w:lineRule="auto"/>
        <w:tabs>
          <w:tab w:leader="none" w:pos="63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Collaborate with partners to realize the full value of the TORPEDO platform. </w:t>
      </w:r>
      <w:r>
        <w:rPr>
          <w:rFonts w:ascii="Times New Roman" w:cs="Times New Roman" w:eastAsia="Times New Roman" w:hAnsi="Times New Roman"/>
          <w:sz w:val="14"/>
          <w:szCs w:val="14"/>
          <w:color w:val="auto"/>
        </w:rPr>
        <w:t>We have existing strategic collaborations with MKDG, Merck, and Roche under which we are working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identify and develop novel degraders across multiple therapeutic areas and targets, including new modalities such as degrader-antibody-conjugates. These partnerships allow us to advance and accelerate our research and enable access to additional capabilities and expand the utility of our TORPEDO platform.</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 of Protein Degradation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Protein Degradation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Proteins are large, complex molecules that play many critical roles in the human body. Due to their central role in biological function, proteins control mechanisms leading to healthy and diseased states. Diseases are often caused by mutations that alter the normal function of proteins and, in turn, lead to protein dysfunction and then disease. Recent scientific advances continue to implicate the role of specific proteins in multiple disease states.</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Protein levels within cells are controlled by a balance between their synthesis rate and their rate of degradation. Protein degradation provides a natural mechanism to maintain protein levels at a stable equilibrium, to remove aged or faulty proteins, or to rapidly eliminate the activity of certain regulatory proteins in response to specific signals. The human body has a highly conserved degradation machinery known as the ubiquitin proteasome system, or UPS, that can identify and break down proteins into their component amino acids. This process is mediated in part by a family of proteins called E3 ligases. The primary role of E3 ligases is to act as a quality control inspector by identifying proteins that are old, damaged, misfolded or otherwise deemed ready for degradation. When an E3 ligase identifies a target protein for degradation, it attaches a molecular tag called ubiquitin in a process called ubiquitination. This ubiquitination typically continues until the target protein is tagged with multiple ubiquitins, a process known as poly-ubiquitination. Once the target protein is poly-ubiquitinated, it is released by the E3 ligase and is then quickly recognized by a proteasome, which is the cell’s recycling plant. The proteasome degrades poly-ubiquitinated proteins into their component amino acids, and these amino acids can then be recycled to form new proteins or can be excreted by the cell. This process is illustrated in the following graphic.</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4042410" cy="16167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42410" cy="161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Approximately five percent of all human genes are dedicated to encoding components of the ubiquitin-proteasome system. In addition, many proteins of therapeutic interest are often regulated by E3 ligases. Collectively, these factors underscore the essential role E3 ligases play in normal cellular function and how they can be leveraged against therapeutic protein targets.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Targeted protein degraders represent a novel modality that seeks to harness this natural degradation machinery to destroy disease-causing target proteins that E3 ligases would not otherwise target for destruction. The process of targeted protein degradation mediated by our degraders is illustrated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4042410" cy="1953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42410" cy="195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Both our MonoDAC degraders and BiDAC degraders follow the same catalytic process, with the first step being the formation of a complex between the native E3 ligase, degrader and target protein, which we refer to as the ternary complex. This is shown in Step 2 in the above graphic for a BiDAC degrader. Formation of an appropriate ternary complex that can undergo ubiquitination results in poly-ubiquitination of the target in Step 3. Once the poly-ubiquitination process is complete for one molecule of a target protein, the degrader is released, as shown in Step 4, and then degradation of the target protein by the proteasome occurs in Step 5. Because the degrader is released unchanged, this recursive process—binding the target protein, ternary complex formation with the E3 ligase, poly-ubiquitination and release for degradation—can occur thousands of times with a single degrader molecule before it is eventually cleared by the body. Importantly, both the natural protein degradation process and the targeted protein degradation mediated by our degraders occur rapidly, on the order of milliseconds from initial target-ligase encounter to poly-ubiquitination and release for degradation by the proteasome. In this way, protein degraders act as a catalyst for a natural process and we refer to this process as the catalytic cycle, which is a crucial differentiator between degraders and traditional protein inhibitors, which must remain bound to the target protein to remain effective.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Advantages of Targeted Protein Degradation Over Traditional Protein Inhibitors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Many current targeted therapies are based on small molecules that inhibit the biological function of a protein of interest. One of the main limitations of inhibitor-based treatments is that sustained target occupancy levels are required for the inhibition of the biological function of protein, and thus efficacy. Since the pharmacological effect is driven by the drug exposure profile, the overall timing and duration of drug action is dependent on drug absorption, distribution, and elimination. These exposures can be challenging to achieve and may increase the likelihood of significant off-target side effects. A further limitation of this approach is the requirement to find compounds that bind to specific active sites on the protein that result in functional inhibition, as there are many sites on a target protein where small molecules can bind but have no effect on the overall function.</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believe targeted protein degradation is a novel modality that could offer significant potential benefits over traditional small molecule inhibitor approaches, including improved and sustained potency, fast and recursive catalytic effect, high selectivity, and an expansive target landscape.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Improved and Sustained Potency</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Degraders have the ability to offer a many-fold amplification of effect because a single degrader molecule can exert its effect recursively on a large number of target proteins. This ability of a degrader molecule to repeat its catalytic cycle multiple times is known as catalytic amplification. In contrast, traditional protein inhibitors rely on one-to-one binding of an inhibitor molecule with a target protein, with the protein only deactivated while the inhibitor is bound. This means that much higher concentrations of a protein inhibitor drug are needed to achieve the same level of therapeutic effect as a protein degrader.</w:t>
      </w:r>
    </w:p>
    <w:p>
      <w:pPr>
        <w:spacing w:after="0" w:line="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addition to requiring significantly less drug than a protein inhibitor, a degrader’s impact on target protein function is more durable than that of a traditional inhibitor. This is because the activity of a target protein resumes as soon as an inhibitor is no longer bound to it, whereas a degrader completely eliminates its target protein and disease-causing activity is prevented until the cell is able to synthesize replacement proteins – a process that can take hours or even days. Therefore, in contrast to a typical reversible inhibitor, the effect of a degrader can persist well after it has been cleared from the body. The ability of a degrader to eliminate its target completely is another mechanism for improved potency relative to a traditional inhibitor. This is because a single protein can often have multiple functions, each mediated by a different domain. An inhibitor can only interfere with protein functions directly impacted by the region to which it binds. In the case of a disease-causing protein where more than one function contributes to pathogenic activity (for example, aberrant enzyme activity as well as ability to form multi-protein complexes), a degrader will eliminate all functions and therefore have a more profound effect versus an inhibitor that only blocks one. All these factors mean that degraders may help to achieve a more durable biological effect and better clinical outcomes.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High Selectivity</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One of the primary challenges of protein inhibition is attempting to identify and develop molecules that only target cancerous cells or disease-causing proteins without having deleterious effects on normal cells or other proteins, commonly referred to as off-target effects.</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Each step in the protein degradation catalytic cycle requires specific positioning of the target protein and E3 ligase to progress through the cycle, and these positioning requirements can serve as filters to increase selectivity of a degrader molecule so that only the target protein is ultimately degraded, even if the degrader binds to multiple proteins. For example, degraders not only interact with the target protein, but must do so in such a way that targets an E3 ligase and assumes a ternary complex conformation amenable to productive target protein ubiquitination. As a result, even if a degrader were to bind to a non-target protein, the resulting ternary complex may not have a conformation that is appropriate to facilitate ubiquitination and subsequent degradation. We are able to leverage these intrinsic properties of the ubiquitin-proteasome protein degradation pathway to design degraders to be highly selective for disease-causing proteins.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Expansive Target Landscape</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Traditional inhibitors can only have a therapeutic effect if they are able to bind tightly to a site on a disease-causing protein that interferes with its function. This requires that the inhibitor binds directly to a protein’s active site, or to an allosteric site in a way that leads to a conformational change that impairs protein activity. This inherently limits the number of druggable targets addressable with traditional inhibitors, as many potential binding sites are not in regions of a protein that interfere with function. In contrast, degraders can use any binding site on a protein to facilitate formation of a ternary complex with an E3 ligase that leads to its destruction. Additionally, whereas an inhibitor requires high affinity to its binding site to maintain occupancy and block function, degraders can interact with relatively weaker affinity in a transient fashion and still enable ubiquitination and destruction of the protein. Targeted protein degradation greatly expands the potential target pool to include a significant proportion of those currently considered undruggable.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4042410" cy="16167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42410" cy="161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Approach</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We employ a comprehensive approach to product candidate discovery, selection, and development to maximize the potential therapeutic benefit of our protein degraders. We seek out indications with high value protein targets that may benefit the most from degraders, with catalytic degradation turnover as the key metric by which to assess protein degradation. To that end, we have invested heavily in experimental tools, computational and predictive models, and team expertise to analyze and optimize the catalytic ability of our degraders through our TORPEDO platform. Additionally, we leverage our platform to optimize the ability of our degraders to initiate the ubiquitin-proteasome protein degradation cycle and predict their function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Due to the rapid optimization allowed by our TORPEDO platform and the ability of our platform to predict degrader effects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we are able to quickly and efficiently advance programs from target identification to the candidate development stage.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TORPEDO Platform</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proprietary TORPEDO platform is an important element of our leading approach to TPD. The platform is a collection of experimental approaches and tools that gives us the ability to design, analyze, and predict degrader performance. We have made significant investments in building both computational and experimental methods to enhance our ability to rationally design degraders. These tools allow us to design degraders at the molecular level that have desired properties for the applicable protein target or disease, such as oral bioavailability, central nervous system, or CNS, penetration, enhanced potency, and selectivity.</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degraders are designed to activate the E3 ligase and facilitate target protein binding and ubiquitination, resulting in rapid overall target degradation. The ability of our degraders to repeat this process recursively, with the same single degrader molecule interacting sequentially with many copies of the target protein, allows us to design our product candidates for catalytic degradation turnover and, as a result, create candidates that have the potential to provide a greater therapeutic effect. Our degraders need to achieve sufficient binding affinity to initiate brief ternary complex formation, but, unlike traditional inhibitors, they do not need to achieve prolonged stable binding to achieve desired physiological effects.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Another key element of our platform is our investment in Cereblon. Our lead degrader candidates utilize Cereblon as the E3 ligase. There are over 600 E3 ligases in the human proteome, of which the biology has been well characterized in no more than 50. A limited number of E3 ligases, including Cereblon, VHL, MDM2, IAPs and ß-TRCP, have been reported to be suitable for targeted protein degradation. We have chosen to focus on Cereblon as the E3 ligase target of our protein degradation approach for several reasons:</w:t>
      </w:r>
    </w:p>
    <w:p>
      <w:pPr>
        <w:spacing w:after="0" w:line="51" w:lineRule="exact"/>
        <w:rPr>
          <w:sz w:val="20"/>
          <w:szCs w:val="20"/>
          <w:color w:val="auto"/>
        </w:rPr>
      </w:pPr>
    </w:p>
    <w:p>
      <w:pPr>
        <w:jc w:val="both"/>
        <w:ind w:left="520" w:hanging="260"/>
        <w:spacing w:after="0" w:line="264"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Extensive clinical experience with the approved drugs thalidomide, lenalidomide and pomalidomide has shown that using Cereblon can effect target degradation in a way that impacts human disease. The mechanism of action of these molecules is to degrade disease targets, specifically IKZF1 and IKZF3, by bringing them into complex with Cereblon. Lenalidomide and pomalidomide are both approved drugs that have served as part of the standard of care for the treatment of MM since their approvals in 2006 and 2013, respectively. Together, this experience clinically validates Cereblon as an E3 ligase that can be harnessed to produce effective degrader drugs.</w:t>
      </w:r>
    </w:p>
    <w:p>
      <w:pPr>
        <w:spacing w:after="0" w:line="5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Cereblon is widely expressed across tissues and is present in all cellular compartments, including the cytoplasm and nucleus, potentially allowing for Cereblon-mediated targeted protein degradation across a wide variety of clinical settings and potential targets.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ind w:left="520" w:hanging="260"/>
        <w:spacing w:after="0" w:line="261"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developed multiple distinct, proprietary Cereblon binders that facilitate rational design of degraders with desired drug-like properties, such as oral bioavailability, solubility, CNS penetration, permeability, and stability. All of our product candidates and programs benefit from the use of these proprietary Cereblon binders in the design of novel degraders. Our library of Cereblon binders offers a proprietary and powerful toolkit for degrader discovery. This Cereblon binder toolkit enables a rational design approach to identifying and optimizing degraders with desired properties, as each of these binder classes facilitate the design of degraders with distinct drug-like properties and, importantly, unique “exit trajectories” from the Cereblon surface following protein degradation, which can promote better target degradation turnover.</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Taken together, our TORPEDO platform allows us to rapidly iterate and improve our degrader discovery processes and design our degraders and product candidates to have specific properties that enhance catalytic degradation turnover and drug performance that directly impact disease. These features of our platform and discovery process allow us to create product candidates that we believe will present minimized biology and toxicity risk, while also addressing unmet medical needs.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Product Candidates—Highly Potent and Selective Targeted Protein Degraders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currently conducting first-in-human Phase 1/2 clinical trials for cemsidomide and CFT1946 and our partner Betta Pharma is conducting the Phase 1 clinical trial for CFT8919 in Greater China. These programs are directed towards targets that remain inadequately treated with available therapies.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Cemsidomide: A IKZF1/3 Degrader for Multiple Myeloma and non-Hodgkin's Lymphoma,</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developing cemsidomide, an orally bioavailable degrader designed to target IKZF1/3, for the treatment of MM and NHL. We have chosen IKZF1 and IZKF3 as our targets for degradation because of their strong mechanistic rationale and well-defined biology. In preclinical studies, cemsidomide has shown robust activity in MM, peripheral T-cell lymphoma, or PTCL, and mantle cell lymphoma, or MCL, subcutaneous xenograft mouse models, providing preclinical proof of concept. We believe that the differentiated pharmacology of cemsidomide, including its high potency, may translate into improved clinical outcomes in each of the indications in which we are pursuing its development.</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December 2024, we presented data from the ongoing Phase 1/2 trial at the American Hematology Society Annual Meeting. In MM, cemsidomide is being evaluated in combination with dexamethasone and the data has demonstrated a well-tolerated safety profile and compelling anti-myeloma activity across a broad range of doses in patients who have undergone numerous lines of prior therapy, including B-cell maturation antigen, or BCMA, therapies. These data also demonstrated that neutropenia was manageable and no cases of neutropenia resulted in cemsidomide discontinuation. Additionally, cemsidomide as a monotherapy demonstrated immune cell activation at clinically relevant doses in MM. In NHL, where cemsidomide is being evaluated as a monotherapy, the data demonstrated that cemsidomide was well-tolerated with compelling anti-lymphoma activity across a broad range of doses in PTCL patients.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IKZF1 and IZKF3 Are Well Understood Biological Targets for Certain Blood Cancers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IKZF1 and IKZF3 are transcription factors central to the differentiation of lympho-myeloid multipotent progenitor cells through mature immune cells, including T cells and plasma cells, such as B cells. By preventing the maturation of B cells, there is an antiproliferative effect in B-cell driven blood cancers such as MM, B-cell lymphomas, and myelodysplastic syndrome. This impact is a direct result of IKZF1 and IKF3 regulating the activity of IRF4, another transcription factor that these cancers are dependent on for survival.. Further, IKZF1/3 has been previously validated as a target in clinical practice as lenalidomide and pomalidomide primarily target IKZF1/3 as their mechanism of action.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Our First-in-Human Phase 1/2 Trial</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first-in-human Phase 1/2 clinical trial for cemsidomide is designed to primarily investigate safety, tolerability, and anti-tumor activity. Secondary and exploratory objectives are to characterize the PK and PD profile of cemsidomide. The trial is evaluating cemsidomide in combination with dexamethasone for patients with relapsed or refractory MM and as a monotherapy for patients with NHL. We continue to progress these two arms of the Phase 1 dose escalation trial.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Multiple Myeloma</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According to consensus estimates available through Evaluate Pharma, in 2024 there were approximately 65,370 new cases of MM in the United States, United Kingdom, and Germany, France, Spain, and Italy, or EU4, combined. Although overall outcomes for patients with MM have improved substantially over the past several decades, patients with MM have a poor prognosis and the predicted median five-year relative survival rate is about 60% according to the American Cancer Society.</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Most patients with MM will have an initial response to treatment. Based on fluorescence in situ hybridization, or FISH, studies on bone marrow, patients are stratified into high-risk or standard-risk categories. High-risk patients eligible for hematopoietic cell transplantation receive induction therapy with a combination regimen, often including an IKZF1/3</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targeting drug like lenalidomide, to reduce the number of tumor cells prior to stem cell collection. Alternatively, patients who are ineligible for hematopoietic cell transplantation immediately receive a combination regimen, often with three to four classes of drugs, including an IKZF1/3 targeting drug and a steroid, typically dexamethasone, until progression or unacceptable toxicity.</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However, despite the various treatment options, most patients will ultimately progress and/or experience serial relapse. In our cemsidomide dose escalation trial, we are initially focusing on patients with relapsed or refractory MM who have received at least three lines of specified prior therapy, including lenalidomide, pomalidomide, proteasome inhibitors and an anti-CD38 monoclonal antibody, or mAb. From the MM data we shared in December 2024, 66% of patients enrolled on the trial at the time of the data cut-off had received prior CAR-T or T-cell engager therapy. We believe the data from the ongoing cemsidomide Phase 1/2 trial has the potential to demonstrate that this agent can have a meaningful benefit for MM patients and that, if approved, cemsidomide could become part of the established standard of care for these patients.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Non-hodgkin's Lymphoma</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According to consensus estimates available through Evaluate Pharma, in 2024 there were approximately 162,540 new cases of NHL in the United States, United Kingdom and EU4 combined. There are limited treatment options for NHL patients as lenalidomide is the only approved IKZF1/3 degrader across NHL subtypes. In particular, PTCL is the subtype with highest unmet need as there are no approved target treatment for patients that are not CD30+.</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Peripheral T-cell Lymphomas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PTCL is a typically aggressive subtype of NHL. PTCLs comprise approximately 5 to 15% of all NHL diagnoses in the United States and Europe.</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PTCL is a heterogeneous malignancy with many subtypes and while the outcomes in these subtypes vary, many patients with PTCL do poorly, with a five-year overall survival rate of approximately 30-40%. Although initial overall response rates for chemotherapy are approximately 40% to 75%, most patients ultimately relapse.. Lenalidomide has been evaluated in PTCL in a Phase 2 clinical trial and shown to have an overall response rate of 22% to 26%. However, cereblon modulators such as lenalidomide are not widely used nor approved for treating PTCL. In our Phase 1 dose escalation trial, the majority of NHL patients we enrolled were patients with PTCL due to the high clinical unmet need. We believe the data from the ongoing cemsidomide Phase 1/2 trial has the potential to demonstrate that this agent can have a meaningful benefit for PTCL patients and that, if approved, cemsidomide could become part of the established standard of care for these patients.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CFT1946: Degrading BRAF V600 Mutant Protein to Treat Melanoma, Colorectal, and Non-small Cell Lung Cancers</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are developing CFT1946, an orally bioavailable degrader of BRAF V600 mutant protein, for the treatment of BRAF V600 mutant solid tumors. We selected BRAF V600 mutant protein as a target due to its strong mechanistic rationale, well-defined biology, and unmet need. In the United States, BRAF mutations occur in approximately 6% of all cancers, which translates to over 100,000 patients diagnosed with BRAF mutated cancers annually. Approximately 70% of all BRAF mutations are substituting V600 for another amino acid. BRAF V600 mutations occur in approximately 40-50% of late-stage melanoma patients and in CRC, approximately 5 to 10% of patients have a BRAF V600 mutation. Across all BRAF mutant solid tumors, there remains a high unmet need for those who relapse after, or do not respond to, approved BRAF inhibitors. We are evaluating CFT1946 in a variety of BRAF V600 mutant solid tumors, including melanoma and CRC, where current standard of care BRAF inhibitor for these specific indications are dabrafenib with trametinib for melanoma in the first-line setting with a progression-free survival, or PFS, of 11.4 months and encorafenib with cetuximab for CRC in the second-line letting with a PFS of 4.2 months. We believe that a highly selective BRAF V600 mutant protein degrader could offer a significant mechanistic benefit over currently available BRAF inhibitors and could have the potential to offer improvements in clinical outcomes.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Amino Acid Changes at BRAF V600 are Common and Well Understood Oncogenic Mutations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BRAF is one of several protein kinases involved in a signaling cascade to initiate cell proliferation, known as the mitogen-activated protein kinase, or MAPK, pathway. The MAPK pathway conducts extracellular proliferative signals to the nucleus of cells, signaling them to proliferate. Many cancers are characterized by activating mutations in components of this MAPK pathway, including BRAF V600 mutations, which confer constitutive activation of the MAPK pathway and promote oncogenic transformation and can cause tumor growth.</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Single base substitutions for the amino acid valine at codon 600 in the BRAF gene, referred to as V600, are known as Class I mutations and, when those V600 mutations result in substitution of glutamic acid for valine (the most common such mutation), they are referred to as V600E mutations.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BRAF V600 mutants activate the MAPK pathway constitutively, meaning that cell proliferation is activated without receiving the extracellular proliferative signals necessary to activate the pathway normally. Constitutive activation occurs because BRAF V600 mutants are able to signal as a single protein, or a monomer, while wild-type RAF proteins including BRAF and CRAF must form a complex of two proteins, or a dimer, before downstream signaling can occur. This constitutive activation leads to overactivation of the MAPK cell proliferation pathway, causing oncogenic cell proliferation and tumor growth. Approved small molecule inhibitors of BRAF V600E—vemurafenib, dabrafenib, and encorafenib—block the constitutive activation of the MAPK pathway by the mutant BRAF monomer. However, inhibition of BRAF with these molecules inevitably results in emergence of various resistance mechanisms. Unlike other MAPK pathway targets, the resistance is not due to a mutation in the ATP binding pocket. Rather, first generation inhibitors are vulnerable to mechanisms of resistance that promote formation of dimers between inhibited BRAF V600 mutant protein and other RAF partners. This is because these inhibitors are subject to a phenomenon known as paradoxical activation where, in the context of RAF dimers, the drug is unable to inhibit both RAF proteins simultaneously. Thus, the inhibited form of BRAF V600X can contribute to the activation of the non-drug bound RAF partner in cellular contexts that promote RAF dimer formation. Below are four ways in which tumor cells exploit this vulnerability to generate resistance in the presence of first generation BRAF inhibitors.</w:t>
      </w:r>
    </w:p>
    <w:p>
      <w:pPr>
        <w:spacing w:after="0" w:line="59" w:lineRule="exact"/>
        <w:rPr>
          <w:sz w:val="20"/>
          <w:szCs w:val="20"/>
          <w:color w:val="auto"/>
        </w:rPr>
      </w:pPr>
    </w:p>
    <w:p>
      <w:pPr>
        <w:ind w:left="520" w:hanging="260"/>
        <w:spacing w:after="0" w:line="290"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Increased RTK activity: </w:t>
      </w:r>
      <w:r>
        <w:rPr>
          <w:rFonts w:ascii="Times New Roman" w:cs="Times New Roman" w:eastAsia="Times New Roman" w:hAnsi="Times New Roman"/>
          <w:sz w:val="14"/>
          <w:szCs w:val="14"/>
          <w:color w:val="auto"/>
        </w:rPr>
        <w:t>Enhanced RTK signaling can activate RAS, which can then promote the formation of dimers between drug-bound BRAF V600 and wild-type RAF protein. Since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only BRAF V600X is occupied by the inhibitor, the wild-type RAF partner is simultaneously activated by dimer formation and up regulates the MAPK pathway.</w:t>
      </w:r>
    </w:p>
    <w:p>
      <w:pPr>
        <w:spacing w:after="0" w:line="35"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Activating RAS mutants: </w:t>
      </w:r>
      <w:r>
        <w:rPr>
          <w:rFonts w:ascii="Times New Roman" w:cs="Times New Roman" w:eastAsia="Times New Roman" w:hAnsi="Times New Roman"/>
          <w:sz w:val="14"/>
          <w:szCs w:val="14"/>
          <w:color w:val="auto"/>
        </w:rPr>
        <w:t>Mutations in RAS can activate its ability to promote the formation of dimers between drug-bound BRAF V600X and wild-type RAF protein in the absence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upstream RTK signaling. This leads to up regulation of MAPK activity by the non-inhibitor bound wild-type RAF partner as described above.</w:t>
      </w:r>
    </w:p>
    <w:p>
      <w:pPr>
        <w:spacing w:after="0" w:line="35"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BRAF V600 mutant splice variant: </w:t>
      </w:r>
      <w:r>
        <w:rPr>
          <w:rFonts w:ascii="Times New Roman" w:cs="Times New Roman" w:eastAsia="Times New Roman" w:hAnsi="Times New Roman"/>
          <w:sz w:val="14"/>
          <w:szCs w:val="14"/>
          <w:color w:val="auto"/>
        </w:rPr>
        <w:t>Conferred by alternative splicing via generation of BRAF V600X isoforms lacking the RAS binding domain, or RBD, encoded by exons 3–5.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absence of the RBD, these BRAF isoforms dimerize even in the presence of low levels of RAS activity, Once BRAF V600 mutant protein dimers form, the inhibitor is only able to block one of the BRAF V600X partners leaving the other unoccupied BRAF V600 mutant protein activated and free to up regulate MAPK activity.</w:t>
      </w:r>
    </w:p>
    <w:p>
      <w:pPr>
        <w:spacing w:after="0" w:line="48" w:lineRule="exact"/>
        <w:rPr>
          <w:rFonts w:ascii="Times New Roman" w:cs="Times New Roman" w:eastAsia="Times New Roman" w:hAnsi="Times New Roman"/>
          <w:sz w:val="14"/>
          <w:szCs w:val="14"/>
          <w:color w:val="auto"/>
        </w:rPr>
      </w:pPr>
    </w:p>
    <w:p>
      <w:pPr>
        <w:jc w:val="both"/>
        <w:ind w:left="520" w:hanging="260"/>
        <w:spacing w:after="0" w:line="265"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BRAF V600 mutant amplification: </w:t>
      </w:r>
      <w:r>
        <w:rPr>
          <w:rFonts w:ascii="Times New Roman" w:cs="Times New Roman" w:eastAsia="Times New Roman" w:hAnsi="Times New Roman"/>
          <w:sz w:val="14"/>
          <w:szCs w:val="14"/>
          <w:color w:val="auto"/>
        </w:rPr>
        <w:t>Genetic alterations can lead to many additional copies of the BRAF V600 gene – a phenomenon known as gene amplification. This in turn leads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elevated BRAF V600X protein concentrations. At high concentrations, BRAF V600 proteins will form dimers without the need for upstream RTK or RAS activation. Once again, the inability of the first-generation inhibitors to simultaneously bind and inhibit both BRAF V600X partners leaves the unoccupied BRAF V600 dimer partner activated and free to up regulate MAPK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2515870</wp:posOffset>
            </wp:positionH>
            <wp:positionV relativeFrom="paragraph">
              <wp:posOffset>394335</wp:posOffset>
            </wp:positionV>
            <wp:extent cx="2135505" cy="18732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35505" cy="1873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believe that targeted protein degradation of BRAF V600 mutations offers the potential for a fundamental improvement over current BRAF inhibitors. Selectively degrading mutant BRAF eliminates wild-type side effects that are often seen with inhibitors and removes the possibility of incorporation into the various BRAF dimer-based resistance mechanisms that result in paradoxical activation of the MAPK pathway. As a result, CFT1946 has the potential to overcome the resistance mechanisms that vary by indication. For melanoma, acquired resistance occurs where, despite inhibition of the BRAF V600X monomer, there still is activation through the MAPK pathway as described above. In CRC, there is the added complication that inhibition of MAPK signaling leads to activation of EGFR as an intrinsic resistance mechanism, which is why the standard of care therapeutics approaches include a combination of a BRAF inhibitor and an anti-EGFR antibody such as cetuximab.</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Our First-in-Human Phase 1/2 Clinical Trial</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first-in-human Phase 1/2 clinical trial for CFT1946 is designed to primarily investigate safety, tolerability, and anti-tumor activity, with secondary and exploratory objectives to characterize the PK and PD profile of CFT1946. In the dose escalation portion of the trial, we are evaluating CFT1946 as a single agent in patients with BRAF V600 mutant solid tumors including CRC and melanoma after prior BRAF inhibitor treatment. We are also progressing additional Phase 1 cohorts which include monotherapy CFT1946 in melanoma, CFT1946 in combination with cetuximab in CRC, and CFT1946 in combination with trametinib in melanoma.</w:t>
      </w:r>
    </w:p>
    <w:p>
      <w:pPr>
        <w:spacing w:after="0" w:line="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In September 2024, we presented initial CFT1946 dose escalation monotherapy data from the ongoing Phase 1/2 trial at the European Society of Medical Oncology Congress. The initial data we presented demonstrated dose-dependent bioavailability and degradation of BRAF V600E protein supporting CFT1946 proof of mechanism. The data shared demonstrated a well-tolerated safety profile as well as initial signs of anti-tumor activity across all dose levels. We continue to progress the Phase 1/2 trial. Additionally, we have demonstrated from preclinical models that CFT1946 has the ability to cross the blood-brain barrier, with Kp</w:t>
      </w:r>
      <w:r>
        <w:rPr>
          <w:rFonts w:ascii="Times New Roman" w:cs="Times New Roman" w:eastAsia="Times New Roman" w:hAnsi="Times New Roman"/>
          <w:sz w:val="18"/>
          <w:szCs w:val="18"/>
          <w:color w:val="auto"/>
          <w:vertAlign w:val="subscript"/>
        </w:rPr>
        <w:t>uu</w:t>
      </w:r>
      <w:r>
        <w:rPr>
          <w:rFonts w:ascii="Times New Roman" w:cs="Times New Roman" w:eastAsia="Times New Roman" w:hAnsi="Times New Roman"/>
          <w:sz w:val="14"/>
          <w:szCs w:val="14"/>
          <w:color w:val="auto"/>
        </w:rPr>
        <w:t xml:space="preserve"> values in the range of 0.34 to 0.88.</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Melanoma</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According to the consensus estimates through Evaluate Pharma, approximately 187,220 patients were diagnosed with melanoma in the United States, United Kingdom and EU4 combined in 2024 and approximately 5% of those cases will have metastatic disease. Moreover, approximately 40-50% of late-stage melanoma patients carry BRAF V600 mutations, approximately 90% of which are BRAF V600E mutations.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recommended first-line treatment for patients with BRAF V600 mutated unresectable or metastatic melanoma is anti-PD-1 monotherapy, such as pembrolizumab or nivolumab, or combination therapy with a BRAF inhibitor, such as dabrafenib, vemurafenib or encorafenib, and a MEK inhibitor, such as trametinib, cobimetinib or binimetinib. However, a significant number of patients undergoing this combination therapy do not sufficiently respond or do not have a durable response as resistance to the therapy occurs.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current standard of care treatment for patients with BRAF V600E/K melanoma is treatment with a BRAF and MEK inhibitor combination, dabrafenib and trametinib, and the median PFS for this regimen is approximately 11.4 months.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Colorectal Cancer</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According to the consensus estimates through Evaluate Pharma, approximately 438,550 patients in the United States, United Kingdom, and EU4 combined were diagnosed with colorectal cancer in 2024. Of these patients, approximately 20% were diagnosed with metastatic disease and approximately 25% were diagnosed with local disease that will recur with metastases. Approximately 5 to 10% of CRC patients harbor BRAF V600E mutations.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Patients with BRAF V600E mutations who have progressed on prior therapy may receive a combination therapy of encorafenib and cetuximab, both of which are inhibitor therapies. However, this regimen has limited efficacy and a median PFS of approximately 4.2 months.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CFT8919: Potent, Oral, Allosteric, Mutant-selective Degrader of EGFR L858R</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developing CFT8919, an orally bioavailable, CNS-active, allosteric degrader of EGFR L858R for the treatment of NSCLC, who have progressed after treatment with approved EGFR inhibitors, including osimertinib. We have chosen to target EGFR because of its well-defined biology and the limitations that EGFR kinase inhibitors face that we believe our degrader approach may be able to overcome. CFT8919 binds to the allosteric site that is specifically created by the L858R mutation. CFT8919 avoids the orthosteric site that approved inhibitors bind to, thus, we do not expect to see wild-type activity and may potentially avoid resistance mutations that occur in the orthosteric site. We believe CFT8919 has the potential to overcome resistance to standard of care EGFR inhibitors to effect deeper and more durable responses due to the unique advantages of protein degradation.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May 2023, we entered into an exclusive licensing and collaboration agreement with Betta Pharma for the development and commercialization of CFT8919 in Greater China, including mainland China, Hong Kong SAR, Macau SAR and Taiwan. We believe this partnership will enable us to expedite the overall development of CFT8919 in patients with EGFR-driven resistance mutations due to a high prevalence of EGFR L858R driven NSCLC in Greater China. As a result, Betta Pharma is conducting the Phase 1 clinical study in Greater China and, in November 2024, we announced that Betta Pharma had dosed the first patient in this clinical trial. Data generated from this clinical trial will inform our ex-China clinical development strategy. We retain all rights to develop and commercialize CFT8919 outside of Greater China.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EGFR is a Well-Characterized Protein Target for Oncology with Known Resistance Mechanisms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EGFR is a receptor tyrosine kinase that is involved in cell signaling pathways that control cell division and survival. Mutations in the EGFR gene cause the EGFR protein to signal aberrantly in some types of cancer cells, including a subset of patients with NSCLC. Of the known EGFR tyrosine kinase domain mutations, approximately 90% occur as deletions in exon 19 or as point mutations in exon 21, the latter resulting in arginine replacing leucine at codon 858 (L858R). The L858R activating mutation in exon 21 accounts for approximately 25-45% of EGFR-mutant NSCLC. EGFR tyrosine kinase inhibitors, or TKIs, have been developed and provide significant clinical benefit. However, patients ultimately develop resistance, often by acquisition of a secondary resistance mutation in EGFR. T790M is the most prevalent resistance mutation after first- and second-generation EGFR TKIs including gefitinib, erlotinib, afatinib, and dacomitinib. A third-generation covalent EGFR inhibitor, osimertinib, can overcome this resistance mechanism and is now approved in the first-line setting, but acquired resistance remains an issue. Patients who progress after osimertinib lack effective treatment options and the EGFR C797S mutation is the most common on-target resistance mechanism.</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CFT8919 is a mutant-selective degrader targeting EGFR L858R, which remains active in the setting of resistant secondary mutations (T790M and/or C797S). We believe there may be an opportunity for CFT8919 as a component of first-line therapy, where we hope to achieve deeper and more durable responses due to the advantages of a degrader over a standard protein inhibitor. Further, since 30-60% of mutant EGFR NSCLC patients develop brain metastases, penetration of the central nervous system sufficient to drive therapeutic effect in this compartment was a key factor in our selection of CFT8919 as our development candidate.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Non-Small-Cell Lung Cancer</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According to consensus estimates available through Evaluate Pharma approximately 419,380 patients in the United States, United Kingdom, and EU4 combined were diagnosed with NSCLC in 2024 and between 10 and 15% of these patients have mutant EGFR, or mEGFR. The EGFR mutation is particularly common in NSCLC patients of Asian heritage. In China, where approximately 45,780 patients are diagnosed with NSCLC annually, approximately 50% of diagnoses are driven by the EGFR mutation.</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EGFR L858R mutation is the second most common activating EGFR mutation, found in approximately 40% of EGFR diagnoses in the United States and China. When treated with standard of care EGFR inhibitors, patients with EGFR L858R mutations have worse outcomes with therapy compared to patients who exhibit an exon19 deletion. When using osimertinib in the front-line setting in patients with EGFR L858R, the median PFS is 14.4 months compared to 21.4 months for patients with an exon19 deletion. The most EGFR-mediated resistance mechanism to osimertinib in this patient population is the C797S mutation. This shorter median PFS rate and resistance demonstrates the unmet medical need for the L858R patient population.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Other Discovery Programs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to the programs discussed above, we are also progressing various other discovery-stage pipeline programs. In line with our strategy, we assess on a target-by-target basis whether the degraders we might develop would provide a compelling and differentiated approach over standard of care or other approaches to the same disease and are consistent with our focus on minimizing biology and toxicity risk, and focusing on high unmet medical need, including rare diseases. These early-stage discovery programs include compounds that have already shown the ability to cross the blood-brain barrier in preclinical models, where appropriate. Our discovery programs are a combination of internal programs, over which we have full control and ownership, and programs in collaboration with our partners.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Collaborations and License Agreements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MKDG License and Collaboration Agreement</w:t>
      </w:r>
    </w:p>
    <w:p>
      <w:pPr>
        <w:spacing w:after="0" w:line="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In March 2024, we entered into a license and collaboration agreement with MKDG, or the MKDG Agreement, to discover two targeted protein degraders against critical oncogenic proteins. Pursuant to the terms of the MKDG Agreement, we granted MKDG a worldwide, exclusive license under certain of our intellectual property rights to develop, manufacture, and commercialize two targeted protein degraders against critical oncogenic proteins. MKDG is responsible for all development, regulatory approval, manufacturing and commercialization costs. Under the terms of the MKDG Agreement,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MKDG made an upfront cash payment of $16.0 million and agreed to fund our discovery research efforts. We are eligible to receive approximately $740 million in the aggregate in discovery, regulatory, and commercial milestone payments across the collaboration, plus tiered royalties on net sales. Royalties payable from MKDG to us range from mid-single digit to low-double digit percent, subject to reductions under certain circumstances as described in the MKDG Agreement.</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collaboration is managed by a joint research committee, or MKDG JRC, and a joint steering committee, or MKDG JSC, each of which is comprised of our representatives and those of MKDG. Under the MKDG Agreement, MKDG has final decision-making authority over the MKDG JSC, which has the authority to decide matters that cannot be resolved by the MKDG JRC. MKDG may terminate the MKDG Agreement on a project-by-project basis or in its entirety upon 60 days’ prior written notice. Each party also has various termination rights under certain circumstances, including but not limited to patent challenges, insolvency, or a material breach by the other party, subject to certain conditions.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Merck License and Collaboration Agreement</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December, 2023, we entered into a license and collaboration agreement with Merck, or the Merck License Agreement, to collaborate on the development and commercialization of degrader-antibody conjugates, an emerging modality designed to selectively target and neutralize disease-causing proteins in cancer cells. Pursuant to the terms of the License Agreement, we granted Merck a worldwide, exclusive license under certain of our intellectual property rights to develop, manufacture and commercialize degrader-antibody conjugates directed to an initial undisclosed oncology target. Merck is responsible for all development, regulatory approval, manufacturing and commercialization costs. Under the terms of the Merck License Agreement, Merck has made an upfront cash payment of $10.0 million. For degrader-antibody conjugates directed to the initial target, we are eligible to receive milestone payments totaling approximately $600 million in the aggregate, plus tiered royalties on net sales. In addition, as part of the collaboration, we granted Merck options to obtain worldwide, exclusive licenses under certain of our intellectual property rights to develop, manufacture and commercialize degrader-antibody conjugates directed to three additional targets, each subject to payment of an option exercise price. If Merck exercises these options, these additional programs would also provide for additional potential milestones and royalties for the duration of the royalty term as detailed in the Merck License Agreement. If Merck exercises all of its options to extend the collaboration, we would be eligible to receive up to approximately $2.5 billion in potential payments across the entire collaboration.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Betta Pharma License and Collaboration Agreement</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May 2023, we entered into a license and collaboration agreement with Betta Pharma, or the Betta Pharma License Agreement, to collaborate on the development and commercialization of CFT8919, an orally bioavailable BiDAC degrader that is designed to be potent and selective against EGFR bearing an oncogenic L858R mutation, in Greater China, comprised of mainland China, Hong Kong SAR, Macau SAR and Taiwan, with us retaining rights to develop and commercialize CFT8919 in the rest of the world.</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Pursuant to the terms of the Betta Pharma License Agreement, we granted Betta Pharma an exclusive license under certain of our intellectual property rights to develop, manufacture and commercialize CFT8919 for all uses in humans in Greater China. Betta Pharma is responsible for all development, regulatory approval, manufacturing and commercialization costs in Greater China except where Betta Pharma acts as our agent in Greater China in connection with a global trial sponsored by us. As part of the collaboration, Betta Pharma has made an upfront cash payment of $10.0 million and we are eligible to receive up to $357.0 million in aggregate milestone payments, plus tiered royalties on net sales of CFT8919 in Greater China. Royalties payable from Betta Pharma to us range from low to mid double-digit percent, subject to certain reductions under certain circumstances as described in the Betta Pharma License Agreement. In addition, as part of the collaboration, we have agreed to make milestone payments to Betta Pharma of up to $40 million following our receipt of approval of a New Drug Application for CFT8919 from the U.S. Food and Drug Administration, or the FDA, with the milestone amount based on the percentage of patients in contemplated clinical trials that were enrolled by Betta Pharma and the line of therapy of the approval. In addition, we have agreed to pay Betta Pharma tiered royalties on net sales of CFT8919 in our territory, which is the rest of the world excluding Greater China, in the low single digit percent range, subject to certain reductions under certain circumstances as described in the Betta Pharma License Agreement. The royalty term for all contemplated royalties under the Betta Pharma License Agreement shall terminate on a product-by-product and country-by-country basis on the latest of (i) the twelve (12) year anniversary of the first commercial sale of such product in such country, (ii) the expiration of any regulatory exclusivity period that covers such product in such country, and (iii) the expiration of the last-to-expire licensed patent that covers such product in such country. Further, in January 2024, an affiliate of Betta Pharma purchased shares of our common for $25.0 million as described below.</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Roche Amended and Restated License Agreement</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March 2016, we entered into a license agreement with Roche, which has since been amended several times, including in in June 2016, March 2017, and December 2018. We refer to this amended and restated agreement as the Roche Agreement.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Under the Roche Agreement, we agreed to collaborate with Roche in the research, development, manufacture, and commercialization of target-binding degrader medicines using our proprietary TORPEDO platform for the treatment of cancers and other indications. Under the terms of the Roche Agreement, we are responsible for conducting preclinical research and development activities for a number of targets selected by Roche in accordance with a target selection and replacement procedure set forth in the agreement. We are also responsible for conducting Phase 1 clinical trials for products directed to certain targets and for manufacturing activities in connection with the applicable research plans, subject to Roche’s right to assume manufacturing responsibilities at pre-defined times. We and Roche each share in the costs of these research activities.</w:t>
      </w:r>
    </w:p>
    <w:p>
      <w:pPr>
        <w:spacing w:after="0" w:line="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Under the Roche Agreement, we granted Roche an exclusive option to obtain an exclusive, worldwide license, with the right to sublicense through multiple tiers to develop and commercialize products directed at each target that is subject to the collaboration. Upon the exercise of its option for a particular target, Roche is responsible for the manufacture, development, and commercialization of products directed to that target, at its sole expense. However, we have the option to co-develop products directed to certain targets, in which case we would be responsible for a portion of the development costs associated with such co-developed products and eligible to receive increased royalties on sales of such co-developed products. We also have an option to co-detail products for which we have exercised our co-development option. If we exercise our co-detail option, we will be responsible for a portion of the co-detailing costs. We generally have the right to opt out of these co-development and co-detailing activities.</w:t>
      </w:r>
    </w:p>
    <w:p>
      <w:pPr>
        <w:spacing w:after="0" w:line="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November 2020, we signed a further amendment to the Roche Agreement that provides a mechanism through which we and Roche can mutually agree to terminate the Roche Agreement on a target-by-target basis by the entry into a mutual target termination agreement. Upon a termination of this nature, the Roche Agreement, as amended, provides that all rights in know-how and intellectual property in support of products that use inhibition as their mode of action, referred to as the Roche Field, will revert to Roche and all rights in respect of know-how and intellectual property in support of products that use degradation as their mode of action, referred to as the C4T Field, will revert to us. Further, this amendment states that, following the entry into a mutual target termination agreement, Roche will have rights in and responsibility for any know-how and intellectual property generated as a result of the collaboration that fits within the Roche Field, and we will have rights in and responsibility for any know-how and intellectual property generated as a result of the collaboration that fits within the C4T Field. In support of this allocation of rights, under the amendment, Roche provided us, and we provided Roche, with a perpetual, irrevocable, fully paid up, exclusive (even as to party granting the license), sublicensable (including in multiple tiers) license to the patents that are allocated to a party under the mutual target termination agreement and a perpetual, irrevocable fully paid up, non-exclusive, sublicensable (including in multiple tiers) license to the know-how that is allocable to a party under the mutual termination agreement.</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November 2020, through the entry into this amendment, we and Roche mutually agreed to terminate the Roche Agreement as to the target EGFR. Further, in November 2021, July 2022, and December 2023, we and Roche mutually agreed to terminate the Roche Agreement as to BRAF and then two additional undisclosed targets. As a result, Roche is now free to pursue these targets in the Roche Field and we are free to pursue these targets in the C4T Field, and all rights in and responsibility for know-how and intellectual property related to these targets in the Roche Field reverted to the Roche parties, and all rights in and responsibility for know-how and intellectual property related to these targets in the C4T Field reverted to us, with Roche assigning the patents in the C4T Field to us. In September 2023, Roche designated a new undisclosed target to be added to the collaboration pursuant to the Roche Agreement. As a result of these efforts, two targets currently remain as part of this collaboration. In December 2023, we and Roche mutually agreed to further amend the Roche Agreement to adjust the timing of Roche's option rights to the remaining two targets to begin upon Roche's receipt of the dose range finding data package.</w:t>
      </w:r>
    </w:p>
    <w:p>
      <w:pPr>
        <w:spacing w:after="0" w:line="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Upon signing the Roche Agreement, we received upfront consideration of $40.0 million from Roche. In addition, we receive annual research funding from Roche for each active research plan and we are eligible to receive additional payments upon the achievement of predetermined research and development success criteria with respect to certain targets. Under the Roche Agreement, as amended, if Roche exercises its option right for either of the two remaining targets, Roche is obligated to pay an exercise fee of $8.0 million. For each target option exercised by Roche, we are eligible to receive milestone payments up to $273 million upon the achievement of certain research, development, and commercial milestones with respect to corresponding products, subject to certain reductions and exclusions based on intellectual property coverage. Roche is also required to pay us up to $150 million per target in one-time sales-based milestone payments upon the achievement of specified levels of net sales of a product directed to such target. Finally, we are eligible to receive tiered royalties ranging from mid-single digit to mid-teen percentages on net sales of products sold by Roche pursuant to its exercise of its option rights, subject to certain reductions. For sales of products for which we exercise our co-development right, the applicable royalty rates will be increased by a low-single digit percentage.</w:t>
      </w:r>
    </w:p>
    <w:p>
      <w:pPr>
        <w:spacing w:after="0" w:line="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Unless earlier terminated, the Roche Agreement expires on the date when no royalty or other payment obligations under the Roche Agreement are or will become due. We and Roche each may terminate the Roche Agreement in its entirety or 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target-by-target or product-by-product basis and, in our case, on a country-by-country basis, for the other party’s uncured material breach of its obligations under the Roche Agreement or upon the other party’s bankruptcy, insolvency or similar proceedings. Roche may terminate the Roche Agreement for convenience on a target-by-target, product-by-product or country-by-country basis. In the event we are acquired by a competitor of Roche, Roche has the right to require us to terminate our research, development, and co-detailing activities under the Roche Agreement, after which time we would not be eligible to receive payments for such terminated activities.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Biogen Collaborative Research and License Agreement</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December 2018, we entered into a collaborative research and license agreement with Biogen, or the Biogen Agreement, whereby we agreed to collaborate with Biogen and use our proprietary protein degrader platform to research, develop, and identify small molecule protein degraders. In February 2020, we entered into an amendment to the Biogen Agreement that provided further clarity around Biogen’s ownership of target binding moieties, which are portions of molecules, and any related intellectual property that are directed at or bind to collaboration targets. This amendment further provides that Biogen licenses to us rights to use these Biogen target binding moieties and any related intellectual property as needed in order to conduct the research and development activities contemplated under the Biogen Agreement.</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Under the Biogen Agreement, we granted Biogen an exclusive license under our intellectual property, with the right to sublicense through multiple tiers, (a) for the purpose of performing candidate development activities in accordance with research and development plans agreed upon by the parties and (b) for the purpose of exploiting all degraders and products for any use in the world.</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the terms of the Biogen Agreement, for which the research term ended in June 2023, we were responsible for conducting research and development activities for a number of targets selected by Biogen in accordance with a target selection and replacement procedure set forth in the agreement. Upon Biogen’s commencement of the IND-enabling study for a degrader directed towards each target selected by Biogen, Biogen is responsible for, and agrees to use commercially reasonable efforts to carry out, all further development, regulatory affairs, manufacturing, and commercialization for at least one product directed against each such target in certain territories.</w:t>
      </w:r>
    </w:p>
    <w:p>
      <w:pPr>
        <w:spacing w:after="0" w:line="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Upon execution of the Biogen Agreement, Biogen paid us an upfront payment of $45.0 million as prepayment for candidate development activities. Upon Biogen’s receipt of degraders directed to each target that satisfy pre-defined criteria, we received payments ranging from $2.0 million to $5.0 million per target. In 2024, Biogen paid us a total of $16.0 million for two development candidates we delivered to Biogen that had commenced IND-enabling studies. For each target, Biogen is required to pay us (a) development and commercialization milestone payments totaling up to $35.0 million and (b) sales milestone payments totaling up to $26.0 million for the achievement of certain amounts of net sales of all products directed to such target, each subject to certain reductions. In addition, Biogen is required to pay us royalties on a product-by</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product and country-by-country basis on the net sales of each product, at percentages in the mid-single digits, subject to certain reductions.</w:t>
      </w:r>
    </w:p>
    <w:p>
      <w:pPr>
        <w:spacing w:after="0" w:line="2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Unless earlier terminated, the Biogen Agreement expires on the date of the last product-by-product and country-by-country basis upon the expiration of the last-to-expire valid claim of a patent right covering the composition of matter of method of use in the approved label of the applicable product in the applicable country. We and Biogen each may terminate the Biogen Agreement (a) with respect to one or more development candidates, products or collaboration targets or, only in the case of Biogen, the entire agreement, for the other party’s uncured material breach of its obligations and (b) in its entirety upon the other party’s bankruptcy, insolvency or similar proceedings. Biogen may also terminate the Biogen Agreement in its entirety or with respect to one or more development candidates, products or collaboration targets for convenience.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biotechnology and pharmaceutical industries are characterized by rapidly advancing technologies, intense competition, and a strong emphasis on intellectual property and proprietary products. While we believe that our technology, expertise, scientific knowledge, and intellectual property estate provide us with competitive advantages, we face potential competition from many different sources, including major pharmaceutical, specialty pharmaceutical, biotechnology companies, academic institutions, governmental agencies, and public and private research institutions that conduct research, seek patent protection, and establish collaborative arrangements for research, development, manufacturing, and commercialization. Not only must we compete with other companies that are focused on protein degradation, but any product candidates that we successfully develop and commercialize will compete with existing therapies and new therapies that may become available in the future. Moreover, our industry is characterized by the existence of large numbers of patents and frequent allegations of patent infringement.</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focus is on the discovery and development of protein degradation therapies using our TORPEDO platform. Other companies developing chimeric small molecules for protein degradation include, without limitation, Arvinas, Inc., BioTheryX, Inc., Captor Therapeutics, Inc., Cullgen Inc., Foghorn Therapeutics, Inc., Frontier Medicines Corporation,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Glubio Therapeutics, Inc., Haisco Pharmaceutical Group, Kymera Therapeutics, Inc., Monte Rosa Therapeutics, Inc., Nurix Therapeutics, Inc., Orum Therapeutics, Inc., PhoreMost Ltd., Plexium, Inc., Salarius Pharmaceuticals, Inc., Seed Therapeutics, Inc., SK Life Science Labs, Inc. (a subsidiary of SK Biopharmaceuticals Co., Ltd.), and Vividion Therapeutics, Inc. (a subsidiary of Bayer AG). Further, several large pharmaceutical companies have disclosed preclinical investments in this field including Amgen, Astellas Pharma Inc., AstraZeneca plc, Bristol-Myers Squibb Company (and its subsidiary Celgene Corporation), GlaxoSmithKline plc, Genentech, Inc., and Novartis International AG. In addition to competition from other protein degradation therapies, any products that we develop may also face competition from other types of therapies, such as small molecule, antibody, T cell or gene therapies.</w:t>
      </w:r>
    </w:p>
    <w:p>
      <w:pPr>
        <w:spacing w:after="0" w:line="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lead product candidates target oncologic indications. The most common methods of treating patients in oncologic indications are surgery, radiation, and drug therapy, including chemotherapy, hormone therapy, cellular therapy, and targeted drug therapy. There are a variety of available drug therapies marketed for cancer. In many cases, these drugs are administered in combination to enhance efficacy. Some of the currently approved drug therapies are branded and subject to patent protection and others are available on a generic basis. Many of these approved drugs are therapies and are widely accepted by physicians, patients, and third-party payors. In general, although there has been considerable progress over the past few decades in the treatment of cancer and the currently marketed therapies provide benefits to many patients, these therapies are all limited to some extent in their efficacy and frequency of adverse events, and none of them are successful in treating all patients. As a result, the level of morbidity and mortality from cancer remains high.</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to currently marketed drugs, there are also several product candidates in preclinical development for the treatment of oncologic indications. These products in development may provide efficacy, safety, convenience, and other benefits that are not provided by currently marketed therapies. As a result, they may provide significant competition for any of our product candidates for which we obtain market approval.</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any of our product candidates are approved for the indications for which we expect to conduct clinical trials, they will compete with the foregoing therapies and currently marketed drugs, as well any drugs potentially in development. It is also possible that we will face competition from other biologic or pharmaceutical approaches, as well as from other types of therapies.</w:t>
      </w:r>
    </w:p>
    <w:p>
      <w:pPr>
        <w:spacing w:after="0" w:line="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key competitive factors affecting the success of all our programs, if approved, are likely to be their efficacy, safety, convenience, price, level of generic competition, and availability of reimbursement.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do not own or operate and currently have no plans to establish any manufacturing facilities. We rely on and expect to continue to rely on third-party contract manufacturing organizations, or CMOs, for both drug substance and finished drug product.</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currently obtain our supplies from these manufacturers on a purchase order basis and do not have long-term committed supply arrangements with respect to our product candidates and other materials. Should any of these manufacturers become unavailable to us for any reason, we believe that there are a number of potential replacements, although we may incur some delay in identifying and qualifying such replacements. For additional information, see the section titled “Risk Factors—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Risks Related to Dependence on Third Parties—Manufacturing pharmaceutical products is complex and subject to product delays or loss for a variety of reasons. We contract with third parties for the manufacture of our product candidates for preclinical testing and clinical trials and expect to continue to do so for commercialization. This reliance on third parties increases the risk that we will not have sufficient quantities of our product candidates or products or that we will not have the quantities we desire or require at an acceptable cost or quality or at the right time, which could delay, prevent or impair our development or commercialization efforts.</w:t>
      </w:r>
      <w:r>
        <w:rPr>
          <w:rFonts w:ascii="Times New Roman" w:cs="Times New Roman" w:eastAsia="Times New Roman" w:hAnsi="Times New Roman"/>
          <w:sz w:val="14"/>
          <w:szCs w:val="14"/>
          <w:color w:val="auto"/>
        </w:rPr>
        <w:t>”</w:t>
      </w:r>
    </w:p>
    <w:p>
      <w:pPr>
        <w:spacing w:after="0" w:line="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All of our drug candidates are organic compounds of low molecular weight, which are often referred to in the biopharmaceutical community as small molecules, but our BiDAC degraders tend to be larger than traditional small molecule therapeutics. We have selected these compounds not only on the basis of their potential clinical activity and tolerability, but also on their physical properties. Our candidates are manufactured using reliable and reproducible synthetic processes from readily available starting materials and are based on chemistry that is amenable to scale up. We expect to continue to develop drug candidates that can be produced cost effectively at contract manufacturing facilities.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Commercialization Plans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not yet established our own commercial organization or distribution capabilities because our product candidates are still in clinical development. We have retained full commercialization rights for all of our programs in development other than those subject to our collaboration agreements. Prior to any of our product candidates receiving marketing approval, at an appropriate time, we will need to develop a plan to commercialize them in the United States and other key markets. We currently anticipate that we would build our own focused, specialized sales, and marketing organization to support the commercialization in the United States of product candidates for which we receive marketing approval and that can be commercialized with such capabilities. We expect to utilize a variety of types of collaboration, co-promotion, distribution, and other marketing arrangements with one or more third parties to commercialize our product candidates in markets outside the United States or for situations in which a larger sales and marketing organization is required.</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product candidates advance through our pipeline, our commercial plans may change. Some of our research programs target potentially larger indications. Data, the size of the development programs, the size of the target market, the size of a commercial infrastructure, and manufacturing needs may all influence our strategies in the United States, Europe, and the rest of the world.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commercial success depends in part upon our ability to secure and maintain patent and other proprietary protection for our protein degradation technologies, including our TORPEDO platform, our solely-owned product candidates, any product candidates co-owned with Roche, and know-how related to our business. To protect our core technology and products, we will need to successfully prosecute, defend and, if necessary, enforce our intellectual property rights, including, in particular, our patent rights, preserve the confidentiality of our trade secrets and operate without infringing valid and enforceable intellectual property rights of others. For our product candidates, we generally intend to pursue patent protection covering compositions of matter, pharmaceutical compositions, methods of use, including combination therapies, processes of manufacture and process intermediates, where relevant. We continually assess and refine our intellectual property strategies as we develop new technologies and product candidates. We currently plan to file additional patent applications based on our intellectual property strategies, where appropriate, including where we seek to adapt to competition or to improve our business opportunities.</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patent positions for biopharmaceutical companies like us are generally uncertain and can involve complex legal, scientific, and factual issues. Further, the laws governing the protection of intellectual property may change over time due to the issuance of new judicial decisions or the passage of new laws, rules or regulations. In addition, the coverage claimed in a patent application can be significantly reduced before a patent is issued and its scope can be reinterpreted and challenged even after issuance. As a result, we cannot guarantee that any of our product candidates will be protected or remain protectable by valid, enforceable patents. We also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exclusivity terms of our patents depend upon the laws of the countries in which they are obtained. In the countries in which we currently file, the patent term is 20 years from the earliest date of filing of a non-provisional patent application. The term of a United States patent may be extended to compensate for the time required to obtain regulatory approval to sell a drug (referred to as a patent term extension) or by delays encountered during patent prosecution that are caused by the United States Patent and Trademark Office (referred to as patent term adjustment). For example, the Hatch-Waxman Act permits a patent term extension for FDA-approved new chemical entity drugs of up to five years beyond the ordinary expiration date of one patent that covers the approved drug or its use. The length of the patent term extension is related to</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length of time the drug is under regulatory review and diligence during the review process. Patent term extensions in the United States cannot extend the term of a patent beyond a total of 14 years from the date of product approval and only one patent covering an approved drug, or its method of use, may be extended. A similar kind of patent extension, referred to as a Supplementary Protection Certificate, is available in Europe. Legal frameworks may also be available in certain other jurisdictions to extend the term of a patent. We currently intend to seek patent term extensions for our products on any of our issued patents in any jurisdiction where we have a qualifying patent and the extension is available; however, there is no guarantee that the applicable regulatory authorities, including the FDA in the United States, will agree with our assessment of whether extensions of this nature should be granted and, even if granted, the length of these extensions. Further, even if any of our patents are extended or adjusted, those patents, including the extended or adjusted portion of those patents, may be held invalid or unenforceable by a court of final jurisdiction in the United States or a foreign country.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Patents and Patent Applications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2024, in total, we owned twenty-five issued United States patents, more than thirty-five United States patent applications (which include provisional and United States utility applications), five patent applications filed under the Patent Cooperation Treaty, or PCT, nine patents granted in foreign countries, and over two hundred fifty patent applications that are pending in foreign countries.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patent portfolio is generally organized into two categories: platform patent filings designed to cover inventions relating to our proprietary TORPEDO platform; and protein target-specific degrader patent filings, each of which categories is described in more detail below.</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TORPEDO Platform Portfolio</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solely own our platform patent estate, which has been designed using our proprietary TORPEDO platform. As of December 31, 2024, our platform patent portfolio included nineteen issued United States patents, seventeen pending United States patent applications, one PCT patent application, six patents granted in foreign countries, and more than eighty-five pending foreign patent applications. This patent portfolio covers a variety of our ligands that bind to the Cereblon E3 ubiquitin ligase, or CRBN, either alone, as part of a MonoDAC molecule, or as part of a BiDAC molecule that includes a protein ligand to a disease-modifying protein target.</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Specifically, this platform portfolio consists of nineteen patent families covering the TORPEDO platform with composition of matter claims directed to various classes of CRBN ligands and degraders derived therefrom, as well as claims to associated methods of use, pharmaceutical compositions, and processes of manufacture. Patents in these families, if issued and maintained, will expire between 2037 and 2044, without taking into account potential patent term extensions or adjustments.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Products and Target Portfolio</w:t>
      </w:r>
    </w:p>
    <w:p>
      <w:pPr>
        <w:spacing w:after="0" w:line="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Our patent applications directed to target-specific degraders, including our product candidates, are focused on composition of matter, pharmaceutical composition, method of use, and process of manufacture claims covering novel compounds designed to degrade disease-causing proteins. As of December 31, 2024, we owned six issued United States patents, nineteen pending United States patent applications, four PCT patent applications, three patents granted in foreign countries, and more than one hundred sixty foreign patent applications covering our degraders and product candidates.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Specifically, as of December 31, 2024, we owned four patent families (two United States patents, three United States patent applications, two foreign patents, and fifty-seven foreign patent applications) presenting composition of matter and pharmaceutical composition claims to compounds that cause the degradation of the IKZF1/3 protein target, as well as associated methods of use to treat cancer and processes of manufacture. Three of these patent families include claims directed to compositions of matter generally and specifically covering cemsidomide, one of our lead product candidates, and associated methods of use, pharmaceutical compositions, and processes of manufacture, which if issued and maintained through the payment of all required fees, will expire in 2040, 2041, and 2043, respectively, without regard to any possible patent term extensions or adjustments. The fourth patent family (comprising one United States patent) covering our IKZF1/3 degraders is directed to a separate genus than that covered in the previous three families and, if maintained through the payment of all required fees, will expire in 2039, without regard to any possible patent term extensions or adjustments.</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December 31, 2024, we owned ten patent families (nine United States patent applications, two PCT patent applications, and twenty-two foreign patent applications) with claims directed to compositions of matter covering our BRAF degraders, and associated methods of use, pharmaceutical compositions, and processes of manufacture. Eight of these patent families include claims directed to compositions of matter generally and specifically covering CFT1946, our lead BRAF product candidate, and associated methods of use, pharmaceutical compositions, and processes of manufacture, and United States and foreign patents claiming priority to these patent applications, which if granted and maintained</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through payment of all required fees, will expire between 2042 and 2045, without regard to any possible patent term extensions or adjustments. The other two patent families covering our BRAF degraders are directed to separate genuses than that covered by the previous families, and United States and foreign patents claiming priority to these patent applications, if granted and maintained through the payment of all required fees, will expire in 2041 and 2044, respectively, without regard to any possible patent term extensions or adjustments.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December 31, 2024, we owned two patent families (one United States patent, two United States patent applications, one foreign patent, and forty-two foreign patent applications) with claims directed to compositions of matter covering our EGFR degraders, including our CFT8919 product candidate, and associated methods of use, pharmaceutical compositions, and processes of manufacture. United States and foreign patents claiming priority to these patent applications, if granted and maintained through the payment of all required fees, will expire in 2040 and 2042, respectively, without regard to any possible patent term extensions or adjustments.</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December 31, 2024, we owned three United States patents, five United States patent applications, two PCT patent applications, and forty-one foreign patent applications with claims directed to compositions of matter covering degraders to undisclosed/other targets and associated methods of use, pharmaceutical compositions, and processes of manufacture. United States and foreign patents claiming priority to these patent applications, if granted and maintained through the payment of all required fees, will expire between 2041 and 2045, without regard to any possible patent term extensions or adjustments.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Collaboration Patent Applications Co-owned with Roche</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2024 (giving effect to each of the assignment of rights in patents related to the undisclosed targets from Roche to us in July 2022 and December 2023, as described above), we do not co-own any patent applications or patents with Roche. If new patent applications relating to ongoing collaboration activities are filed in the future, our rights to any such future patent applications will be governed by the Roche Agreement, which is described above.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Target Platform Collaborations</w:t>
      </w:r>
    </w:p>
    <w:p>
      <w:pPr>
        <w:spacing w:after="0" w:line="9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We work or have worked with strategic partners to expand our platform potential, including Roche, Calico, Biogen, Merck, and MKDG. Under the agreements with each of these partners, we generally assign our solely or co-invented patent rights in development candidates to the applicable partner in exchange for financial benefits in the products under development under those agreements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Trade Secrets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also rely on trade secrets, technical know-how and continuing innovation to develop and maintain our competitive advantage. Under the agreements we enter into with them, any of our employees and consultants who are identified on any company-owned patent applications assign any rights they may have in any such patent applications to us. We also rely on confidentiality or other agreements with our employees, consultants, and other advisors to protect our proprietary information. Our policy is to require third parties that receive material confidential information to enter into confidentiality or other agreements with us that contain appropriate protections for our confidential and trade secret information.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Trademarks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own various registered and unregistered trademarks and service marks in the United States and overseas, including C4 THERAPEUTICS, our housemark logo, the name of our TORPEDO platform, and the names of our BIDAC degraders and MONODAC degraders.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packaging, recordkeeping, tracking, approval, import, export, distribution, advertising, and promotion of our products.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United States Government Regulation of Drug Products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the United States, the FDA regulates drugs under the Federal Food, Drug and Cosmetic Act, or the FDCA, its implementing regulations, and other federal statutes and regulations. The process of obtaining regulatory approvals and the subsequent compliance with applicable federal, state, local and foreign statutes and regulations requires the expenditure of substantial time and financial resources. Failure to comply with the applicable United States requirements at any time during the product development process, approval process or after approval may subject an applicant to a variety of administrative or judicial sanctions, such as the FDA’s refusal to approve a pending NDA, withdrawal of an approval,</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process required by the FDA before product candidates may be marketed in the United States generally involves the following:</w:t>
      </w:r>
    </w:p>
    <w:p>
      <w:pPr>
        <w:spacing w:after="0" w:line="94" w:lineRule="exact"/>
        <w:rPr>
          <w:sz w:val="20"/>
          <w:szCs w:val="20"/>
          <w:color w:val="auto"/>
        </w:rPr>
      </w:pPr>
    </w:p>
    <w:p>
      <w:pPr>
        <w:ind w:left="640" w:hanging="317"/>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nonclinical laboratory and animal tests that must be conducted in accordance with good laboratory practice, or GLP, requirements;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to the FDA of an investigational new drug, or IND, application, which must become effective before clinical trials may begin;</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by an independent institutional review board, or IRB, for each clinical site or centrally before each trial may be initiated;</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adequate and well controlled human clinical trials to establish the safety and efficacy of the proposed product candidate for its intended use, performed in accordance with good clinical practices, or GCP, requirements;</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to the FDA of an NDA and payment of user fees;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an FDA advisory committee review, if applicable;</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pre-approval inspection of manufacturing facilities and selected clinical investigators for their compliance with current good manufacturing practices, or cGMP, and GCP;</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FDA audits of clinical trial sites to assure compliance with GCP and the integrity of the clinical data;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FDA review and approval of an NDA to permit commercial marketing for particular indications for use.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testing and approval process requires substantial time, effort, and financial resources.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Preclinical Studies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Preclinical studies include laboratory evaluation of drug substance chemistry, pharmacology, toxicity, and drug product formulation, as well as animal studies to assess potential safety and efficacy. Prior to commencing the first clinical trial with a product candidate, a sponsor must submit the results of the preclinical tests and preclinical literature, together with manufacturing information, analytical data, and any available clinical data or literature, among other required information, to the FDA as part of an IND. Some preclinical studies may continue even after the IND is submitted. The IND automatically becomes effective 30 days after receipt by the FDA, unless the FDA, within the 30-day time period, raises safety concerns or questions about the conduct of the clinical trial and imposes a clinical hold. In such a case, the IND sponsor and the FDA must resolve any outstanding concerns before the clinical trial can begin. As a result, submission of an IND may not result in FDA authorization to commence a clinical trial.</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Clinical Trials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Clinical trials involve the administration of the investigational new drug to human subjects under the supervision of qualified investigators in accordance with GCP requirements. A separate submission to the existing IND must be made for each successive clinical trial conducted during product development, as well as amendments to previously submitted clinical trials. Further, an independent IRB for each institution participating in the clinical trial must review and approve the plan for any clinical trial, its informed consent form, and other communications to study subjects before the clinical trial commences at that site. The IRB must continue to oversee the clinical trial while it is being conducted, including any changes to the study plans.</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or if the drug has been associated with unexpected serious harm to subjects. Some studies also include a data safety monitoring board, which receives special access to unblinded data during the clinical trial and may advise the sponsor to halt the clinical trial if it determines that there is an unacceptable safety risk for subjects or other grounds, such as no demonstration of efficacy.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Human clinical trials are typically conducted in three sequential phases that may overlap or be combined.</w:t>
      </w:r>
    </w:p>
    <w:p>
      <w:pPr>
        <w:spacing w:after="0" w:line="94" w:lineRule="exact"/>
        <w:rPr>
          <w:sz w:val="20"/>
          <w:szCs w:val="20"/>
          <w:color w:val="auto"/>
        </w:rPr>
      </w:pPr>
    </w:p>
    <w:p>
      <w:pPr>
        <w:ind w:left="640" w:hanging="317"/>
        <w:spacing w:after="0" w:line="287" w:lineRule="auto"/>
        <w:tabs>
          <w:tab w:leader="none" w:pos="63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1—Studies are initially conducted to test the product candidate for safety, dosage tolerance, structure-activity relationships, mechanism of action, absorption, metabolism, distribution, and excretion in healthy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volunteers or subjects with the target disease or condition. If possible, Phase 1 clinical trials may also be used to gain an initial indication of product effectiveness.</w:t>
      </w:r>
    </w:p>
    <w:p>
      <w:pPr>
        <w:spacing w:after="0" w:line="94" w:lineRule="exact"/>
        <w:rPr>
          <w:sz w:val="20"/>
          <w:szCs w:val="20"/>
          <w:color w:val="auto"/>
        </w:rPr>
      </w:pPr>
    </w:p>
    <w:p>
      <w:pPr>
        <w:jc w:val="both"/>
        <w:ind w:left="640" w:hanging="317"/>
        <w:spacing w:after="0" w:line="270" w:lineRule="auto"/>
        <w:tabs>
          <w:tab w:leader="none" w:pos="63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2—Controlled studies are conducted with groups of subjects with a specified disease or condition to provide enough data to evaluate the preliminary efficacy, optimal dosages and dosing schedule, and expanded evidence of safety. Multiple Phase 2 clinical trials may be conducted to obtain information prior to beginning larger and more expansive Phase 3 clinical trials.</w:t>
      </w:r>
    </w:p>
    <w:p>
      <w:pPr>
        <w:spacing w:after="0" w:line="50" w:lineRule="exact"/>
        <w:rPr>
          <w:rFonts w:ascii="Times New Roman" w:cs="Times New Roman" w:eastAsia="Times New Roman" w:hAnsi="Times New Roman"/>
          <w:sz w:val="14"/>
          <w:szCs w:val="14"/>
          <w:color w:val="auto"/>
        </w:rPr>
      </w:pPr>
    </w:p>
    <w:p>
      <w:pPr>
        <w:jc w:val="both"/>
        <w:ind w:left="640" w:hanging="317"/>
        <w:spacing w:after="0" w:line="270" w:lineRule="auto"/>
        <w:tabs>
          <w:tab w:leader="none" w:pos="63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3—These clinical trials are generally undertaken in larger subject populations to provide statistically significant evidence of efficacy and to further test for safety in an expanded subject population at multiple clinical trial sites. These clinical trials are intended to establish the overall risk/benefit profile of the product and provide an adequate basis for product labeling.</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Typically, clinical trials are designed in consultation with the FDA or foreign regulatory authorities during these development phases. The indications under development can influence the study designs employed during the conduct of clinical trials, such as for a first-line cancer treatment indication which may require head-to-head data demonstrating clinical superiority or non-inferiority to currently available therapies. The timeline for first-line cancer indication development programs may also be longer than for indications sought in the second or later lines of treatment due to a desire for regulatory authorities to expedite access to later-line treatments for those whose cancer has progressed despite available and earlier-line treatments. As such, many new oncology products initially seek an indication in treatments beyond the first line of treatment, which tend to be a smaller available treatment population in any oncology indication, and any later approvals sought for those products in earlier lines of treatment that target a larger treatment population may require the conduct of additional clinical trials.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FDA has implemented initiatives that may affect the development of oncology product candidates. For example, Project Optimus, which was launched in 2021, is an initiative to reform the dose selection and dose optimization paradigm across oncology drug development to emphasize selection of a dose or doses that maximize not only the efficacy of a drug but also its safety and tolerability. Project Optimus requires that developers of oncology drugs implement strategies in ongoing programs to leverage nonclinical and clinical data in dose selection, including the potential need to conduct randomized evaluations of a range of doses in trials, and require that these studies take place as early as possible in the development program.</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in March 2022, the FDA released a final guidance entitled “Expansion Cohorts: Use in First-In-Human Clinical Trials to Expedite Development of Oncology Drugs and Biologics,” which outlines how drug developers can utilize an adaptive trial design commonly referred to as a seamless trial design in early stages of oncology drug development (i.e., the first-in-human clinical trial) to compress the traditional three phases of trials into one continuous trial called an expansion cohort trial. Information to support the design of individual expansion cohorts are included in IND applications and assessed by the FDA. Expansion cohort trials can potentially bring efficiency to drug development and reduce developmental costs and time.</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FDA may require, or companies may pursue, additional clinical trials after a product is approved. These so-called Phase 4 trials may be made a condition to be satisfied after approval. The results of Phase 4 trials can confirm the effectiveness of a product candidate and can provide important safety information.</w:t>
      </w:r>
    </w:p>
    <w:p>
      <w:pPr>
        <w:spacing w:after="0" w:line="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Clinical trials must be conducted under the supervision of qualified investigators in accordance with GCP requirements, which include the requirements that all research subjects provide their informed consent in writing for their participation in any clinical trial and the review and approval of the study by an IRB. Investigators must also provide information to the clinical trial sponsors to allow the sponsors to make specified financial disclosures to the FDA. Clinical trials are conducted under protocols detailing, among other things, the objectives of the trial, the trial procedures, the parameters to be used in monitoring safety and the efficacy criteria to be evaluated and a statistical analysis plan. Information about some clinical trials, including a description of the trial and trial results, must be submitted within specific timeframes to the NIH for public dissemination on their website. Progress reports detailing the results of the clinical trials must be submitted at least annually to the FDA and more frequently if serious adverse events occur.</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 Progress reports detailing the results of the clinical trials must be submitted at least annually to the FDA and the IRB, and more frequently if serious adverse effects occur.</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Concurrent with clinical trials, companies usually complete additional animal studies and must also develop additional information about the chemistry and physical characteristics of the product candidate, as well as finalize a process for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FDA Expedited Review and Approval Programs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FDA has various programs, including fast track designation, breakthrough therapy designation, accelerated approval, and priority review, which are intended to expedite or simplify the process for the development and FDA review of drugs that are intended for the treatment of serious or life-threatening diseases or conditions and demonstrate the potential to address unmet medical needs. The purpose of these programs is to provide important new drugs to patients earlier than under standard FDA review procedures.</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Under the fast track program, the sponsor of a new drug candidate may request that FDA designate the drug candidate for a specific indication as a fast track drug concurrent with, or after, the filing of the IND for the drug candidate. To be eligible for a fast track designation, the FDA must determine, based on the request of a sponsor, that a product is intended to treat a serious or life 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Fast track designation provides additional opportunities for interaction with the FDA’s review team and may allow for rolling review of NDA components before the completed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However, the FDA’s time period goal for reviewing an application does not begin until the last section of the NDA is submitted. The FDA may decide to rescind the fast track designation if it determines that the qualifying criteria no longer apply.</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a sponsor can request breakthrough therapy designation for a drug if it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intensive guidance from the FDA on an efficient drug development program, organizational commitment to the development and review of the product, including involvement of senior managers, and, like fast track products, are also eligible for rolling review of the NDA. Both fast track and breakthrough therapy products may be eligible for accelerated approval and/or priority review, if relevant criteria are met.</w:t>
      </w:r>
    </w:p>
    <w:p>
      <w:pPr>
        <w:spacing w:after="0" w:line="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Under the FDA’s accelerated approval pathway, the FDA may approve a drug for a serious or life 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 drug candidate approved on this basis is subject to rigorous post marketing compliance requirements, including the completion of Phase 4 or post approval clinical trials to confirm the effect on the clinical endpoint. Under the Food and Drug Omnibus Reform Act of 2022, or FDORA, the FDA is now permitted to require that these trials be underway prior to approval or within a specific time period after the date of approval for a product granted accelerated approval. Under FDORA, the FDA has increased authority for expedited procedures to withdraw approval of a drug or indication approved under accelerated approval if, for example, the confirmatory trial fails to verify the predicted clinical benefit of the product. All promotional materials for drug candidates approved under accelerated approval regulations are subject to prior review by the FDA unless the sponsor is otherwise informed by the FDA.</w:t>
      </w:r>
    </w:p>
    <w:p>
      <w:pPr>
        <w:spacing w:after="0" w:line="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Once an NDA is submitted for a product intended to treat a serious condition, the FDA may assign a priority review designation if FDA determines that the product, if approved, would provide a significant improvement in safety or effectiveness. A priority review means that the goal for the FDA to review an application is six months, rather than the standard review of ten months under the Prescription Drug User Fee Act, or PDUFA, guidelines. Under the current PDUFA performance goals, these six- and ten-month review periods are measured from the 60-day filing date rather than the receipt date for NDAs for new molecular entities, which typically adds approximately two months to the timeline for review from the date of submission.</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Even if a product qualifies for one or more of these programs, the FDA may later decide that the product no longer meets the conditions for qualification or decide that the time period for FDA review or approval will not be shortened. In addition, the manufacturer of an investigational drug for a serious or life-threatening disease is required to make available, such as by posting on its website, its policy on responding to requests for expanded access. Furthermore, fast track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designation, breakthrough therapy designation, accelerated approval, and priority review do not change the standards for approval and may not ultimately expedite the development or approval process.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NDA Submission and Review by the FDA</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Assuming successful completion of the required clinical and preclinical testing, among other items, the results of product development, including chemistry, manufacture and controls, nonclinical studies and clinical trials are submitted to the FDA, along with proposed labeling, as part of an NDA. The submission of an NDA requires payment of a substantial user fee to the FDA. These user fees must be filed at the time of the first submission of the application, even if the application is being submitted on a rolling basis. Fee waivers or reductions are available in some circumstances. One basis for a waiver of the application fee is if the applicant employs fewer than 500 employees, including employees of affiliates, the applicant does not have an approved marketing application for a product that has been introduced or delivered for introduction into interstate commerce and the applicant, including its affiliates, is submitting its first marketing application. Orphan-designated drugs are also exempt from the application fee.</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Under the Pediatric Research Equity Act, or PREA, an NDA or supplement to an NDA for a new active ingredient, indication, dosage form, dosage regimen or route of administration must contain data that are adequate to assess the safety and efficacy of the drug for the claimed indications in all relevant pediatric subpopulations and to support dosing and administration for each pediatric subpopulation for which the product is safe and effective. PREA generally does not apply to a drug for an indication for which orphan drug designation has been granted, except that PREA will apply to an original NDA for a new active ingredient that is orphan-designated if the drug is a molecularly targeted cancer product intended for the treatment of an adult cancer and is directed at a molecular target that FDA determines to be substantially relevant to the growth or progression of a pediatric cancer.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FDA may refer applications for drugs that contain active ingredients, including any ester or salt of the active ingredients, which have not previously been approved by the FDA to an advisory committee. The FDA may also refer drugs which present difficult questions of safety, purity or potency to an advisory committee. An advisory committee is typically a panel that includes clinicians and other experts who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FDA reviews applications to determine, among other things, whether a product is safe and effective for its intended use and whether the manufacturing controls are adequate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including contract manufacturers and subcontracts, are in compliance with cGMP requirements and adequate to assure consistent production of the product within required specifications. Additionally, before approving an NDA, the FDA will typically inspect one or more clinical trial sites to assure compliance with GCPs.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Once the FDA receives an application, it has 60 days to review the NDA to determine if it is substantially complete to permit a substantive review, before it accepts the application for filing. Once the submission is accepted for filing, the FDA begins an in-depth review of the NDA. Under the goals and policies agreed to by the FDA under PDUFA, the FDA’s review goal for a standard NDA for a new molecular entity, or NME, is 10 months from the 60-day filing date. For priority review applications, the FDA’s review goal for NME NDAs is within six months of the 60-day filing date. Such deadlines are referred to as the PDUFA date. The PDUFA date is only a goal, and the FDA does not always meet its PDUFA dates. The review process and the PDUFA date may also be extended if the FDA requests or the NDA sponsor otherwise provides additional information or clarification during the review period that amends the original application.</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Once the FDA’s review of the application is complete, the FDA will issue either a Complete Response Letter, or CRL, or an approval letter. A CRL indicates that the review cycle of the application is complete, and the application is not ready for approval. A CRL generally contains a statement of specific conditions that must be met in order to secure final approval of the NDA and may require additional clinical or preclinical testing or other information or analyses in order for the FDA to reconsider the application in a resubmitted NDA. Even with the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FDA may delay or refuse approval of an NDA if applicable regulatory criteria are not satisfied, require additional testing or information, require post-marketing testing and surveillance to monitor safety or efficacy of a product and/or impose other conditions, including distribution restrictions or other risk management mechanisms. For example, the FDA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may require a Risk Evaluation and Mitigation Strategy, or REMS, as a condition of approval or following approval to mitigate any identified or suspected serious risks and ensure safe use of the drug. The FDA may prevent or limit further marketing of a product or impose additional post-marketing requirements, based on the results of post-marketing studies or surveillance programs. After approval, some types of changes to the approved product, such as adding new indications, manufacturing changes, and additional labeling claims, are subject to further testing requirements, FDA notification, and prior FDA review and approval. Further, should new safety information arise, additional testing, product labeling changes or FDA notification may be required.</w:t>
      </w:r>
    </w:p>
    <w:p>
      <w:pPr>
        <w:spacing w:after="0" w:line="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If regulatory approval of a product is granted, such approval may entail limitations on the indicated uses for which such product may be marketed or may include contraindications, a boxed warning, or other warnings or precautions in the product labeling, which has resulted in a boxed warning. A boxed warning is the strictest warning put in the labeling a drug product by the FDA when there is reasonable evidence of an association of a serious hazard with the drug. The FDA also may not approve the inclusion of all labeling claims sought by an applicant. Once approved, the FDA may withdraw the product approval if compliance with pre- and post-marketing regulatory standards is not maintained or if problems occur after the product reaches the marketplace. In addition, the FDA may require Phase 4 post-marketing studies to monitor the effectiveness or safety of an approved product and may limit further marketing of the product based on the results of these post-marketing studies.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Post-Approval Requirements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Any products manufactured or distributed by us pursuant to FDA approvals will be subject to continuing regulation by the FDA, including periodic reporting, product sampling and distribution, advertising, promotion, drug shortage reporting, compliance with any post-approval requirements imposed as a condition of approval such as Phase 4 clinical trials, or a REMS, and recordkeeping and reporting requirements, including adverse experiences.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After approval, many changes to the approved product, such as adding new indications or other labeling claims are subject to prior FDA review and approval. There also are continuing, annual program fee requirements for approved products, as well as new application fees for supplemental applications with clinical data. Drug manufacturers and their subcontractors, and those supplying products, ingredients, and components of them, are required to register their establishments with the FDA and certain state agencies, and to list their drug products, and are subject to periodic announced and unannounced inspections by the FDA, and these state agencies for compliance with cGMPs and other requirements, which impose procedural and documentation requirements.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Changes to the manufacturing process are strictly regulated and often require prior FDA approval or notification before being implemented. FDA regulations also require investigation and correction of any deviations from cGMP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Later discovery of previously unknown problems with a product, including adverse events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FDA closely regulates the marketing and promotion of drugs. A company can make only those claims relating to safety and efficacy that are consistent with the FDA approved labeling. Physicians, in their independent professional medical judgement, may prescribe legally available products for uses that are not described in the product’s labeling and that differ from those tested by us and approved by the FDA. However, manufacturers and third parties acting on their behalf are prohibited from marketing or promoting drugs in a manner inconsistent with the approved labeling. The FDA and other agencies enforce the laws and regulations prohibiting the promotion of off-label uses and a company that is found to have improperly promoted off-label uses may be subject to significant liability.</w:t>
      </w:r>
    </w:p>
    <w:p>
      <w:pPr>
        <w:spacing w:after="0" w:line="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Failure to comply with any of the FDA’s requirements could result in significant adverse enforcement actions. These may include a variety of administrative or judicial sanctions, such as refusal to approve pending applications, license suspension or revocation, withdrawal of an approval, imposition of a clinical hold or termination of clinical trials, warning letters, untitled letters, modification of promotional materials or labeling, product recalls, product seizures or detentions, refusal to allow imports or exports, total or partial suspension of production or distribution, debarment, injunctions, fines, consent decrees, corporate integrity agreements, refusals of government contracts and new orders under existing contracts, exclusion from participation in federal and state healthcare programs, restitution, disgorgement or civil or criminal penalties, including fines and imprisonment. It is also possible that failure to comply with the FDA’s requirements relating to the promotion of prescription drugs may lead to investigations alleging violations of federal and state healthcare fraud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2160"/>
        <w:spacing w:after="0" w:line="379" w:lineRule="auto"/>
        <w:rPr>
          <w:sz w:val="20"/>
          <w:szCs w:val="20"/>
          <w:color w:val="auto"/>
        </w:rPr>
      </w:pPr>
      <w:r>
        <w:rPr>
          <w:rFonts w:ascii="Times New Roman" w:cs="Times New Roman" w:eastAsia="Times New Roman" w:hAnsi="Times New Roman"/>
          <w:sz w:val="14"/>
          <w:szCs w:val="14"/>
          <w:color w:val="auto"/>
        </w:rPr>
        <w:t xml:space="preserve">and abuse and other laws, as well as state consumer protection laws. Any of these sanctions could result in adverse publicity, among other adverse consequences. </w:t>
      </w:r>
      <w:r>
        <w:rPr>
          <w:rFonts w:ascii="Times New Roman" w:cs="Times New Roman" w:eastAsia="Times New Roman" w:hAnsi="Times New Roman"/>
          <w:sz w:val="14"/>
          <w:szCs w:val="14"/>
          <w:b w:val="1"/>
          <w:bCs w:val="1"/>
          <w:i w:val="1"/>
          <w:iCs w:val="1"/>
          <w:color w:val="auto"/>
        </w:rPr>
        <w:t>U.S. Marketing Exclusivity</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FDA provides periods of non-patent regulatory exclusivity, which provides the holder of an approved NDA limited protection from new competition in the marketplace for the innovation represented by its approved drug for a period of three or five years following the FDA’s approval of the NDA. Five years of exclusivity are available to new chemical entities, or NCEs. An NCE is a drug that contains no active moiety that has been approved by the FDA in any other NDA. An active moiety is the molecule or ion responsible for the therapeutic activity of the drug substance, excluding those appended portions of the molecule that cause the drug to be an ester, salt, including a salt with hydrogen or coordination bonds or other noncovalent bonds not involving the sharing of electron pairs between atoms, derivatives, such as a complex (i.e., formed by the chemical interaction of two compounds), chelate (i.e., a chemical compound) or clathrate (i.e., a polymer framework that traps molecules) of the molecule. During the exclusivity period, the FDA may not accept for review or approve an Abbreviated New Drug Application, or ANDA, or a 505(b)(2) NDA submitted by another company that contains the previously approved active moiety. An ANDA or 505(b)(2) application, however, may be submitted one year before NCE exclusivity expires if a Paragraph IV certification is filed.</w:t>
      </w:r>
    </w:p>
    <w:p>
      <w:pPr>
        <w:spacing w:after="0" w:line="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the Orphan Drug Act, the FDA may designate a drug product as an “orphan drug” if it is intended to treat a rare disease or condition (generally meaning that it affects fewer than 200,000 individuals in the United States or there is no reasonable expectation that the cost of developing and making a drug product available in the United States for treatment of the disease or condition will be recovered from sales of the product). A company must request orphan drug designation before submitting an NDA. If the request is granted, the FDA will disclose the identity of the therapeutic agent and its potential use. Orphan product designation does not convey any advantage in or shorten the duration of the regulatory review and approval process.</w:t>
      </w:r>
    </w:p>
    <w:p>
      <w:pPr>
        <w:spacing w:after="0" w:line="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If an orphan-designated drug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any other applications for the same product for the same indication for seven years, except in certain limited circumstances. If an orphan-designated drug receives marketing approval for an indication broader than what was designated in its orphan product application, it may not be entitled to exclusivity. Orphan exclusivity also will not block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obtain approval for the same product but for a different indication for which the orphan product has exclusivity.</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the FDCA also provides incentives for sponsors to conduct studies of drugs in pediatric populations. A drug may be eligible for pediatric exclusivity if a sponsor voluntarily completes a pediatric study that fairly responds to an FDA-issued Written Request. If granted, pediatric exclusivity adds six months to existing regulatory exclusivity periods and patent terms for all approved drug products that contain the active moiety for which pediatric exclusivity was granted.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Regulation Outside the United States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be subject to similar foreign laws and regulations concerning the development of our product candidates outside of the United States, including the European Union, or EU, and China.</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European Union Drug Development</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EU, our product candidates also will be subject to extensive regulatory requirements. As in the United States, medicinal products can be marketed only if a marketing authorization from the competent regulatory agencies has been obtained, and the various phases of preclinical and clinical research in the EU are subject to significant regulatory controls.</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April 2014, the EU adopted the Clinical Trials Regulation EU No 536/2014, or Clinical Trials Regulation, which replaced the Clinical Trials Directive 2001/20/EC on January 31, 2022. All clinical trials in the EU must now be conducted in accordance with the Clinical Trials Regulation. This regulation aims at simplifying and streamlining the approval of clinical trials in the EU; for example, the Clinical Trials Regulation provides for a streamlined application procedure via a single entry point, and also establishes rules on the protection of subjects and informed consent, transparency requirements, and strictly defined deadlines for the assessment of clinical trial applications.</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EU, the Pediatric Committee, or PDCO, of the European Medicines Agency, or EMA, must approve the pediatric investigation plan, or PIP, prior to the filing of a marketing authorization application, or MAA, unless the EMA has granted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ind w:firstLine="5"/>
        <w:spacing w:after="0" w:line="258" w:lineRule="auto"/>
        <w:tabs>
          <w:tab w:leader="none" w:pos="20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product-specific waiver, (2) a class waiver or (3) a deferral for one or more of the measures included in the PIP. The PIP outlines the pharmaceutical company’s strategy for investigation of the new medicinal product in the pediatric population. Before an MAA can be filed, or an existing marketing authorization can be amended, the EMA assesses whether companies have complied with the agreed studies and measures listed in each relevant PIP. If an applicant obtains a marketing authorization in all EU Member States, or a marketing authorization granted through the centralized procedure by the European Commission, or EC, and the study results for the pediatric population are included in the product information, even when negative, the medicine is then eligible for an additional six-month period of qualifying patent protection through extension of the term of any supplementary protection certificate, or SPC, so long as an application for this extension is made at the same time as filing the SPC application for the product, or at any point up to two years before the SPC expires.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European Union Expedited Review and Development</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PRIME, or PRIority MEdicine, is a scheme provided by the EMA to enhance support for the development of medicines that target an unmet medical need and provides accelerated assessment of products representing substantial innovation where the MAA will be made through the centralized procedure. To qualify for PRIME, product candidates require early clinical evidence that the therapy has the potential to offer a major therapeutic advantage over existing treatments or benefits patients without treatment options. Products from small-and medium-sized enterprises, or SMEs, may qualify for earlier entry into the PRIME scheme than larger companies. Among the benefits of PRIME are the appointment of a rapporteur from the EMA’s scientific committees to provide continuous support and help build knowledge ahead of an MAA, early dialogue and scientific advice at key development milestones, and the potential to qualify products for accelerated review earlier in the application process. The receipt of PRIME designation does not change the standards for approval but may expedite the development or approval process. Where, during the course of development, a product no longer meets the eligibility criteria, support under the PRIME scheme may be withdrawn.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European Union Drug Review and Approval</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the EU, medicinal products can only be commercialized after obtaining a marketing authorization, or MA. There are two types of MAs. Centralized MAs, which are issued by the EC through the centralized procedure, based on the opinion of the Committee for Medicinal Products for Human Use, or CHMP, of the EMA, are valid throughout the EU, and in the additional countries (Iceland, Liechtenstein and Norway) of the EEA. The centralized procedure is mandatory for certain types of products, such as medicinal products produced by certain biotechnological processes, products designated as orphan medicinal products, advanced therapy medicinal products (i.e., gene therapy, somatic cell therapy or tissue 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 National MAs, which are issued by the competent authorities of the EU Member States and only cover their respective territory, are available for products not falling within the mandatory scope of the centralized procedure. Under the above described procedures, before granting the MA, the EMA or the competent authorities of the EU Member States make an assessment of the risk benefit balance of the product on the basis of scientific criteria concerning its quality, safety and efficacy.</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pediatric-use marketing authorization, or PUMA, is available for medicines that are already authorized, no longer covered by an SPC or patent that qualifies as an SPC and are to be exclusively development for use in children. A PUMA is a dedicated MA covering the indication and formulation of a medicinal product developed exclusively for use in the pediatric population, where such development has been in accordance with an approved PIP. There are various incentives to apply for a PUMA, including access to the centralized procedure even where the product would otherwise fall outside the mandatory scope of this procedure.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European Union Orphan Designation</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EU, the EC grants orphan designation in respect of a product, after receiving the opinion of the EMA’s Committee for Orphan Medicinal Products, if its sponsor can establish that: (1) the product is intended for the diagnosis, prevention or treatment of a life-threatening or chronically debilitating condition; (2) either (i) such condition affects no more than five in 10,000 persons in the EU when the application is made, or (ii) it is unlikely that the product, without the benefits derived from orphan status, would generate sufficient return in the EU to justify the necessary investment in its development; and (3) there exists no satisfactory method of diagnosis, prevention or treatment of such condition authorized for marketing in the EU, or, if such a method exists, the product would be a significant benefit to those affected by that condition.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the EU, orphan designation entitles a party to financial incentives such as reduction of fees or fee waivers and 10 years of market exclusivity is granted following the grant of an MA. During this market exclusivity period, neither the EMA nor the EC nor any of the competent authorities in the EU Members States can accept an application or grant an MA for a “similar medicinal product”. A “similar medicinal product” is defined as a medicinal product containing a similar active substance or substances as contained in an authorized orphan medicinal product, and which is intended for the same therapeutic indication. This period may be reduced to six years if, at the end of the fifth year, it is established that the orphan designation criteria are no longer met, including where it is shown that the product is sufficiently profitable not to justify maintenance of market exclusivity. An MA may be granted to a similar medicinal product to an authorized orphan product in very select cases, such as if: (i) it is established that a similar medicinal product is safer, more effective or otherwise clinically superior to the authorized orphan product; (ii) the MA holder for the authorized orphan product consents to the authorization of the similar medicinal product; or (iii) the MA holder for the authorized orphan product cannot supply enough orphan medicinal product. Orphan designation must be requested before submitting an application for an MA. Orphan designation does not convey any advantage in, or shorten the duration of, the regulatory review and approval process. All of the aforementioned EU rules are generally applicable in the EEA.</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Drug Development in China</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All clinical trials conducted in China for the purpose of seeking marketing approvals must be approved by the China National Medical Products Administration, or NMPA, and conducted at hospitals satisfying GCP requirements. In addition to a standalone China trial to support development, imported drug applicants may include Chinese clinical sites as part of an international multi-center trial, or IMCT. Domestically manufactured drugs are not subject to foreign approval requirements, and in contrast to prior practice, the NMPA has decided to permit those drugs to conduct development via an IMCT as well.</w:t>
      </w:r>
    </w:p>
    <w:p>
      <w:pPr>
        <w:spacing w:after="0" w:line="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Drug Administration Law of the PRC, which was revised in 2019, or the rDAL, has now adopted an implied approval system for clinical trials of new drugs. Trials can proceed if, after 60 business days, the applicant has not received any objections from the Center for Drug Evaluation, or CDE, as opposed to the lengthier previous clinical trial pre-approval process in which the applicant had to wait for affirmative approval. The rDAL also expands the number of trial sites by abolishing the GCP accreditation system and requiring trial sites to follow a more simplified notification procedure.</w:t>
      </w:r>
    </w:p>
    <w:p>
      <w:pPr>
        <w:spacing w:after="0" w:line="2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NMPA finalized in November 2021 the Guideline on Clinical Value-Oriented Research and Development for Oncology Drugs as part of its policies intended to encourage the research and development of innovative oncology drugs with significant clinical value, and discourage repeated research and development of “me-too” drugs with minimal or no clinical value to patients.</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Clinical trials conducted in China must be registered and published through the Drug Clinical Trial Information Platform (http://www.chinadrugtrials.org.cn). Applicants are required to pre-register the trial information within one month after obtaining the clinical trial approval to obtain the trial’s unique registration number and to complete registration of certain follow-up information before the first subject’s enrollment in the trial. If the foregoing pre-registration and registration is not obtained within one year after obtaining the clinical trial approval, the applicant shall submit an explanation, and if the procedure is not completed within three years, the clinical trial approval automatically expires.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Healthcare Laws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fraud and abuse and other healthcare laws and regulations that may constrain the business or financial arrangements and relationships through which we develop, market, sell and distribute any drugs for which we obtain marketing approval. In the United States, these laws include, without limitation, state and federal anti-kickback, false claims, physician transparency and patient data privacy and security laws and regulations, including but not limited to those described below.</w:t>
      </w:r>
    </w:p>
    <w:p>
      <w:pPr>
        <w:spacing w:after="0" w:line="58" w:lineRule="exact"/>
        <w:rPr>
          <w:sz w:val="20"/>
          <w:szCs w:val="20"/>
          <w:color w:val="auto"/>
        </w:rPr>
      </w:pPr>
    </w:p>
    <w:p>
      <w:pPr>
        <w:jc w:val="both"/>
        <w:ind w:left="640" w:hanging="317"/>
        <w:spacing w:after="0" w:line="261" w:lineRule="auto"/>
        <w:tabs>
          <w:tab w:leader="none" w:pos="63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which prohibits, among other things, persons and entities from knowingly and willfully soliciting, offering, paying, receiving or providing any remuneration (including any kickback, bride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There are a number of statutory exceptions and regulatory safe harbors protecting some common activities from prosecution. Violations are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subject to civil and criminal fines and penalties for each violation, plus up to three times the remuneration involved, imprisonment, and exclusion from government healthcare programs;</w:t>
      </w:r>
    </w:p>
    <w:p>
      <w:pPr>
        <w:spacing w:after="0" w:line="94" w:lineRule="exact"/>
        <w:rPr>
          <w:sz w:val="20"/>
          <w:szCs w:val="20"/>
          <w:color w:val="auto"/>
        </w:rPr>
      </w:pPr>
    </w:p>
    <w:p>
      <w:pPr>
        <w:jc w:val="both"/>
        <w:ind w:left="640" w:hanging="317"/>
        <w:spacing w:after="0" w:line="258" w:lineRule="auto"/>
        <w:tabs>
          <w:tab w:leader="none" w:pos="63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civil and criminal false claims laws, including the civil False Claims Act, or FCA, which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that includes items or services resulting from a violation of the federal Anti-Kickback Statute constitutes a false or fraudulent claim for purposes of the civil False Claims Act. The FCA also permits a private individual acting as a “whistleblower” to bring actions on behalf of the federal government alleging violations of the FCA and to share in any monetary recovery;</w:t>
      </w:r>
    </w:p>
    <w:p>
      <w:pPr>
        <w:spacing w:after="0" w:line="61" w:lineRule="exact"/>
        <w:rPr>
          <w:rFonts w:ascii="Times New Roman" w:cs="Times New Roman" w:eastAsia="Times New Roman" w:hAnsi="Times New Roman"/>
          <w:sz w:val="14"/>
          <w:szCs w:val="14"/>
          <w:color w:val="auto"/>
        </w:rPr>
      </w:pPr>
    </w:p>
    <w:p>
      <w:pPr>
        <w:jc w:val="both"/>
        <w:ind w:left="640" w:hanging="317"/>
        <w:spacing w:after="0" w:line="264" w:lineRule="auto"/>
        <w:tabs>
          <w:tab w:leader="none" w:pos="63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civil monetary penalties laws, which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 The government may also assert that a claim including items or services resulting from a violation of the federal Anti-Kickback statute constitutes a false or fraudulent claim under federal civil monetary penalties laws;</w:t>
      </w:r>
    </w:p>
    <w:p>
      <w:pPr>
        <w:spacing w:after="0" w:line="55" w:lineRule="exact"/>
        <w:rPr>
          <w:rFonts w:ascii="Times New Roman" w:cs="Times New Roman" w:eastAsia="Times New Roman" w:hAnsi="Times New Roman"/>
          <w:sz w:val="14"/>
          <w:szCs w:val="14"/>
          <w:color w:val="auto"/>
        </w:rPr>
      </w:pPr>
    </w:p>
    <w:p>
      <w:pPr>
        <w:jc w:val="both"/>
        <w:ind w:left="640" w:hanging="317"/>
        <w:spacing w:after="0" w:line="261" w:lineRule="auto"/>
        <w:tabs>
          <w:tab w:leader="none" w:pos="63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Health Insurance Portability and Accountability Act of 1996, or HIPAA,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 Similar to the federal Anti-Kickback Statute, a person or entity need not have actual knowledge of the statute or specific intent to violate it in order to have committed a violation;</w:t>
      </w:r>
    </w:p>
    <w:p>
      <w:pPr>
        <w:spacing w:after="0" w:line="58" w:lineRule="exact"/>
        <w:rPr>
          <w:rFonts w:ascii="Times New Roman" w:cs="Times New Roman" w:eastAsia="Times New Roman" w:hAnsi="Times New Roman"/>
          <w:sz w:val="14"/>
          <w:szCs w:val="14"/>
          <w:color w:val="auto"/>
        </w:rPr>
      </w:pPr>
    </w:p>
    <w:p>
      <w:pPr>
        <w:jc w:val="both"/>
        <w:ind w:left="640" w:hanging="317"/>
        <w:spacing w:after="0" w:line="261" w:lineRule="auto"/>
        <w:tabs>
          <w:tab w:leader="none" w:pos="63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as amended by the Health Information Technology for Economic and Clinical Health Act of 2009, or HITECH, and their respective implementing regulations, imposes, among other things, specified requirements on covered entities and their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58" w:lineRule="exact"/>
        <w:rPr>
          <w:rFonts w:ascii="Times New Roman" w:cs="Times New Roman" w:eastAsia="Times New Roman" w:hAnsi="Times New Roman"/>
          <w:sz w:val="14"/>
          <w:szCs w:val="14"/>
          <w:color w:val="auto"/>
        </w:rPr>
      </w:pPr>
    </w:p>
    <w:p>
      <w:pPr>
        <w:jc w:val="both"/>
        <w:ind w:left="640" w:hanging="317"/>
        <w:spacing w:after="0" w:line="261" w:lineRule="auto"/>
        <w:tabs>
          <w:tab w:leader="none" w:pos="63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Physician Payments Sunshine Act, enacted as part of the Patient Protection and Affordable Care Act, as amended by the Health Care and Education Reconciliation Act of 2010, or collectively,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(defined to include doctors, dentists, optometrists, podiatrists and chiropractors), certain other licensed health care practitioners and teaching hospitals, as well as ownership and investment interests held by such physicians and their immediate family members; and</w:t>
      </w:r>
    </w:p>
    <w:p>
      <w:pPr>
        <w:spacing w:after="0" w:line="58" w:lineRule="exact"/>
        <w:rPr>
          <w:rFonts w:ascii="Times New Roman" w:cs="Times New Roman" w:eastAsia="Times New Roman" w:hAnsi="Times New Roman"/>
          <w:sz w:val="14"/>
          <w:szCs w:val="14"/>
          <w:color w:val="auto"/>
        </w:rPr>
      </w:pPr>
    </w:p>
    <w:p>
      <w:pPr>
        <w:jc w:val="both"/>
        <w:ind w:left="640" w:hanging="317"/>
        <w:spacing w:after="0" w:line="258" w:lineRule="auto"/>
        <w:tabs>
          <w:tab w:leader="none" w:pos="63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and foreign laws and regulations, such as state anti-kickback and false claims laws, which may apply to sales or marketing arrangements and claims involving healthcare items or services reimbursed by non-governmental third-party-payors, including private insurers, and may be broader in scope than their federal equivalents; state and foreign laws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drug pricing and payments and other transfers of value to physicians and other healthcare providers and restrict marketing practices or require disclosure of marketing expenditures and pricing information; state and local laws that require the registration of pharmaceutical sales representatives; state and foreign laws that govern the privacy and security of health information in some circumstances. In addition, some states have passed laws that require pharmaceutical companies to comply with the April 2003 Office of Inspector General Compliance Program Guidance for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640"/>
        <w:spacing w:after="0" w:line="287" w:lineRule="auto"/>
        <w:rPr>
          <w:sz w:val="20"/>
          <w:szCs w:val="20"/>
          <w:color w:val="auto"/>
        </w:rPr>
      </w:pPr>
      <w:r>
        <w:rPr>
          <w:rFonts w:ascii="Times New Roman" w:cs="Times New Roman" w:eastAsia="Times New Roman" w:hAnsi="Times New Roman"/>
          <w:sz w:val="14"/>
          <w:szCs w:val="14"/>
          <w:color w:val="auto"/>
        </w:rPr>
        <w:t>Pharmaceutical Manufacturers and/or the Pharmaceutical Research and Manufacturers of America’s Code on Interactions with Healthcare Professionals. These data privacy and security laws may differ from each other in significant ways and often are not pre-empted by HIPAA, which may complicate compliance efforts.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pharmaceutical manufacturers may also be subject to federal and state consumer protection and unfair competition laws and regulations, which broadly regulate marketplace activities and that potentially harm consumers.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distribution of drugs and biological products is subject to additional requirements and regulations, including extensive record-keeping, licensing, storage and security requirements intended to prevent the unauthorized sale of pharmaceutical products.</w:t>
      </w:r>
    </w:p>
    <w:p>
      <w:pPr>
        <w:spacing w:after="0" w:line="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full scope and enforcement of each of these laws is uncertain and subject to rapid change in the current environment of healthcare reform. Federal and state enforcement bodies have continued to increase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its business.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Coverage and Reimbursement</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Healthcare Reform</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2010, the United States Congress enacted the ACA, which, among other things, included changes to the coverage and payment for products under government health care programs. The ACA included provisions of importance to our potential product candidate that:</w:t>
      </w:r>
    </w:p>
    <w:p>
      <w:pPr>
        <w:spacing w:after="0" w:line="56" w:lineRule="exact"/>
        <w:rPr>
          <w:sz w:val="20"/>
          <w:szCs w:val="20"/>
          <w:color w:val="auto"/>
        </w:rPr>
      </w:pPr>
    </w:p>
    <w:p>
      <w:pPr>
        <w:ind w:left="640" w:hanging="317"/>
        <w:spacing w:after="0" w:line="287" w:lineRule="auto"/>
        <w:tabs>
          <w:tab w:leader="none" w:pos="63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expanded eligibility criteria for Medicaid programs, thereby potentially increasing a manufacturer’s Medicaid rebate liability;</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expanded manufacturers’ rebate liability under the Medicaid Drug Rebate Program;</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expanded the types of entities eligible for the 340B drug discount program;</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licensure framework for follow-on biologic products;</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establishment of a Center for Medicare &amp; Medicaid Innovation at CMS to test innovative payment and service delivery models to lower Medicare and Medicaid spending, potentially including prescription drug spending;</w:t>
      </w:r>
    </w:p>
    <w:p>
      <w:pPr>
        <w:spacing w:after="0" w:line="39"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established the Medicare Part D coverage gap discount program by requiring manufacturers to provide 70% point-of-sale-discounts off the negotiated price of applicable brand drugs to eligible beneficiaries during their coverage gap period as a condition for the manufacturers’ outpatient drugs to be covered under Medicare Part D; and</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created a Patient-Centered Outcomes Research Institute to oversee, identify priorities in and conduct comparative clinical effectiveness research, along with funding for such research.</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Other legislative changes have been proposed and adopted in the United States since the ACA was enacted. In August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2031.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On March 11, 2021, the American Rescue Plan Act of 2021 was signed into law, which eliminates the statutory Medicaid drug rebate cap, currently set at 100% of a drug’s average manufacturer price, for single source and innovator multiple source drugs, beginning January 1, 2024.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5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On January 20, 2025, President Trump reversed some of President Biden’s executive orders including rescinding Executive Order 14087 entitled “Lowering Prescription Drug Costs for Americans.” President Trump may issue new executive orders that could impact drug pricing, and/or rescind or modify the previous administration’s efforts to address drug costs. For example, on February 1, 2025, President Trump issued three executive orders announcing the imposition of tariffs ranging from 10% to 25% on products from Mexico, Canada, and China. A number of these and other proposed measures may require authorization through additional legislation to become effective. Congress and the Trump administration have indicated that they will continue to seek new legislative measures to control drug costs.</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August 2022, the IRA was signed into law. The IRA includes several provisions that could impact our business to varying degrees, including provisions that reduce the out-of-pocket cap for Medicare Part D beneficiaries to $2,000 starting in 2025, impose new manufacturer financial liability on certain drugs in Medicare Part D, allow the United States government to negotiate Medicare Part B and Part D price caps for certain high-cost drugs and biologics without generic or biosimilar competition, require companies to pay rebates to Medicare for certain drug prices that increase faster than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inflation, and delay the rebate rule that would limit the fees that pharmacy benefit managers can charge. Further, under the IRA, orphan drugs are exempted from the Medicare drug price negotiation program, but only if they have one orphan disease designation and for which the only approved indication is for that disease or condition. If a product receives multiple rare disease designations or has multiple approved indications, it will not qualify for the orphan drug exemption. The implementation of the IRA is currently subject to ongoing litigation challenging the constitutionality of the IRA’s Medicare drug price negotiation program. The future of the IRA and its impact on our business and the healthcare industry in general is not yet known.</w:t>
      </w:r>
    </w:p>
    <w:p>
      <w:pPr>
        <w:spacing w:after="0" w:line="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we may face competition in the United States for our development candidates and investigational medicines, if approved, from therapies sourced from foreign countries that have placed price controls on pharmaceutical products. In the United States, the FDA issued a final guidance document outlining a pathway for manufacturers to obtain an additional National Drug Code for an FDA-approved drug that was originally intended to be marketed in a foreign country and that was authorized for sale in that foreign country. The market implications of the final guidance are unknown at this time. Proponents of drug reimportation may attempt to pass legislation that would directly allow reimportation under certain circumstances. For example, the FDA works with states and Indian Tribes that propose to develop Section 804 Importation Programs for eligible prescription drugs from Canada in accordance with the Medicare Prescription Drug, Improvement, and Modernization Act of 2003. In January 2024 the FDA authorized a Section 804 importation program proposed by Florida, and several other states have pending proposals before the FDA. If successfully implemented, importation of drugs from Canada may materially and adversely affect the price we receive for any of our product candidates. Other legislation or regulations allowing the reimportation of drugs, if enacted, could decrease the price we receive for any products that we may develop and adversely affect our future revenues and prospects for profitability. Further, legally mandated price controls on payment amounts by third-party payors or other restrictions could adversely affect our business prospects, financial condition and results of operations.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Outside the United States, ensuring coverage and adequate payment for a product also involves challenges. Pricing of prescription pharmaceuticals is subject to government control in many countries. For example, in Canada, price control legislation for patented medicines is currently undergoing significant change that may have significant effects on profitability for companies selling products in Canada.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Resources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2024, we had 110 full-time employees, including 47 employees with an M.D. and/or Ph.D. degree. Of these full-time employees, 75 employees were engaged in research and development activities and 35 employees were engaged in general and administrative activities. We presently have nine senior leaders, seven of whom serve as executive officers. None of our employees are represented by a labor union or covered by a collective bargaining agreement. We consider our relationship with our employees to be good.</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that our future success depends upon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including health care, retirement planning and paid time off. As part of our promotion and retention efforts, we also invest in ongoing development.</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committed to creating an inclusive workplace where all employees can flourish, contribute and be their best. We have focused on creating a foundation of psychological safety, training leaders and employees on inclusive workplace practices, equitable pay practices and supporting employees with wellness programs that allow employees to bring their full selves to work each day. We support our local community in their efforts to bridge the opportunity gap for underserved communities. We believe this focus on a strong corporate culture, being a strong corporate citizen and fostering an inclusive work environment that embraces diversity in perspectives and experiences is a critical component to business success.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were incorporated in October 2015 under the laws of the State of Delaware. Our principal executive offices are located at 490 Arsenal Way, Suite 120, Watertown, Massachusetts 02472, and our telephone number is (617) 231-0700. We have one wholly owned subsidiary, C4T Securities Corporation, a Massachusetts corporation.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website address is www.c4therapeutics.com. Information on our website is not incorporated by reference herein. We will make available on our website, free of charge, our Annual Report on Form 10-K, Quarterly Reports on Form 10-Q, Current Reports on Form 8-K, including exhibits, and any amendments to those reports filed or furnished pursuant to Section 13(a) or 15(d) of the Exchange Act, as soon as reasonably practicable after we electronically file such material with, or furnish it to, the SEC. The SEC maintains an Internet site, http://www.sec.gov, containing reports, proxy and information statements, and other information regarding issuers that file electronically with the SEC.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copy of our Corporate Governance Guidelines, Code of Business Conduct and Ethics and the charters of the (i) Audit Committee, (ii) Organization, Leadership and Compensation Committee, and</w:t>
      </w:r>
    </w:p>
    <w:p>
      <w:pPr>
        <w:spacing w:after="0" w:line="23" w:lineRule="exact"/>
        <w:rPr>
          <w:sz w:val="20"/>
          <w:szCs w:val="20"/>
          <w:color w:val="auto"/>
        </w:rPr>
      </w:pPr>
    </w:p>
    <w:p>
      <w:pPr>
        <w:ind w:firstLine="5"/>
        <w:spacing w:after="0" w:line="266" w:lineRule="auto"/>
        <w:tabs>
          <w:tab w:leader="none" w:pos="2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Nominating and Corporate Governance Committee are posted on our website, www.c4therapeutics.com, under the heading “Corporate Governance” and are available in print to any person who requests copies by contacting us by calling (617) 231-0700 or by writing to C4 Therapeutics, Inc., 490 Arsenal Way, Suite 120, Watertown, Massachusetts 02472, Attention: Corporate Secretary.</w:t>
      </w:r>
    </w:p>
    <w:p>
      <w:pPr>
        <w:spacing w:after="0" w:line="5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intend to use press releases, our company website, including our Investor Relations website, and our LinkedIn, and Twitter accounts, which are listed below, as a means of disclosing material non-public information and for complying with our disclosure obligations under Regulation FD.</w:t>
      </w:r>
    </w:p>
    <w:p>
      <w:pPr>
        <w:spacing w:after="0" w:line="54" w:lineRule="exact"/>
        <w:rPr>
          <w:sz w:val="20"/>
          <w:szCs w:val="20"/>
          <w:color w:val="auto"/>
        </w:rPr>
      </w:pPr>
    </w:p>
    <w:p>
      <w:pPr>
        <w:spacing w:after="0"/>
        <w:rPr>
          <w:sz w:val="20"/>
          <w:szCs w:val="20"/>
          <w:color w:val="auto"/>
        </w:rPr>
      </w:pPr>
      <w:r>
        <w:rPr>
          <w:sz w:val="1"/>
          <w:szCs w:val="1"/>
          <w:color w:val="auto"/>
        </w:rPr>
        <w:drawing>
          <wp:inline distT="0" distB="0" distL="0" distR="0">
            <wp:extent cx="201930" cy="20193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1930" cy="20193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www.linkedin.com/company/c4-therapeutics-inc</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sz w:val="1"/>
          <w:szCs w:val="1"/>
          <w:color w:val="auto"/>
        </w:rPr>
        <w:drawing>
          <wp:inline distT="0" distB="0" distL="0" distR="0">
            <wp:extent cx="262890" cy="18859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2890" cy="188595"/>
                    </a:xfrm>
                    <a:prstGeom prst="rect">
                      <a:avLst/>
                    </a:prstGeom>
                    <a:noFill/>
                    <a:ln>
                      <a:noFill/>
                    </a:ln>
                  </pic:spPr>
                </pic:pic>
              </a:graphicData>
            </a:graphic>
          </wp:inline>
        </w:drawing>
      </w:r>
      <w:r>
        <w:rPr>
          <w:rFonts w:ascii="Times New Roman" w:cs="Times New Roman" w:eastAsia="Times New Roman" w:hAnsi="Times New Roman"/>
          <w:sz w:val="14"/>
          <w:szCs w:val="14"/>
          <w:color w:val="auto"/>
        </w:rPr>
        <w:t>https://twitter.com/C4Therapeutics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Investing in our common stock involves a high degree of risk. You should carefully consider the risks described below together with all the other information in this Annual Report on Form 10-K, including the section titled “Management’s Discussion and Analysis of Financial Condition and Results of Operations” and our financial statements and related notes appearing at the end of this Annual Report on Form 10-K, in evaluating our company. The risks and uncertainties described below and in our other filings with the SEC, may not be the only ones that we face. The occurrence of any of the events or developments described below, if they actually occur, could harm our business, financial condition, results of operations and growth prospects. As a result, the market price of our common stock could decline, and you may lose all or part of your investment in our common stock.</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financial position and need for additional capital</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a clinical-stage biopharmaceutical company and have incurred significant losses since our inception. We expect to incur losses over at least the next several years and may never achieve or maintain profitability.</w:t>
      </w:r>
    </w:p>
    <w:p>
      <w:pPr>
        <w:spacing w:after="0" w:line="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are a clinical-stage biopharmaceutical company with limited operating history. Our net loss was $105.3 million and $132.5 million for the years ended December 31, 2024 and 2023, respectively. As of December 31, 2024, we had an accumulated deficit of $633.7 million. To date, we have not generated any revenue from product sales and have financed our operations primarily through sales of our equity interests, including public offerings of our common stock, proceeds from our collaborations, share issuances and debt financing. We are still in the early stages of development of our product candidates. As a result, we expect that it will be several years, if ever, before we have a product candidate ready for regulatory approval and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without limitation, successfully completing preclinical studies and clinical trials of our product candidates, discovering additional product candidates, establishing arrangements with third parties for the conduct of our clinical trials, procuring clinical- and commercial-scale manufacturing, obtaining marketing approval for our product candidates, manufacturing, marketing and selling any products for which we may obtain marketing approval, identifying collaborators to develop product candidates we identify or additional uses of existing product candidates, and successfully completing development of product candidates for our collaboration partners.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expect to continue to incur significant expenses and increasing operating losses for at least the next several years. We anticipate that our expenses will increase substantially if and as we:</w:t>
      </w:r>
    </w:p>
    <w:p>
      <w:pPr>
        <w:spacing w:after="0" w:line="94" w:lineRule="exact"/>
        <w:rPr>
          <w:sz w:val="20"/>
          <w:szCs w:val="20"/>
          <w:color w:val="auto"/>
        </w:rPr>
      </w:pPr>
    </w:p>
    <w:p>
      <w:pPr>
        <w:ind w:left="640" w:hanging="317"/>
        <w:spacing w:after="0" w:line="287" w:lineRule="auto"/>
        <w:tabs>
          <w:tab w:leader="none" w:pos="63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conduct, and successfully complete first-in-human and later-stage clinical trials of our product candidates and as we expand the scope of our proprietary research and development portfolios;</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leverage our TORPEDO platform to identify and then advance additional product candidates into preclinical and clinical development;</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the capabilities of our TORPEDO platform;</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marketing approvals for any product candidates that successfully complete clinical trials;</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ultimately establish a sales, marketing, and distribution infrastructure and scale up external manufacturing capabilities to commercialize any products for which we expect to obtain marketing approval;</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expand, maintain, and protect our intellectual property portfolio;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staffing needs to meet the changing needs of the business as we advance additional product candidates and/or continue to develop existing product candidates.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Further, we expect to continue to incur additional costs associated with operating as a public company, including significant legal, accounting, insurance, investor relations, and other expenses.</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expenses could increase beyond our expectations if we are required by the FDA, the European Medicines Agency, or other regulatory authorities to perform trials in addition to those that we currently expect, or if we experience any delays in either establishing appropriate manufacturing arrangements for or completing our clinical trials or the clinical development of any of our product candidates.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of the numerous risks and uncertainties associated with pharmaceutical product development, we are unable to accurately predict the timing or amount of increased expenses we will incur or when, if ever, we will be able to achieve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profitability. Even if we do achieve profitability, we may not be able to sustain or increase profitability on a quarterly or annual basis. Our failure to become and remain profitable would depress the value of our company and could impair our ability to raise capital, maintain our research and development efforts, expand our business or continue operations. A decline in the value of our company, or in the value of our common stock, could also cause you to lose all or part of your investment.</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one or more of the product candidates that we develop is approved for commercial sale, we anticipate incurring significant costs associated with commercializing those approved product candidates. Even if we are able to generate revenues from the sale of any approved products, we may not become profitable and may need to obtain additional funding to continue operations.</w:t>
      </w:r>
    </w:p>
    <w:p>
      <w:pPr>
        <w:spacing w:after="0" w:line="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will need substantial additional funding to pursue our business objectives and continue our operations. If we are unable to raise capital when needed, we may be required to delay, limit, reduce, or terminate our research or product development programs or future commercialization efforts.</w:t>
      </w:r>
    </w:p>
    <w:p>
      <w:pPr>
        <w:spacing w:after="0" w:line="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expect our expenses to increase substantially in connection with our ongoing activities, particularly as we prepare for and initiate, conduct, and complete our ongoing and planned first-in-human Phase 1/2 clinical trials of our product candidates, advance our TORPEDO platform and continue research and development activities, expand our proprietary research and development portfolios and initiate and continue clinical trials of, and potentially seek marketing approval for, our current and future preclinical programs. In addition, if we obtain marketing approval for any of our product candidates, we expect to incur significant commercialization expenses related to product manufacturing, marketing, sales, and distribution. Further, we expect to continue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had cash, cash equivalents, and marketable securities of approximately $267.3 million as of December 31, 2024. We believe that these funds will be sufficient to fund our planned operating expenses into 2027. We have based this estimate on assumptions that may prove to be wrong, and we could deplete our current capital resources sooner than we currently expect. Our future capital requirements will depend on many factors, including:</w:t>
      </w:r>
    </w:p>
    <w:p>
      <w:pPr>
        <w:spacing w:after="0" w:line="51" w:lineRule="exact"/>
        <w:rPr>
          <w:sz w:val="20"/>
          <w:szCs w:val="20"/>
          <w:color w:val="auto"/>
        </w:rPr>
      </w:pPr>
    </w:p>
    <w:p>
      <w:pPr>
        <w:ind w:left="640" w:hanging="317"/>
        <w:spacing w:after="0" w:line="287" w:lineRule="auto"/>
        <w:tabs>
          <w:tab w:leader="none" w:pos="63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progress, costs, and results of our ongoing and planned first-in-human Phase 1/2 clinical trials for our product candidates and any future clinical development of those product candidates;</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progress, costs, and results of clinical development stage programs and our other product candidates and development programs;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development requirements of other product candidates that we pursue;</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our ongoing collaborations;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outcomes of regulatory review of our product candidates;</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future commercialization activities, including product manufacturing, marketing, sales, and distribution, for any of our product candidates for which we receive or expect to receive marketing approval;</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revenue, if any, received from commercial sales of our product candidates for which we receive marketing approval and the timing of the receipt of any such revenue;</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delays or interruptions, including delays due to any global health epidemics, that we experience in our preclinical studies, clinical trials, and/or supply chain;</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preparing, filing and prosecuting patent applications, maintaining and enforcing our intellectual property rights, and defending any intellectual property-related claims; and</w:t>
      </w:r>
    </w:p>
    <w:p>
      <w:pPr>
        <w:spacing w:after="0" w:line="39"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collaboration arrangements with other biotechnology or pharmaceutical companies on favorable terms, if at all, for the development or commercialization of our product candidates or access to our TORPEDO platform.</w:t>
      </w:r>
    </w:p>
    <w:p>
      <w:pPr>
        <w:spacing w:after="0" w:line="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Our current cash, cash equivalents, and marketable securities will not be sufficient for us to fund any of our product candidates through regulatory approval. As a result, we will need to raise substantial additional capital to complete the development and commercialization of our product candidates. Identifying potential product candidates and conducting preclinical studies and clinical trials is a time-consuming, expensive and uncertain process that takes years to complete. We may never generate the necessary data or results required to obtain marketing approval and achieve product sales. In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addition, our product candidates, if approved, may not achieve commercial success. Our commercial revenues, if any, will be derived from sales of products that we do not expect to be commercially available for several years, if at all. Adequate additional funds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one or more of the product candidates that we develop is approved for commercial sale, we anticipate incurring significant costs associated with commercializing those approved product candidates. Even if we are able to generate revenues from the sale of any approved products, we may not become profitable and may need to obtain additional funding to continue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remain early in the development lifecycle, which may make it difficult for you to evaluate the success of our business to date and assess our future viability.</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commenced operations in late 2015 and initiated our first Phase 1/2 clinical trial in 2021. Our activities to date have been limited to organizing and staffing our company, business planning, raising capital, conducting discovery and research activities, filing patent applications, identifying potential product candidates, developing and advancing our TORPEDO platform, undertaking preclinical studies, establishing arrangements with third parties for the manufacture of initial quantities of our product candidates, and preparing for and conducting early-stage clinical trials. While we have ongoing clinical trials and our partner Betta Pharma is conducting a clinical trial evaluating one of our product candidates, all of our other product candidates are still in the discovery stage. We have not yet demonstrated our ability to successfully complete any clinical trials, obtain marketing approvals, manufacture a commercial-scale product directly or through a third party or conduct sales, marketing and distribution activities necessary for successful product commercialization. Consequently, any predictions you make about our future success or viability may not be as accurate as they could be if we had a longer operating history or if we had already successfully completed some or all of these types of activities in the past.</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as a biopharmaceutical company, we may encounter unforeseen expenses, difficulties, complications, delays, and other known and unknown challenges. We will need to transition at some point from a company with a research and development focus to a company capable of supporting commercial activities and we may not be successful in making that transition.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expect our financial condition and operating results to continue to fluctuate significantly from quarter to quarter and year to year due to a variety of factors, many of which are beyond our control.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Accordingly, you should not rely upon the results of any quarterly or annual periods as indications of future operating performance.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Raising additional capital may cause dilution to our stockholders, restrict our operations or require us to relinquish rights to our technologies or product candidates.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Until the time, if ever, when we can generate substantial revenue from product sales, we expect to finance our cash needs through a combination of equity offerings, share issuances, private placements, debt financings, collaborations, strategic alliances and marketing, distribution or licensing arrangements. Although we may receive potential future payments under our collaborations, we do not currently have any committed external source of funds. If we raise additional capital through the sale of equity or convertible debt securities, your ownership interest will be diluted and the terms of any securities we may issue in the future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discovery and development of our product candidates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approach to the discovery and development of product candidates based on our TORPEDO platform for targeted protein degradation is unproven, which makes it difficult to predict the time, cost of development, and likelihood of successfully developing any products.</w:t>
      </w:r>
    </w:p>
    <w:p>
      <w:pPr>
        <w:spacing w:after="0" w:line="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Treating diseases using targeted protein degradation is a new treatment modality. Our future success depends on the successful development of this novel therapeutic approach. Very few small molecule product candidates using targeted protein degradation, such as those developed through our TORPEDO platform, have been tested in humans and none of the product candidates developed through our TORPEDO platform have been approved in the United States, Europe, or any other jurisdiction. The data underlying the feasibility of developing these types of therapeutic products is both preliminary and limited. If any adverse learnings are made by other developers of targeted protein degraders, there is a risk that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development of our product candidates could be materially impacted. Discovery and development of small molecules that harness the ubiquitin proteasome pathway to degrade protein targets have been impeded largely by the complexities and limited understanding of the functions, biochemistry and structural biology of the specific components of the ubiquitin-proteasome system, including E3 ligases and their required accessory proteins involved in target protein ubiquitination, as well as by challenges of engineering compounds that promote protein-to-protein interactions.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scientific research that forms the basis of our efforts to develop our degrader product candidates under our TORPEDO platform is ongoing and the scientific evidence to support the feasibility of developing TORPEDO platform-derived therapeutic treatments is both preliminary and limited. Further, certain cancer patients have shown inherent primary resistance to approved drugs that inhibit disease-causing proteins and other patients have developed acquired secondary resistance to these inhibitors. Although we believe our product candidates may have the ability to degrade the specific mutations that confer resistance to currently marketed inhibitors of disease-causing enzymes, any inherent primary or acquired secondary resistance to our product candidates in patients would prevent or diminish their clinical benefit, as would be the case if the scientific research that forms the basis of our efforts proves to be contradicted.</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While we have ongoing clinical trials, at this time, we have not yet completed a clinical trial of any product candidate. As a result, we are only starting to assess the safety of our lead product candidates in patients and we have not yet assessed the safety of any of our other earlier-stage product candidates in humans. Although some of our earlier-stage product candidates have produced observable results in animal studies, there is a limited safety data set for their effects in animals. In addition, these product candidates may not demonstrate the same chemical and pharmacological properties in humans and may interact with human biological systems in unforeseen, ineffective or harmful ways. As a result, there could be adverse effects from treatment with any of our current or future product candidates that we cannot predict at this time.</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Additionally, the regulatory approval process for novel product candidates such as ours can be more expensive and take longer than for other, better-known or extensively studied product candidates. Although other companies are also developing therapeutics based on targeted protein degradation, no regulatory authority has granted approval for any therapeutic of this nature at this time. As a result, it is more difficult for us to predict the time and cost of developing our product candidates and we cannot predict whether the application of our TORPEDO platform, or any similar or competitive protein degradation platforms, will result in the development of product candidates that make it through to marketing approval. Any development problems we experience in the future related to our TORPEDO platform or any of our research programs may cause significant delays or unanticipated costs or may prevent the development of a commercially viable product. Any of these factors may prevent us from completing our preclinical studies or any clinical trials that we may initiate, as well as from commercializing any product candidates we may develop on a timely or profitable basis, if at all.</w:t>
      </w:r>
    </w:p>
    <w:p>
      <w:pPr>
        <w:spacing w:after="0" w:line="6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are a clinical stage biotechnology company and, while we have commenced clinical trials of certain of our product candidates, our other product candidates are still in the discovery stage. If we are unable to advance to clinical development, develop, obtain regulatory approval for and commercialize our product candidates or experience significant delays in doing so, our business may be materially harmed.</w:t>
      </w:r>
    </w:p>
    <w:p>
      <w:pPr>
        <w:spacing w:after="0" w:line="5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are a clinical-stage biotechnology company and, while we have ongoing clinical trials, our other product candidates are currently in the discovery stage. As a result, their risk of failure is high. We have invested substantially all of our efforts and financial resources into building our TORPEDO platform and identifying and conducting preclinical development of our current product candidates, including our lead programs. Our ability to generate revenue from product sales, which we do not expect will occur for several years, if ever, will depend heavily on the successful development and eventual commercialization of one or more of our product candidates. The success of our product candidates will depend on several factors, including the following:</w:t>
      </w:r>
    </w:p>
    <w:p>
      <w:pPr>
        <w:spacing w:after="0" w:line="56" w:lineRule="exact"/>
        <w:rPr>
          <w:sz w:val="20"/>
          <w:szCs w:val="20"/>
          <w:color w:val="auto"/>
        </w:rPr>
      </w:pPr>
    </w:p>
    <w:p>
      <w:pPr>
        <w:ind w:left="640" w:hanging="317"/>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sufficiency of our financial and other resources;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initiation of clinical trials;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patient enrollment in, and conduct and completion of, clinical trials;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and related terms of marketing approvals from applicable regulatory authorities;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maintaining patent or trade secret protection and regulatory exclusivity for our product candidates;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suitable arrangements with third-party manufacturers for both clinical and commercial supplies of our product candidates;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product candidates that achieve the therapeutic properties desired and appropriate for their intended indications;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640" w:hanging="317"/>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sales, marketing and distribution capabilities, and launching commercial sales of our products, if and when approved, whether alone or in collaboration with others;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acceptance of our products, if and when approved, by patients, the medical community, and third-party payors;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maintaining third-party coverage and adequate reimbursement;</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 continued acceptable safety profile of our products and maintaining that profile following approval;</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competing with other therapies; and</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skill and success of our third-party collaboration partners in accomplishing any of the aforementioned in the markets in which they are developing our product candidate(s) in a timely manner.</w:t>
      </w:r>
    </w:p>
    <w:p>
      <w:pPr>
        <w:spacing w:after="0" w:line="39" w:lineRule="exact"/>
        <w:rPr>
          <w:sz w:val="20"/>
          <w:szCs w:val="20"/>
          <w:color w:val="auto"/>
        </w:rPr>
      </w:pPr>
    </w:p>
    <w:p>
      <w:pPr>
        <w:ind w:right="660"/>
        <w:spacing w:after="0" w:line="287" w:lineRule="auto"/>
        <w:rPr>
          <w:sz w:val="20"/>
          <w:szCs w:val="20"/>
          <w:color w:val="auto"/>
        </w:rPr>
      </w:pPr>
      <w:r>
        <w:rPr>
          <w:rFonts w:ascii="Times New Roman" w:cs="Times New Roman" w:eastAsia="Times New Roman" w:hAnsi="Times New Roman"/>
          <w:sz w:val="14"/>
          <w:szCs w:val="14"/>
          <w:color w:val="auto"/>
        </w:rPr>
        <w:t>If we do not successfully achieve one or more of these factors in a timely manner, or at all, we could experience significant delays or an inability to successfully commercialize our product candidates, which could materially harm our business. Moreover, if we do not receive regulatory approvals, we may not be able to continue our operations.</w:t>
      </w:r>
    </w:p>
    <w:p>
      <w:pPr>
        <w:spacing w:after="0" w:line="37"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Relative to companies that are more established than we are or that have a larger footprint than we do, we have relatively limited experience as a company in completing preclinical studies to enable the filing of INDs, submitting INDs or commencing, enrolling and conducting clinical trials.</w:t>
      </w:r>
    </w:p>
    <w:p>
      <w:pPr>
        <w:spacing w:after="0" w:line="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Our experience as a company in completing IND-enabling preclinical studies comes from our work in commencing clinical development of four product candidates. While this work represents a substantial amount of progress, to date, we still have relatively limited experience as a company in commencing, enrolling and conducting clinical trials. In part because of this, while we continue to make strides in this area, we cannot be certain that our planned clinical trials will begin, enroll or be completed on time, if at all. Additionally, even if the applicable regulatory authorities agree with the design and implementation of the clinical trials set forth in our INDs upon initial IND submission, we cannot guarantee that those regulatory authorities will not change their requirements in the future. These considerations apply to the INDs described above, additional INDs that we may submit in the future and also to new clinical trials we may submit as amendments to existing or new INDs.</w:t>
      </w:r>
    </w:p>
    <w:p>
      <w:pPr>
        <w:spacing w:after="0" w:line="2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Further, large-scale clinical trials would require significant additional financial and management resources and reliance on third-party clinical investigators, contract research organizations, or CROs, and consultants. Relying on third-party clinical investigators, CROs and consultants may cause us to encounter delays that are outside of our control and, for each of the product candidates that is currently in clinical development, we have engaged a CRO to lead our first-in-human Phase 1/2 clinical trials. Relying on third parties in the conduct of our preclinical studies or clinical trials exposes us to a risk that they may not adequately adhere to study or trial protocols or comply with good laboratory practice or good clinical practice, or GCP, as required for any studies or trials we plan to submit to a regulatory authority. We may also be unable to identify and contract with sufficient investigators, CROs, and consultants on a timely basis or at all, and we may also determine and have in the past determined after a clinical trial has commenced that a change in CRO is warranted. There can be no assurance that we will be able to negotiate and enter into appropriate contractual arrangements with our current or potential future CROs, if and when necessary for our other product candidates, on terms that are acceptable to us on a timely basis or at all.</w:t>
      </w:r>
    </w:p>
    <w:p>
      <w:pPr>
        <w:spacing w:after="0" w:line="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preclinical studies and clinical trials may fail to demonstrate adequately the safety and efficacy of any of our product candidates, which would prevent or delay development, regulatory approval, and commercialization. Further, the results of preclinical studies may not be predictive of future results in later studies or trials and initial success in clinical trials may not be indicative of results obtained when these trials are completed or in later stage clinical trials.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Before obtaining regulatory approval for the commercial sale of any of our product candidates, we must demonstrate through lengthy, complex, and expensive preclinical studies and clinical trials that our product candidates are both safe and effective for use in each target indication. This testing is expensive and can take many years to complete. Further, the outcome of these activities is inherently uncertain. Failure can occur at any time during the clinical development process and, because many of our product candidates are in an early stage of development and have never been tested in humans, there is a high risk of failure. In addition, because targeted protein degraders are a relatively new class of product candidates, any failures or adverse outcomes in preclinical or clinical testing seen by other developers in this class could materially impact the success of our programs. We may never succeed in developing marketable products.</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It is also possible that the results of preclinical studies and early clinical trials of our product candidates may not be predictive of the results of later-stage clinical trials.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Although</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product candidates may demonstrate promising results in preclinical studies and early clinical trials, they may not prove to be effective or safe in subsequent clinical trials. The results of the dose escalation portion of our ongoing and planned first-in-human Phase 1/2 clinical trials of our product candidates may not be predictive of the results of further clinical trials of these product candidates or any other product candidates and may not be sufficient to enable us to progress to the Phase 2 portion of a Phase 1/2 clinical trial. Testing on animals occurs under different conditions than testing in humans and, therefore, the results of animal studies may not accurately predict human experience.</w:t>
      </w:r>
    </w:p>
    <w:p>
      <w:pPr>
        <w:spacing w:after="0" w:line="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There is typically an extremely high rate of attrition from the failure of product candidates proceeding through preclinical studies and clinical trials. As was the case for our CFT8634 product candidate, which was the subject of a Phase 1/2 clinical trial that we ultimately elected to shut down, product candidates in clinical trials may fail to show the desired safety and efficacy profile despite having progressed successfully through preclinical studies and/or initial or earlier stage clinical trials. Likewise, early, smaller-scale clinical trials may not be predictive of eventual safety or effectiveness in large-scale pivotal clinical trials. In particular, the small number of patients in our planned early clinical trials or the designs of these trials may make the results of these trials less predictive of the outcome of later clinical trials. Many companies in the biopharmaceutical industry have suffered significant setbacks in advanced clinical trials due to lack of efficacy, insufficient durability of efficacy or unacceptable safety issues, notwithstanding promising results in earlier trials. Most product candidates that commence preclinical studies and clinical trials are never approved as marketable products. Any setbacks of this nature in our clinical development could materially harm our business, financial condition, results of operations and prospects.</w:t>
      </w:r>
    </w:p>
    <w:p>
      <w:pPr>
        <w:spacing w:after="0" w:line="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Additionally, we expect that the first clinical trials for our product candidates will be open-label studies, where both the patient and investigator know whether the patient is receiving the investigational product candidate or either an existing approved drug or placebo. This is the case with our ongoing first-in-human clinical trials and will be the case in the first-in-human clinical trials of the additional product candidates we presently expect to advance into clinical development. Open-label clinical trials often test only the investigational product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Any preclinical studies or clinical trials that we may conduct or have conducted may not demonstrate the safety and efficacy necessary to obtain regulatory approval to market our product candidates. If the results of our ongoing or future preclinical studies or clinical trials are inconclusive with respect to the safety and efficacy of our product candidates, if evidence of target degradation does not correlate with clinical efficacy, if we do not meet the clinical endpoints with statistical and clinically meaningful significance or if there are safety concerns associated with our product candidates, we may be prevented or delayed in obtaining marketing approval for those product candidates. In some instances, there can be significant variability in safety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w:t>
      </w:r>
    </w:p>
    <w:p>
      <w:pPr>
        <w:spacing w:after="0" w:line="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While we have commenced clinical trials of several of our product candidates, some of which remain ongoing, and our partner Betta Pharma has commenced a clinical trial of another of our product candidates, we have not yet initiated clinical trials for the remainder of our product candidates. As is the case with all drugs, it is likely that there may be side effects associated with the use of our product candidates related to on-target toxicity, off-target toxicity, or other mechanisms of drug toxicity including chemical-based toxicity. Results of our clinical trials could reveal a high and unacceptable severity and prevalence of side effects of this nature. If unacceptable levels of toxicity are observed or if our product candidates have other characteristics that are unexpected, we may need to abandon their development, modify our development plans as to dose level and/or dose schedule or otherwise, or limit development to more narrow uses or subpopulations in which the undesirable side effects or other characteristics are less prevalent, less severe or more acceptable from a risk-benefit perspective. For example, due to observed safety signals, we previously modified the dosing schedule in our ongoing Phase 1/2 clinical trial of cemsidomide as we continue to advance this clinical trial. Further, if we were to observe unacceptable levels of side effects, or if other developers of similar targeted protein degraders were to find an unacceptable severity or prevalence of side effects with their drug candidates, our trials could be suspended or terminated, and the FDA or comparable foreign regulatory authorities could order us to cease further development of or deny approval of our product candidates for any or all targeted indications. Drug-related side effects could also affect patient recruitment or the ability of enrolled patients to complete an ongoing trial or result in potential product liability claims. Many compounds that initially showed promise in early-stage testing for treating cancer have later been found to cause side effects that prevented further development of the compound. Any of these occurrences may significantly harm our business, financial condition, and prospects.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conclusions and analysis drawn from announced or published interim top-line and preliminary data from our clinical trials from time to time may change as more patient data become available. Further, all interim data that we provide remains subject to audit and verification procedures that could result in material changes in the final data.</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From time to time, we may publish interim or top-line preliminary data from our clinical trials. Interim data from clinical trials that we may conduct are subject to the risk that one or more of the clinical outcomes may materially change as patient enrollment continues and more patient data become available. In addition, preliminary or top-line data also remains subject to audit and verification procedures that may result in the final data being different, potentially in material ways, from the preliminary data we previously announced or published. As a result, interim and preliminary data should be viewed with caution until final data are available. Adverse differences between preliminary or interim data and final data could significantly harm our reputation, business, financial condition, results of operations and prospects.</w:t>
      </w:r>
    </w:p>
    <w:p>
      <w:pPr>
        <w:spacing w:after="0" w:line="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Drug development is a lengthy and expensive process with an uncertain outcome. We may incur unexpected costs or experience delays in completing, or ultimately be unable to complete, the development and commercialization of our product candidates.</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While we have commenced clinical trials of several product candidates and our partner Betta Pharma has commenced a clinical trial of another of our product candidates and while we previously elected to shut down a clinical trial evaluating one of our product candidates, the remainder of our product candidates are still in the discovery stage at this time and the risk of failure for all of our product candidates remains high. We are unable to predict when or if any of our product candidates will prove effective or safe in humans or will receive marketing approval. Before obtaining marketing approval from regulatory authorities for the sale of any product candidate, we must conduct extensive clinical trials to demonstrate the safety and efficacy of our product candidates in humans.</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Clinical testing is expensive, difficult to design and implement, can take many years to enroll and complete and is uncertain as to the timing and outcome. A failure of one or more clinical trials can occur at any stage of the process. We may experience numerous unforeseen events during or as a result of clinical trials, which could delay or prevent our ability to receive marketing approval or commercialize our product candidates, including:</w:t>
      </w:r>
    </w:p>
    <w:p>
      <w:pPr>
        <w:spacing w:after="0" w:line="51" w:lineRule="exact"/>
        <w:rPr>
          <w:sz w:val="20"/>
          <w:szCs w:val="20"/>
          <w:color w:val="auto"/>
        </w:rPr>
      </w:pPr>
    </w:p>
    <w:p>
      <w:pPr>
        <w:ind w:left="640" w:hanging="317"/>
        <w:spacing w:after="0" w:line="287" w:lineRule="auto"/>
        <w:tabs>
          <w:tab w:leader="none" w:pos="63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reaching, or the failure to reach, a consensus with regulators on clinical trial design or the inability to produce acceptable preclinical results to enable entry into human clinical trials;</w:t>
      </w:r>
    </w:p>
    <w:p>
      <w:pPr>
        <w:spacing w:after="0" w:line="39"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supply or quality of our product candidates or other materials necessary to conduct clinical trials may be insufficient or inadequate, including as a result of delays in the testing, validation, manufacturing and delivery of product candidates to the clinical sites by us or by third parties with whom we have contracted to perform certain of those functions;</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reaching, or the failure to reach, agreement on acceptable clinical trial contracts or clinical trial protocols with prospective trial sites or CROs;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regulators or institutional review boards, or IRBs, to authorize us or our investigators to commence a clinical trial or conduct a clinical trial at a prospective trial site;</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designing clinical trials and in selecting endpoints for diseases that have not been well studied and for which the natural history and course of the disease is poorly understood;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selection of certain clinical endpoints that may require prolonged periods of clinical observation or analysis of the resulting data;</w:t>
      </w:r>
    </w:p>
    <w:p>
      <w:pPr>
        <w:spacing w:after="0" w:line="93" w:lineRule="exact"/>
        <w:rPr>
          <w:rFonts w:ascii="Times New Roman" w:cs="Times New Roman" w:eastAsia="Times New Roman" w:hAnsi="Times New Roman"/>
          <w:sz w:val="14"/>
          <w:szCs w:val="14"/>
          <w:color w:val="auto"/>
        </w:rPr>
      </w:pPr>
    </w:p>
    <w:p>
      <w:pPr>
        <w:jc w:val="both"/>
        <w:ind w:left="640" w:hanging="317"/>
        <w:spacing w:after="0" w:line="270" w:lineRule="auto"/>
        <w:tabs>
          <w:tab w:leader="none" w:pos="63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patients required for clinical trials of our product candidates may be larger than we anticipate, enrollment in these clinical trials may be slower than we anticipate, participants may drop out of these clinical trials at a higher rate than we anticipate or fail to return for post-treatment follow-up or we may be unable to recruit suitable patients to participate in our clinical trials;</w:t>
      </w:r>
    </w:p>
    <w:p>
      <w:pPr>
        <w:spacing w:after="0" w:line="50"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 candidates may have undesirable side effects or other unexpected characteristics, causing us or our investigators, regulators or IRBs to suspend or terminate our clinical trials;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to suspend or terminate clinical trials of our product candidates for various reasons, including a finding that the participants are being exposed to unacceptable health risks;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third parties with whom we contract may fail to comply with regulatory requirements or meet their contractual obligations to us in a timely manner, or at all;</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from regulators or IRBs that we or our investigators suspend or terminate clinical trials for various reasons, including noncompliance with regulatory requirements or unacceptable safety risks;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640" w:hanging="317"/>
        <w:spacing w:after="0" w:line="287" w:lineRule="auto"/>
        <w:tabs>
          <w:tab w:leader="none" w:pos="63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trials of our product candidates may produce negative or inconclusive results and we may decide, or regulators may require us, to conduct additional clinical trials, modify our development plans as to dose level and/or dose schedule or otherwise, or abandon product development programs;</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clinical trials of our product candidates may be greater than we anticipate;</w:t>
      </w:r>
    </w:p>
    <w:p>
      <w:pPr>
        <w:spacing w:after="0" w:line="93" w:lineRule="exact"/>
        <w:rPr>
          <w:rFonts w:ascii="Times New Roman" w:cs="Times New Roman" w:eastAsia="Times New Roman" w:hAnsi="Times New Roman"/>
          <w:sz w:val="14"/>
          <w:szCs w:val="14"/>
          <w:color w:val="auto"/>
        </w:rPr>
      </w:pPr>
    </w:p>
    <w:p>
      <w:pPr>
        <w:jc w:val="both"/>
        <w:ind w:left="640" w:hanging="317"/>
        <w:spacing w:after="0" w:line="270" w:lineRule="auto"/>
        <w:tabs>
          <w:tab w:leader="none" w:pos="63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staffing shortages, including but not limited to the lack of appropriately trained or experienced clinical research associates or medical staff at the institutions where we conduct our clinical trials or the lack of sufficient support personnel at these institutions involved in site contracting and activation, may cause delays or create other challenges to the timely and efficient conduct of our clinical trials;</w:t>
      </w:r>
    </w:p>
    <w:p>
      <w:pPr>
        <w:spacing w:after="0" w:line="50"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imposition of a clinical hold by regulatory authorities as a result of a serious adverse event, concerns with a class of product candidates or after an inspection of our clinical trial operations, trial sites or manufacturing facilities;</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occurrence of serious adverse events associated with the product candidate that are viewed to outweigh its potential benefits; and</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caused by any global health epidemics, such as the COVID-19 pandemic, which may increase the likelihood that we encounter these types of difficulties or cause other delays in initiating, enrolling, conducting, or completing our planned clinical trials.</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also may encounter challenges in our clinical development programs due to evolving regulatory policy in the United States or other jurisdictions. For example, in 2021, the FDA's Oncology Center of Excellence launched Project Optimus, an initiative to reform dose selection in oncology drug development, and this initiative is still being implemented. If the FDA believes we have not sufficiently established that the selected dose or doses for our product candidates maximize efficacy as well as safety and tolerability, the FDA may require us to conduct additional clinical trials or generate additional dosing-related information, which could significantly delay and/or increase the expense of our clinical development programs.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we are required to conduct additional clinical trials or other testing of our product candidates beyond those that we currently contemplate, if we are unable to successfully enroll or complete clinical trials of our product candidates or other testing, if the results of these trials or tests are not positive or are only modestly positive or if there are safety concerns related to our product candidates, we may:</w:t>
      </w:r>
    </w:p>
    <w:p>
      <w:pPr>
        <w:spacing w:after="0" w:line="51" w:lineRule="exact"/>
        <w:rPr>
          <w:sz w:val="20"/>
          <w:szCs w:val="20"/>
          <w:color w:val="auto"/>
        </w:rPr>
      </w:pPr>
    </w:p>
    <w:p>
      <w:pPr>
        <w:ind w:left="760" w:hanging="373"/>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delayed in obtaining marketing approval for our product candidates, if at all;</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approval for indications or patient populations that are not as broad as intended or desired;</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approval with labeling that includes significant use or distribution restrictions or safety warnings;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required to perform additional clinical trials to support marketing approval;</w:t>
      </w:r>
    </w:p>
    <w:p>
      <w:pPr>
        <w:spacing w:after="0" w:line="93"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regulatory authorities withdraw or suspend their approval, or impose restrictions on distribution of a product candidate in the form of a risk evaluation and mitigation strategy, or REMS;</w:t>
      </w:r>
    </w:p>
    <w:p>
      <w:pPr>
        <w:spacing w:after="0" w:line="39"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subject to additional post-marketing testing requirements or changes in the way the product is administered; or</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our product removed from the market after obtaining marketing approval.</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product development costs also will increase if we experience delays in preclinical studies or clinical trials or in obtaining marketing approvals. While we have commenced clinical trials of several product candidates and our partner Betta Pharma has commenced a clinical trial of another of our product candidates, we do not know whether any of our (or our partner's) other clinical trials will begin as planned, will need to be restructured or will be completed on schedule, or at all. Significant clinical trial delays also could shorten any periods during which we may have the exclusive right to commercialize our product candidates or could allow our competitors to bring products to market before we do and impair our ability to successfully commercialize our product candidates, which may harm our business, results of operations, financial condition and prospects.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Further, cancer therapies sometimes are characterized as first-line, second-line or third-line. The FDA often approves new oncology therapies initially only for third-line or later use, meaning for use after two or more other treatments have failed. When cancer is detected early enough, first-line therapy, usually systemic anti-cancer therapy (e.g., chemotherapy), surgery, radiation therapy or a combination of these, is sometimes adequate to cure the cancer or prolong life without a cure. Second-line and third-line therapies are administered to patients when prior therapy has been shown to not be effective. Our ongoing and planned early-stage clinical trials will be with patients who have received one or more prior treatments and we expect that we would initially seek regulatory approval of our lead product candidates as second-line or</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third-line therapy. Subsequently, for those products that prove to be sufficiently beneficial, if any, we would expect to seek approval potentially as a first-line therapy, but any product candidates we develop, even if approved for second-line or third-line therapy, may not be approved for first-line therapy and, prior to seeking and/or receiving any approvals for first-line therapy, we may have to conduct additional clinical trials.</w:t>
      </w:r>
    </w:p>
    <w:p>
      <w:pPr>
        <w:spacing w:after="0" w:line="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Targeted protein degradation is a novel modality that continues to attract substantial interest from existing and emerging biotechnology and pharmaceutical companies. As a result, we face substantial competition, which may result in others discovering, developing or commercializing products for the same indication and/or patient population before or more successfully than we do.</w:t>
      </w:r>
    </w:p>
    <w:p>
      <w:pPr>
        <w:spacing w:after="0" w:line="2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biotechnology and pharmaceutical industries are characterized by rapidly advancing technologies, intense competition and a strong emphasis on proprietary products. We face, and will continue to face, competition from third parties that use protein degradation, antibody therapy, inhibitory nucleic acid, immunotherapy, gene editing, or gene therapy development platforms and from companies focused on more traditional therapeutic modalities, such as small molecule inhibitors. The competition we face and will face is likely to come from multiple sources, including major pharmaceutical, specialty pharmaceutical and biotechnology companies, academic institutions, government agencies and public and private research institutions.</w:t>
      </w:r>
    </w:p>
    <w:p>
      <w:pPr>
        <w:spacing w:after="0" w:line="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Targeted protein degradation is an emerging therapeutic modality that has the potential to deliver therapies that improve outcomes for patients. As a result, a number of biotechnology and pharmaceutical companies are already working to develop degradation-based therapies and the number of companies entering this space continues to increase. We are aware of several biotechnology companies developing product candidates based on chimeric small molecules for targeted protein degradation including Arvinas, Inc., Astellas Pharma Inc., BioTheryX, Inc., Captor Therapeutics, Inc., Cullgen Inc., Foghorn Therapeutics, Inc., Frontier Medicines Corporation, Glubio Therapeutics, Inc., Kymera Therapeutics, Inc., Monte Rosa Therapeutics, Inc., Nurix Therapeutics, Inc., Orum Therapeutics, Inc., PhoreMost, Ltd., Plexium, Inc., Salarius Pharmaceuticals, Inc., Seed Therapeutics, Inc., SK Life Science Labs., Ltd. (a subsidiary of SK Biopharmaceuticals), and Vividion Therapeutics, Inc. (a subsidiary of Bayer AG). Further, several large pharmaceutical companies and academic institutions have disclosed investments and research in this field including Amgen, AstraZeneca plc, Bristol-Myers Squibb Company (and its subsidiary Celgene Corporation), GlaxoSmithKline plc, Genentech, Inc., and Novartis International AG. In addition to competition from other protein degradation therapies, any products that we develop may also face competition from other types of therapies, such as small molecule, antibody, T cell or gene therapies.</w:t>
      </w:r>
    </w:p>
    <w:p>
      <w:pPr>
        <w:spacing w:after="0" w:line="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Mergers and acquisitions in the pharmaceutical and biotechnology industries may result in even more resources being concentrated among a smaller number of our competitors, the scale of which could be difficult to compete against. Smaller or early-stage companies may also prove to be significant competitors, particularly through collaborative arrangements with large and established companies. Our commercial opportunity could be reduced or eliminated if our competitors develop and commercialize products that are safer, more effective, have fewer or less severe side effects, are more convenient or are less expensive than any product candidate that we may develop. Our competitors also may obtain FDA or other regulatory approval for their product candidates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 carryforwards and research and development tax credit carryforwards may be limited.</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of December 31, 2024, we had $222.8 million federal net operating loss carryforwards and $338.3 million gross in U.S. state net operating loss carryforwards, portions of which expire at various dates through 2043. Under current law, federal net operating losses generated in tax years beginning after 2017, if any, will not expire and may be carried forward indefinitely, but our ability to deduct such federal net operating losses in tax years beginning after December 31, 2020 will be limited to the lesser of the net operating loss carryover or 80% of the corporation’s adjusted taxable income (subject to Section 382 of the Internal Revenue Code of 1986, as amended). It is uncertain if and to what extent various states will conform to the federal tax laws. In addition, at the state level, there may be periods during which the use of net operating losses is suspended or otherwise limited, which could accelerate or permanently increase state taxes owed.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we also had U.S. federal and state research and development tax credit carryforwards of $15.8 million and $7.8 million, respectively, which expire at various dates through 2043. These tax credit carryforwards could expire unused and be unavailable to offset our future income tax liabilities.</w:t>
      </w:r>
    </w:p>
    <w:p>
      <w:pPr>
        <w:spacing w:after="0" w:line="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addition, under Sections 382 and 383 of the Internal Revenue Code of 1986, as amended, or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In 2021, we completed a study of ownership changes from inception through December 31, 2020, which concluded that we experienced ownership changes as defined by Section 382 of the Code. However, there were no net operating loss carryforwards that were limited or expired unused. We have not updated the study to assess whether a change of ownership has occurred following the period covered by the 2021 study.. We may have experienced additional ownership changes that have not been identified that could result in the expiration of our net operating loss and tax credit carryforwards before utilization and we may experience subsequent shifts in our stock ownership, some of which are outside our control. As a result, if we earn net taxable income and determine that an ownership change has occurred and our ability to use our historical net operating loss and tax credit carryforwards is materially limited, that will harm our future operating results by effectively increasing our future tax obligations.</w:t>
      </w:r>
    </w:p>
    <w:p>
      <w:pPr>
        <w:spacing w:after="0" w:line="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serious adverse events, undesirable side effects or unexpected characteristics or results are identified during the development of any product candidates we may develop, we may need to modify, abandon, or limit our further clinical development of those product candidates.</w:t>
      </w:r>
    </w:p>
    <w:p>
      <w:pPr>
        <w:spacing w:after="0" w:line="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While we have commenced clinical trials of several product candidates and our partner Betta Pharma has commenced a clinical trial of another of our product candidates, all of our other product candidates are still in the discovery stage at this time, which means that we have not yet evaluated any of our other product candidates in human clinical trials. It is impossible to predict when or if any product candidates we may develop will prove safe in humans. There can be no assurance that any of the product candidates developed through our TORPEDO platform will not cause undesirable side effects, which could arise at any time during preclinical or clinical development.</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potential risk with product candidates developed through our TORPEDO platform, or in any protein degradation product candidate, is that healthy proteins or proteins not targeted for degradation will be degraded or that the degradation of the targeted protein in and of itself could cause adverse events, undesirable side effects or unexpected characteristics or results. There is also the potential risk of delayed adverse events following treatment using product candidates developed through our TORPEDO platform.</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If any product candidates we develop are associated with serious adverse events or undesirable side effects or have other characteristics or results that are unexpected, we may choose or need to abandon their development, modify our development plans as to dose level and/or dose schedule or otherwise, or limit development to certain uses or subpopulations in which the adverse events, undesirable side effects or other characteristics are less prevalent, less severe or more acceptable from a risk-benefit perspective. The occurrence of any of these types of events would have an adverse effect on our business, financial condition, results of operations, and prospects. Many product candidates that initially showed promise in early-stage testing for treating cancer or other diseases have later been found to cause side effects that prevented further clinical development of the product candidates or limited their competitiveness in the market. For example, single agent BRAF inhibitors can cause a secondary malignancy called keratocanthoma, which is a skin cancer caused by paradoxical activation of BRAF upon inhibitor binding.</w:t>
      </w:r>
    </w:p>
    <w:p>
      <w:pPr>
        <w:spacing w:after="0" w:line="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If we experience delays or difficulties in the enrollment of patients in our clinical trials, our timelines for submitting applications for and receiving necessary marketing approvals could be delayed, or we may be prevented from obtaining marketing approvals altogether.</w:t>
      </w:r>
    </w:p>
    <w:p>
      <w:pPr>
        <w:spacing w:after="0" w:line="1"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4"/>
          <w:szCs w:val="14"/>
          <w:color w:val="auto"/>
        </w:rPr>
        <w:t>We may not be able to initiate clinical trials for our product candidates if we are unable to locate and enroll a sufficient number of eligible patients to participate in these trials, as required by the FDA or similar regulatory authorities outside of the United States. We have progressed four product candidates – cemsidomide, CFT8634, CFT1946, and CFT8919 – into first-in-human clinical trials in June 2021, May 2022, December 2022, and November 2024, respectively, with clinical trials currently ongoing for cemsidomide, CFT1946 and CFT8919 (through our partner, Betta Pharma). While we believe that we will be able to enroll a sufficient number of patients into each of our ongoing and planned clinical trials, we cannot predict with certainty how difficult it will be to enroll patients for trials, some of which are in rare indications. Our ability to identify and enroll eligible patients for clinical trials of our product candidates may turn out to be limited or we may be slower in enrolling these trials than we anticipate. In addition, some of our competitors have ongoing clinical trials for product candidates that treat the same indications as our product candidates and, as a result, patients who would be eligible for our clinical trials may instead elect to enroll in clinical trials of our competitors’ product candidates. Patient enrollment in clinical trials is also affected by other factors including:</w:t>
      </w:r>
    </w:p>
    <w:p>
      <w:pPr>
        <w:spacing w:after="0" w:line="76" w:lineRule="exact"/>
        <w:rPr>
          <w:sz w:val="20"/>
          <w:szCs w:val="20"/>
          <w:color w:val="auto"/>
        </w:rPr>
      </w:pPr>
    </w:p>
    <w:p>
      <w:pPr>
        <w:ind w:left="640" w:hanging="317"/>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severity of the disease under investigation;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640" w:hanging="317"/>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eligibility criteria for the trial in question;</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perceived risks and benefits of the product candidates offered in the clinical trials;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efforts to facilitate timely enrollment in clinical trials;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patient referral practices of physicians;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suitable and sufficient staffing at clinical trial sites;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burden on patients due to the scope and invasiveness of required procedures under clinical trial protocols, some of which may be inconvenient and/or uncomfortable;</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monitor patients adequately during and after treatment;</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proximity and availability of clinical trial sites for prospective patients; and</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any global health epidemics, such as the recent COVID-19 pandemic, which may affect the conduct of a clinical trial, including by slowing potential enrollment or reducing the number of eligible patients for clinical trials or by interfering with patients’ ability to return to the clinical trial site for required monitoring, procedures, or follow-up.</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inability to enroll a sufficient number of patients for our clinical trials, or our inability to do so on a timely basis, would result in significant delays and could require us to abandon one or more clinical trials altogether. Enrollment delays in our clinical trials may also result in increased development costs for our product candidates, which would cause the value of our company to decline and limit our ability to obtain additional financing.</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or our partners may develop our product candidates in combination with other drugs. If the FDA or similar regulatory authorities outside of the United States do not approve these other drugs, revoke their approval of these other drugs or if safety, efficacy, manufacturing or supply issues arise with the drugs we choose to evaluate in combination with our product candidates, we may be unable to obtain approval of or market our product candidates.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Based on the study design for a number of our product candidates, once a recommended dose is identified from the dose escalation portion of our first-in-human Phase 1/2 clinical trial, we often plan to conduct a portion of that clinical trial in combination with one or more other medicines. We did not develop or obtain marketing approval for, nor do we manufacture or sell, any of the currently approved drugs that we may study in combination with our product candidates. If the FDA or similar regulatory authorities outside of the United States revoke their approval of the drug or drugs we intend to deliver in combination with our product candidates, we will not be able to market our product candidates in combination with those revoked drugs.</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safety or efficacy issues arise with any of these drugs, we could experience significant regulatory delays and the FDA or similar regulatory authorities outside of the United States may require us to redesign or terminate certain of our clinical trials. If the drugs we use are replaced as the standard of care for the indications we choose for our product candidates, the FDA or similar regulatory authorities outside of the United States may require us to conduct additional clinical trials. In addition, if manufacturing or other issues result in a shortage of supply of the drugs with which we determine to combine with our product candidates, we may not be able to complete clinical development of our product candidates on our current timeline or at all.</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Even if our product candidates were to receive marketing approval or be commercialized for use in combination with other existing drugs, we would continue to be subject to the risks that the FDA or similar regulatory authorities outside of the United States could revoke approval of the drugs used in combination with our product candidates or that safety, efficacy, manufacturing or supply issues could arise with these existing drugs.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Combination therapies are commonly used for the treatment of cancer and we would be subject to similar risks if we were to elect to develop any of our other product candidates for use in combination with other drugs or for indications other than cancer. This could result in our own products being removed from the market or being less successful commercially.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successful in our efforts to identify or discover additional potential product candidates.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While our current clinical stage programs are focused on oncology targets, a key element of our strategy is to apply our TORPEDO platform to develop product candidates that address a broad array of targets and new therapeutic areas, such as neurodegeneration, diseases of aging and infectious disease. The therapeutic discovery activities that we are conducting may not be successful in identifying product candidates that are useful in treating cancer or other diseases. Our research programs may initially show promise in identifying potential product candidates, yet fail to yield product candidates for clinical development for a number of reasons, including:</w:t>
      </w:r>
    </w:p>
    <w:p>
      <w:pPr>
        <w:spacing w:after="0" w:line="56" w:lineRule="exact"/>
        <w:rPr>
          <w:sz w:val="20"/>
          <w:szCs w:val="20"/>
          <w:color w:val="auto"/>
        </w:rPr>
      </w:pPr>
    </w:p>
    <w:p>
      <w:pPr>
        <w:ind w:left="640" w:hanging="317"/>
        <w:spacing w:after="0" w:line="287" w:lineRule="auto"/>
        <w:tabs>
          <w:tab w:leader="none" w:pos="63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product candidates may, on further study, be shown to have harmful side effects or other characteristics that indicate that they are unlikely to be drugs that will receive marketing approval or achieve market acceptance;</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product candidates may not be effective in treating their targeted diseases; or</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size for the target indications of a potential product candidate may diminish over time due to improvements in the standard of care to the point that further development is not warranted.</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Research programs to identify new product candidates require substantial technical, financial and human resources. We may choose to focus our efforts and resources on a potential product candidate that ultimately proves to be unsuccessful. If we are unable to identify suitable product candidates for preclinical and clinical development, we will not be able to obtain revenues from sale of products in future periods, which likely would result in significant harm to our financial position and adversely impact our stock price.</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do not achieve our projected development goals in the timeframes we announce and expect, the commercialization of our products may be delayed and, as a result, our stock price may decline.</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From time to time, we may estimate the timing of the anticipated accomplishment of various scientific, clinical, regulatory, and other product development goals, which we sometimes refer to as milestones. These milestones may include the commencement or completion of preclinical studies and clinical trials and the submission of regulatory filings. From time to time, we may publicly announce the expected timing of some of these milestones. Each of these milestones is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or the commercialization of our products may be delayed or never achieved and, as a result, our stock price may decline.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dependence on third parties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expect to rely on third parties to conduct our current and future clinical trials and those third parties may not perform satisfactorily, including by failing to meet deadlines for the completion of our clinical trials or failing to comply with regulatory requirements or our clinical protocols.</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currently rely on and plan to continue to rely on CROs to conduct our clinical trials of our product candidates. Additionally, we must contract with third-party research sites for the conduct of our clinical trials. Just as we rely on Betta Pharma to develop CFT8919 in Greater China in an efficient and effective manner, we may also similarly rely on other third party collaboration partners in the future to develop one or more of our products in various territories on certain timelines. Our agreements with these CROs, sites, and other third parties might terminate for a variety of reasons, including a failure to perform by the third parties. If we were ever to need to enter into alternative arrangements or if we were to need to change a CRO for an ongoing clinical trial, which we have done in the past, we might experience delays in our clinical development activities.</w:t>
      </w:r>
    </w:p>
    <w:p>
      <w:pPr>
        <w:spacing w:after="0" w:line="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reliance on CROs for research and development activities will reduce our control over these activities but will not relieve us of our responsibilities for how these activities are performed. For example, we will remain responsible for ensuring that each of our clinical trials is conducted in accordance with the general investigational plan and protocols in the applicable IND. Moreover, the FDA requires compliance with standards, commonly referred to as GCPs, for conducting, recording and reporting the results of clinical trials to assure that data and reported results are credible and accurate and that the rights, safety and confidentiality of trial participants are protected. GCP compliance extends not only to sponsors of clinical research but also to third parties including CROs and sites involved in the conduct of clinical research. Similarly, other regulators throughout the world require compliance with similar standards that are also applicable to clinical trial sponsors and other third parties like CROs and clinical trial sites.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Further, these CROs or sites may have relationships with other entities, some of which may be our peers or competitors. If the CROs or sites with whom we work do not successfully carry out their contractual duties, meet expected deadlines or conduct our clinical trials in accordance with regulatory requirements or our stated protocols, for any reason, we will not be able to obtain, or may be delayed in obtaining, marketing approvals for our product candidates and will not be able to, or may be delayed in our efforts to, successfully commercialize our product candidates. Our failure or the failure of these third parties to comply with applicable regulatory requirements or our stated protocols could also subject us to enforcement action. Moreover, our business may be implicated if any of these third parties violates federal or state fraud and abuse or false claims laws and regulations or healthcare privacy and security laws.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also currently rely on certain foreign or foreign-owned third-party vendors to manufacture certain materials used in clinical trials of our product candidates or to provide services in connection with our clinical trials or discovery activities. Our engagement with these foreign and foreign-owned vendors may be subject to new U.S. legislation or investigations, sanctions, tariffs, trade restrictions and other foreign regulatory requirements, which could cause us to need to identify alternate service providers, increase the cost or reduce the supply of materials available to us, delay the procurement or supply of these materials, delay or impact clinical trials, have an adverse effect on our ability to secure significant commitments from governments to purchase our potential therapies, any of which could adversely affect our financial condition and business prospects.</w:t>
      </w:r>
    </w:p>
    <w:p>
      <w:pPr>
        <w:spacing w:after="0" w:line="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Manufacturing pharmaceutical products is complex and subject to product delays or loss for a variety of reasons. We contract with third parties for the manufacture of our product candidates for preclinical testing and clinical trials and expect to continue to do so for commercialization. This reliance on third parties increases the risk that we will not have sufficient quantities of our product candidates or products or that we will not have the quantities we desire or require at an acceptable cost or quality or at the right time, which could delay, prevent, or impair our development or commercialization efforts.</w:t>
      </w:r>
    </w:p>
    <w:p>
      <w:pPr>
        <w:spacing w:after="0" w:line="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do not own or operate, and currently have no plans to establish, any manufacturing facilities. We rely on and expect to continue to rely on CMOs for both drug substance and finished drug product. This reliance on third parties may increase the risk that we will not have sufficient quantities of our product candidates or products or that we will not have the quantities we desire or require at an acceptable cost or quality, which could delay, prevent, or impair our development or commercialization efforts, including where a pre-approval inspection or an inspection of manufacturing sites is required and FDA is unable to complete those required inspections during the review period for any reason.</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may be unable to establish agreements with CMOs or to do so on acceptable terms. Even if we are able to establish agreements with CMOs, reliance on third-party manufacturers entails additional risks, including:</w:t>
      </w:r>
    </w:p>
    <w:p>
      <w:pPr>
        <w:spacing w:after="0" w:line="39" w:lineRule="exact"/>
        <w:rPr>
          <w:sz w:val="20"/>
          <w:szCs w:val="20"/>
          <w:color w:val="auto"/>
        </w:rPr>
      </w:pPr>
    </w:p>
    <w:p>
      <w:pPr>
        <w:ind w:left="640" w:hanging="317"/>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the third party for regulatory, compliance, quality assurance, and manufacturing success;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breach of the manufacturing agreement by the third-party CMO;</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risk that the CMO will cease offering the services we require or shut down operations altogether, either temporarily or permanently, due to a regulatory concern, financial insolvency, non-compliance with applicable law or another reason;</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misappropriation of our proprietary information, including our trade secrets and know-how; and</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termination or non-renewal of the agreement by the third party at a time that is costly or inconvenient for us or the inability of the CMO to provide us with a manufacturing slot when we need it.</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only limited supply agreements in place with respect to our product candidates and these existing arrangements do not extend to commercial supply. We acquire many key materials on a purchase order basis. As a result, we do not have long-term committed arrangements with respect to our product candidates and other materials. If we anticipate receiving or receive marketing approval for any of our product candidates, we will need to establish or have established an agreement for commercial manufacture with one or more third parties. In addition, new U.S. legislation or investigations, as well as possible sanctions, tariffs, trade restrictions and/or other foreign regulatory requirements, could serve to limit the third parties we could engage, increase the cost or reduce the supply of materials available to us, or otherwise adversely affect our business prospects, financial condition and results of operations.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Third-party manufacturers may not be able to comply with current good manufacturing practices, or cGMP, regulations or similar regulatory requirements outside of the United States. Some of our molecules are highly potent and, in the absence of additional safety data, they receive a high occupational exposure band, or OEB. These assigned OEBs dictate the containment and other precautions that must be taken as part of the manufacture of our product candidates and, for molecules with high OEB designations, serve to limit the number of CMOs who are qualified to manufacture our molecules. Our failure, or the failure of our CMOs, to comply with applicable regulations, including the ability of our CMOs to work with our highly potent materials and the safety protocols in connection therewith, could result in sanctions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 particularly, in some cases, given the potency or OEB of our compounds.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Any performance failure or delay in performance on the part of our existing or future manufacturers could delay clinical development or marketing authorization. While our CMOs have experienced performance issues in the past that have not ultimately delayed our clinical development efforts, in the future, we could experience a manufacturing issue that would have a material impact on development of our product candidates and the occurrence of an event of this nature would largely be outside of our control. We do not currently have arrangements in place for redundant supply or a second source for drug substance or drug product. If our current CMOs cannot perform as agreed, we may be required to replace them. While we have identified several potential alternative vendors who could manufacture some or all of our product candidates, switching vendors could result in significant additional costs and delays to our operations as we select and qualify a replacement manufacturer, we may be constrained in the vendors we can select, particularly for compounds that have high OEB designations, or we may not be able to reach agreement with an alternative manufacturer on acceptable terms.</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Additionally, we currently rely on single source suppliers for a portion of our supply chain for our preclinical and clinical trial supplies. If our current or future suppliers, whether for raw materials, drug substance, or drug product, are unable to supply us with sufficient materials for our preclinical studies and clinical trials, we may experience delays in our development efforts as we locate and qualify new suppliers or manufacturers.</w:t>
      </w:r>
    </w:p>
    <w:p>
      <w:pPr>
        <w:spacing w:after="0" w:line="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third-party manufacturers on whom we rely may incorporate their own proprietary processes into our product candidate manufacturing processes. We have limited control and oversight of a third party’s proprietary manufacturing processes. If a third-party manufacturer were to modify its processes, those modifications could negatively impact our manufacturing, including product loss or failure that requires additional manufacturing runs or a change in manufacturer, both of which could significantly increase the cost of and significantly delay the manufacture of our product candidates.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our product candidates progress through preclinical studies and clinical trials towards approval and commercialization, we expect that various aspects of the product development and manufacturing process will evolve in an effort to optimize processes and results. Some of those product and manufacturing process changes may involve the use of third-party proprietary technology, which could then cause us to need to obtain a license from third parties. In addition, these types of changes may require that we make amendments to our regulatory applications, which could further delay the timeframes under which modified manufacturing processes can be used for any of our product candidates.</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as we advance our product candidates into later stage clinical trials and plan for the potential commercialization of our product candidates, we may determine that it is necessary or appropriate to bring on additional suppliers of drug product and/or drug substance, which could result in changes to the manufacturing processes for our product candidates and may require us to provide additional information to regulatory authorities. If we were to bring on additional CMOs for our product candidates, we may also be required to demonstrate analytical comparability and/or conduct additional bridging studies or trials, all of which would require additional time and expense.</w:t>
      </w:r>
    </w:p>
    <w:p>
      <w:pPr>
        <w:spacing w:after="0" w:line="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existing collaborations with third parties under which we are engaged in the research, development and commercialization of certain product candidates. If any of these collaborations are not successful, we may not be able to capitalize on the market potential of those product candidates. In addition, these collaborations could impact our intellectual property rights.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three ongoing collaborations involving our research programs:</w:t>
      </w:r>
    </w:p>
    <w:p>
      <w:pPr>
        <w:spacing w:after="0" w:line="94" w:lineRule="exact"/>
        <w:rPr>
          <w:sz w:val="20"/>
          <w:szCs w:val="20"/>
          <w:color w:val="auto"/>
        </w:rPr>
      </w:pPr>
    </w:p>
    <w:p>
      <w:pPr>
        <w:ind w:left="640" w:hanging="317"/>
        <w:spacing w:after="0" w:line="287" w:lineRule="auto"/>
        <w:tabs>
          <w:tab w:leader="none" w:pos="63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collaboration agreement with Roche that we entered into in December 2015, which we amended and restated in December 2018 and further amended periodically thereafter, with collaboration activities ongoing as to two targets;</w:t>
      </w:r>
    </w:p>
    <w:p>
      <w:pPr>
        <w:spacing w:after="0" w:line="39" w:lineRule="exact"/>
        <w:rPr>
          <w:rFonts w:ascii="Times New Roman" w:cs="Times New Roman" w:eastAsia="Times New Roman" w:hAnsi="Times New Roman"/>
          <w:sz w:val="14"/>
          <w:szCs w:val="14"/>
          <w:color w:val="auto"/>
        </w:rPr>
      </w:pPr>
    </w:p>
    <w:p>
      <w:pPr>
        <w:ind w:left="640" w:right="20" w:hanging="317"/>
        <w:spacing w:after="0" w:line="287" w:lineRule="auto"/>
        <w:tabs>
          <w:tab w:leader="none" w:pos="63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collaboration agreement with Merck that we entered into in December 2023 for the development and commercialization of degrader-antibody conjugates with respect to one initial target, with the option for Merck to add up to three additional targets over a stated period of time;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640" w:right="20" w:hanging="317"/>
        <w:spacing w:after="0" w:line="287" w:lineRule="auto"/>
        <w:tabs>
          <w:tab w:leader="none" w:pos="63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collaboration agreement with MKDG that we entered into in March 2024 for the development and commercialization of two targeted protein degraders against critical oncogenic proteins that we had progressed within our internal discovery pipeline.</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Under these collaboration agreements, we are generally responsible for developing drug candidates leveraging our TORPEDO platform based on partner-selected targets. Further, these agreements, as well as our agreements with prior research collaboration partners, provide that our current and past collaboration partners have exclusive rights to develop degraders for their selected and reserved targets. As a result, we are not permitted to pursue a target of potential interest – either alone or with another partner – while that target is bound by these restrictions.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Further, if our collaborations do not result in the successful development and commercialization of products or if one of our collaborators terminates its agreement with us or elects not to pursue a program within a collaboration, we may not receive any future research funding or milestone or royalty payments under that collaboration or in respect of that terminated program. If that were to happen, we might decide to abandon the program or to move the program forward on our own, which would require us to devote additional resources to the program on a going-forward basis. In addition, if one of our collaborators terminates its agreement with us generally, which they are permitted to do for convenience with between 60 and 270 days’ notice, or with respect to a specific target or in connection with a material breach of the agreement by us that remains uncured for a specified period of time, we may find it more difficult to attract new collaborators and our development programs may be delayed or the perception of us in the business and financial communities could be adversely affected. All of the risks relating to product development, marketing approval and commercialization described in this report apply to the activities of our collaborators.</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It is also possible that our current and past collaborators may not properly obtain, maintain, enforce, or defend the intellectual property or proprietary rights arising out of our licensed programs or may use our proprietary information in a way that could jeopardize or invalidate our proprietary information or expose us to potential litigation. Generally, our collaborators have the first right to enforce and defend certain intellectual property rights under the applicable collaboration arrangement with respect to particular licensed programs and, although we may have the right to assume the enforcement and defense of these intellectual property rights if our collaborator does not, our ability to do so may be compromised by their actions. In addition, if any licensed program were later to revert to us, our ability to protect any intellectual property or other proprietary rights associated with that program would be impacted by the intellectual property filings made or other steps taken by our collaborator prior to program reversion. Further, our collaborators may own or co-own intellectual property covering our products that result from our collaborating with them and, in cases where that applies, we would not have the exclusive right to commercialize the collaboration intellectual property.</w:t>
      </w:r>
    </w:p>
    <w:p>
      <w:pPr>
        <w:spacing w:after="0" w:line="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form or seek collaborations or strategic alliances or enter into additional licensing arrangements in the future and we may not realize the benefits of those collaborations, alliances, or licensing arrangements.</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May 2023, we entered into the Betta Pharma License Agreement with Betta Pharma under which Betta Pharma received an exclusive license for the development, manufacturing and commercialization of CFT8919 in Greater China, while we retained the rights to develop and commercialize CFT8919 in the rest of the world. Similarly, in the future, we may form or seek strategic alliances, create joint ventures, or other collaborations or enter into additional licensing arrangements with third parties that we believe will complement or augment our development and commercialization efforts with respect to our product candidates and any future product candidates that we may develop. Our likely collaborators in any other collaboration arrangements we may enter into include large and mid-size pharmaceutical companies and biotechnology companies. However, it is possible that we will not be able to enter into a collaboration agreement of this nature or that the terms of any potential new collaboration arrangement may not be favorable.</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For example, we may seek to enter into collaboration arrangements to advance our cemsidomide product candidate in MM or other indications or we may form or seek to form collaboration arrangements to enable our development and commercialization of a product candidate in a specified geographic area, as we have done in the case of CFT8919 and our collaboration with Betta Pharma. In addition, as we did in our more recent collaboration agreements with Merck and MKDG, we may seek to enter into collaboration agreements that enable other companies to access and leverage our TORPEDO platform to develop medicines directed at targets selected by our collaboration partners. Any of these relationships may require us to incur non-recurring and other charges, increase our near and long-term expenditures, issue securities that dilute our existing stockholders or disrupt our management and business.</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we face significant competition in seeking appropriate strategic partners and the negotiation process for these sorts of transactions is time-consuming, complex, and expensive.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 Additionally, our existing partners may decide to acquire or partner with other companies developing targeted protein degraders or directed at the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targets or indications to which our product candidates are directed, which may have an adverse impact on our business prospects, financial condition and results of operations.</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a result, if we enter into additional collaboration agreements and strategic partnerships or license our product candidates, we may not be able to realize the benefit of those transactions if we are unable to successfully integrate them with our existing operations and company culture.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commercialization of our product candidates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any of our product candidates receives marketing approval, it may nonetheless fail to gain sufficient market acceptance by physicians, patients, third-party payors, and others in the medical community. For example, current cancer treatments, such as chemotherapy and radiation therapy, are well-established in the medical community and doctors may continue to rely on these treatments. If our product candidates do not achieve an adequate level of acceptance, we may not generate significant revenue from product sales and we may not become profitable. The degree of market acceptance of our product candidates, if approved for commercial sale, will depend on a number of factors, including:</w:t>
      </w:r>
    </w:p>
    <w:p>
      <w:pPr>
        <w:spacing w:after="0" w:line="56" w:lineRule="exact"/>
        <w:rPr>
          <w:sz w:val="20"/>
          <w:szCs w:val="20"/>
          <w:color w:val="auto"/>
        </w:rPr>
      </w:pPr>
    </w:p>
    <w:p>
      <w:pPr>
        <w:ind w:left="640" w:hanging="317"/>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and potential advantages compared to alternative treatments;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any side effects, in particular compared to alternative treatments;</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offer our products for sale at competitive prices and the ability of governmental authorities to require that we negotiate the pricing of our products, as well as the timing of these mandatory negotiations;</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convenience and ease of administration compared to alternative treatments;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the target patient population to try new therapies and of physicians treating these patients to prescribe these therapies;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marketing, sales, and distribution support;</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third-party insurance coverage and adequate reimbursement;</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any marketing approval in relation to other product approvals;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support from patient advocacy groups;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the use of our products together with other medications.</w:t>
      </w:r>
    </w:p>
    <w:p>
      <w:pPr>
        <w:spacing w:after="0" w:line="9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As a company, we currently have no marketing and sales organization and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a company, we currently have no sales, marketing, or distribution capabilities and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these types of arrangements on favorable terms or if at all, or if we are able to do so, that these third-party arrangements will provide effective sales forces or marketing and distribution capabilities. Any revenue we receive will depend upon the efforts of these third parties, which may not be successful. We may have little or no control over the marketing and sales efforts of these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market opportunities for our product candidates may be relatively small as we expect that they will initially be approved only for those patients who are ineligible for other approved treatments or have failed prior treatments. In addition, our estimates of the prevalence of our target patient populations may be inaccurate.</w:t>
      </w:r>
    </w:p>
    <w:p>
      <w:pPr>
        <w:spacing w:after="0" w:line="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are developing product candidates to target cancer, but cancer therapies are sometimes characterized as first-line, second-line, third-line, or subsequent line and the FDA often approves new therapies initially only for a particular line of use. When cancer is detected early enough, first-line therapy is sometimes adequate to cure the cancer or prolong life without a cure. Whenever first-line therapy – usually chemotherapy, antibody drugs, tumor-targeted small molecules, immunotherapy, hormone therapy, radiation therapy, surgery, other targeted therapies, or a combination of these therapies – proves unsuccessful, second-line therapy may be administered. Second-line therapies often consist of more chemotherapy, radiation, antibody drugs, tumor-targeted small molecules, or a combination of these. Third-line therapies can include chemotherapy, antibody drugs and small molecule tumor-targeted therapies, more invasive forms of surgery, and new technologies. We expect initially to seek approval of our product candidates in most instances as a later-line therapy, for use in patients with relapsed or refractory cancer. Subsequently, for those product candidates that prove to be sufficiently safe and beneficial, if any, we would expect to seek approval as a second-line therapy and potentially as a first-line therapy, but there is no guarantee that any of our product candidates, even if approved as a second- or third- or subsequent line of therapy, would subsequently be approved for an earlier line of therapy. Further, it is possible that, prior to getting any approvals for our product candidates in earlier lines of treatment, we might have to conduct additional clinical trials.</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projections of both the number of people who have the cancers we are targeting, who may have their tumors genetically sequenced, as well as the subset of people with these cancers in a position to receive a particular line of therapy and who have the potential to benefit from treatment with our product candidates, are based on our reasonable beliefs and estimates. These estimates have been derived from a variety of sources, including scientific literature, surveys of clinics, patient foundations, or market research and may prove to be incorrect or out of date. Further, new therapies may change the estimated incidence or prevalence of the cancers that we are targeting. Consequently, even if our product candidates are approved for a second- or third-line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of those tumor types.</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Even if we or, in the case of CFT8919, Betta Pharma, receive marketing approval of any of our product candidates, our products may become subject to unfavorable pricing regulations, third-party reimbursement practices, or healthcare reform initiatives, any of which would impact our business.</w:t>
      </w:r>
    </w:p>
    <w:p>
      <w:pPr>
        <w:spacing w:after="0" w:line="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or, in the case of CFT8919, Betta Pharma, might obtain marketing approval for a product candidate in a particular country, but then be subject to price regulations that delay the commercial launch of the product, possibly for lengthy time periods, which would negatively impact the revenues, if any, we are able to generate from the sale of the product in that country. Adverse pricing limitations may, therefore, hinder our ability to recoup our investment in one or more of our product candidates, even if our product candidates obtain marketing approval. See the section entitled “</w:t>
      </w:r>
      <w:r>
        <w:rPr>
          <w:rFonts w:ascii="Times New Roman" w:cs="Times New Roman" w:eastAsia="Times New Roman" w:hAnsi="Times New Roman"/>
          <w:sz w:val="14"/>
          <w:szCs w:val="14"/>
          <w:i w:val="1"/>
          <w:iCs w:val="1"/>
          <w:color w:val="auto"/>
        </w:rPr>
        <w:t>Business — Coverage and Reimbursement</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Business — Healthcare Reform</w:t>
      </w:r>
      <w:r>
        <w:rPr>
          <w:rFonts w:ascii="Times New Roman" w:cs="Times New Roman" w:eastAsia="Times New Roman" w:hAnsi="Times New Roman"/>
          <w:sz w:val="14"/>
          <w:szCs w:val="14"/>
          <w:color w:val="auto"/>
        </w:rPr>
        <w:t>” in this Annual Report on Form 10-K.</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and, in the case of CFT8919, Betta Pharma's ability to commercialize any product candidates successfully also will depend in part on the extent to which coverage and adequate reimbursement for these products and related treatments will be available from government healthcare programs, private health insurers and other organizations. Government authorities and third-party payors, such as private health insurers and health maintenance organizations, decide which medications they will pay for and establish reimbursement levels.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primary trend in the U.S. healthcare industry and elsewhere is cost containment. The Medicare Drug Price Negotiation Program, administered by CMS as part of the Inflation Reduction Act of 2022, commonly referred to as the IRA, may apply to our products if they are selected for negotiation, which could materially reduce the amount of revenue we can generate from our products if they are approved. Government authorities and third-party payors have attempted to control costs by limiting coverage and the amount of reimbursement for particular medications. Increasingly, government authorities and third-party payors are requiring that drug companies provide them with predetermined discounts from list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coverage and adequate reimbursement for our products may be difficult. We may be required to conduct expensive pharmacoeconomic studies to justify coverage and reimbursement or the level of reimbursement relative to other therapies. In addition, in light of the requirements of the IRA, we may be required to negotiate pricing for our product candidates, if approved, with Medicare, with those negotiated prices going into effect nine years after product approval. If coverage and adequate reimbursement are not available or reimbursement is available only to limited levels, we may not be able to successfully commercialize any product candidate for which we obtain marketing approval.</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There may be significant delays in obtaining coverage and reimbursement for newly approved drugs. In addition,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2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liability lawsuits against us could cause us to incur substantial liabilities and to limit commercialization of any products that we may develop.</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face an inherent risk of product liability exposure related to the testing of our product candidates in human clinical trials and will face an even greater risk if or when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51" w:lineRule="exact"/>
        <w:rPr>
          <w:sz w:val="20"/>
          <w:szCs w:val="20"/>
          <w:color w:val="auto"/>
        </w:rPr>
      </w:pPr>
    </w:p>
    <w:p>
      <w:pPr>
        <w:ind w:left="640" w:hanging="31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any product candidates or products that we may develop;</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of clinical trials;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marketing approval, product recall, restriction on the approval or a “black box” warning or contraindication for an approved drug;</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participants;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costs to defend the related litigation and/or increased product liability insurance costs;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trial participants or patients;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 and significant negative media attention;</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resources of our management to pursue our business strategy;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commercialize any products that we may develop.</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currently maintain product liability insurance coverage to support our clinical development activities. We may need to purchase additional product liability insurance coverage as we expand our clinical trials and if and when we commence commercialization of our product candidates. Insurance coverage is increasingly expensive. We may not be able to maintain insurance coverage at a reasonable cost or in an amount adequate to satisfy any liability that may arise.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obtain and maintain patent protection for our technology, product candidates, and products or if the scope of the patent protection obtained is not sufficiently broad or enforceable, our competitors could develop and commercialize technology, product candidates, and products similar or identical to ours, our ability to successfully commercialize our technology, product candidates, and products may be impaired or we may not be able to compete effectively in our market.</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rely upon a combination of patents, trade secret protection and confidentiality agreements to protect our intellectual property and prevent others from exploiting our platform technologies, our pipeline drug product candidates, any future drug product candidates we may develop and their use or manufacture.</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commercial success depends in part on our ability to obtain and maintain patents and other proprietary protection in the United States and other countries with respect to our proprietary technology, product candidates and products. We seek to protect our proprietary position by filing patent applications in the United States and abroad related to our novel technologies and product candidates. Any disclosure to or misappropriation by third parties of our confidential proprietary information could enable competitors to quickly duplicate or surpass our technological achievements, thus eroding our competitive position in our market. Moreover, the patent applications we own, co-own or license may fail to result in issued patents in the United States or in other foreign countries.</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patent prosecution process is expensive and time consuming and we may not be able to file, prosecute, and maintain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and patent applications, covering technology that we license from third parties or that we license to our collaborators. Therefore, these patents and applications may not be prosecuted and enforced in a manner consistent with the best interests of our business.</w:t>
      </w:r>
    </w:p>
    <w:p>
      <w:pPr>
        <w:spacing w:after="0" w:line="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patent position of the biopharmaceutical industry generally is highly uncertain, involves complex legal and factual questions and has been the subject of much litigation.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co-owned or licensed patents or pending patent applications, or that we were the first inventors to file for patent protection of those inventions. As a result, the issuance, scope, validity, enforceability and commercial value of our patent rights or those of our collaborators are highly uncertain. Our pending and future patent applications may not result in patents being issued that protect our technology, product candidates or products, in whole or in part, or that effectively prevent others from commercializing competitive technologies, product candidates and products. Changes in either the patent laws or interpretation of the patent or other laws in the United States and other countries may diminish the value of our patents and potential applications, narrow the scope of our patent protection, or cause us to be required to pay royalties to third parties.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owned, co-owned and licensed patent estate consists principally of patent applications, many of which are at an early stage of prosecution. Even if our owned, co-owned and licensed patent applications issue as patents, they may not issue in a form that will provide us with any meaningful protection, prevent competitors from competing with us or otherwise provide us with any competitive advantage. Our competitors may be able to circumvent our owned, co-owned or licensed patents by developing similar or alternative technologies, product candidates, or products in a non-infringing manner.</w:t>
      </w:r>
    </w:p>
    <w:p>
      <w:pPr>
        <w:spacing w:after="0" w:line="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issuance of a patent is not conclusive as to its inventorship, scope, validity or enforceability, and our owned, co-owned and licensed patents or patents obtained by our collaborators may be challenged in the courts or patent offices in the United States and abroad. These challenges may result in loss of exclusivity or freedom to operate or in patent claims being narrowed, invalidated or held unenforceable, in whole or in part, which could limit our ability to stop others from using or commercializing similar or identical technology, product candidates, and products or limit the duration of the patent protection of our technology, product candidates and products. Given the amount of time required for the development, testing, and regulatory review of new product candidates, patents protecting our drug product candidates might expire before or shortly after they are commercialized. As a result, our owned, co-owned and licensed patent portfolio, or that of our collaborators, may not provide us with sufficient rights to exclude others from commercializing products similar or identical to ours.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patent laws or patent jurisprudence could diminish the value of our patents in general or increase third party challenges to our patents, thereby impairing our ability to protect our product candidates.</w:t>
      </w:r>
    </w:p>
    <w:p>
      <w:pPr>
        <w:spacing w:after="0" w:line="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Patent reform legislation could increase the uncertainties and costs surrounding the prosecution of our patent applications and the enforcement or defense of our issued patents. On September 16, 2011, the Leahy-Smith America Invents Act, or the Leahy-Smith Act, was signed into law and made a number of significant changes to U.S. patent law. These changes include provisions that affect the way patent applications are prosecuted and may also affect patent litigation. The U.S. Patent and Trademark Office, or the USPTO, developed new regulations and procedures to govern administration of the Leahy-Smith Act and many of the substantive changes to patent law associated with the Leahy-Smith Act, including the first-inventor-to-file provisions, became effective on March 16, 2013. The Leahy-Smith Act and its implementation could increase the uncertainties and costs surrounding the prosecution of our patent applications and the enforcement or defense of our issued patents, all of which could have an adverse effect on our business and financial condition. The first-to-file provision of the Leahy-Smith Act requires us to act promptly during the period from invention to filing of a patent application, as there is always a risk that a third party could file a patent application that could be blocking to our patent filings. However, even with the intention to act promptly, circumstances could prevent us from promptly filing or prosecuting patent applications on our inventions. The Leahy-Smith Act also enlarged the scope of disclosures that qualify as prior art, which can impact our ability to receive patent protection for an invention.</w:t>
      </w:r>
    </w:p>
    <w:p>
      <w:pPr>
        <w:spacing w:after="0" w:line="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 xml:space="preserve">The Leahy-Smith Act created, for the first time, new procedures under which third parties may challenge issued patents in the United States, including post-grant review,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and derivations proceedings, all of which are adversarial proceedings conducted at the USPTO. Since the effectiveness of the Leahy-Smith Act, some third parties have been using these types of actions to seek and achieve the cancellation of selected or all claims of issued patents of their competitors. Under the Leahy-Smith Act, for a patent with a priority date of March 16, 2013 or later (which is the case for all of our patent filings), a third party can file a petition for post-grant review at any time during a nine-month window commencing at the time of issuance of the patent. In addition, for a patent with a priority date of March 16, 2013 or later, a third party can file a petition for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after the nine-month period for filing a post-grant review petition has expired. Post-grant review proceedings can be brought on any ground of challenge, whereas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proceedings can only be brought to raise a challenge based on published prior art. Under applicable law, the standard of review for these types of adversarial actions at the USPTO are conducted without the presumption of validity afforded to U.S. patents, which is the standard that applies if a third party were to seek to invalidate a patent through a lawsuit filed in the federal courts of the United States. The USPTO issued a Final Rule on November 11, 2018 announcing that it will now use the same claim construction currently used in the federal courts of the United States—which is the plain and ordinary meaning of words used—to interpret patent claims in these USPTO proceedings. As a result of this regulatory landscape, if any of our patents are challenged by a third party in a USPTO proceeding of this nature, there is no guarantee that we will be successful in defending the challenged patent, which could result in our losing rights under the challenged patent in part or in whole.</w:t>
      </w:r>
    </w:p>
    <w:p>
      <w:pPr>
        <w:spacing w:after="0" w:line="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a result of this legislation, the issuance, scope, validity, enforceability and commercial value of our patent rights, or those of our collaborators, are highly uncertain, which could have an adverse effect on our business, financial condition, results of operations and prospects.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 xml:space="preserve">Competitors may infringe our issued patents, the patents of our licensors or collaborators or our other intellectual property. To counter infringement or unauthorized use, we may be required to file infringement claims, which can be expensive, time-consuming and unpredictable. Any claims we assert against perceived infringers could provoke these parties to assert counterclaims against us alleging that we infringe their patents. In addition, in a patent infringement proceeding, a court may decide that a patent of ours or our licensors or collaborators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or actually invalidated, held unenforceable or interpreted narrowly. In addition, the U.S. Supreme Court’s June 2024 </w:t>
      </w:r>
      <w:r>
        <w:rPr>
          <w:rFonts w:ascii="Times New Roman" w:cs="Times New Roman" w:eastAsia="Times New Roman" w:hAnsi="Times New Roman"/>
          <w:sz w:val="14"/>
          <w:szCs w:val="14"/>
          <w:i w:val="1"/>
          <w:iCs w:val="1"/>
          <w:color w:val="auto"/>
        </w:rPr>
        <w:t>Loper Bright Enterprises v. Raimondo</w:t>
      </w:r>
      <w:r>
        <w:rPr>
          <w:rFonts w:ascii="Times New Roman" w:cs="Times New Roman" w:eastAsia="Times New Roman" w:hAnsi="Times New Roman"/>
          <w:sz w:val="14"/>
          <w:szCs w:val="14"/>
          <w:color w:val="auto"/>
        </w:rPr>
        <w:t xml:space="preserve"> decision, which overturned a long-established doctrine of courts giving deference to administrative agencies’ interpretations of statutory language and related rules and regulations, has introduced uncertainty regarding the extent to which courts will exercise independent judgement over the interpretation of patent statutes and regulations in future litigation proceedings involving the enforceability or validity of patents and USPTO regulations, policies, and decisions. Even if we successfully assert our patents, a court may not award remedies that sufficiently compensate us for our losses. In addition, we may not have sufficient financial or other resources to seek to enforce our patents adequately against perceived infringers, which could have a material and adverse effect on the profitability of our products.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need to license intellectual property from third parties and licenses of this nature may not be available or may not be available on commercially reasonable terms.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third party may hold intellectual property, including patent rights, that are important or necessary to the development or manufacture of our products or our collaborators’ products. It may, therefore, be necessary for us to use the patented or proprietary technology of a third party to commercialize our own technology or products or those of our collaborators, in which case we or our collaborators would be required to obtain a license from that third party. A license to that intellectual property may not be available or may not be available on commercially reasonable terms, which could have an adverse effect on our business and financial condition.</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licensing and acquisition of third-party intellectual property rights is a competitive practice.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that we may seek to acquire.</w:t>
      </w:r>
    </w:p>
    <w:p>
      <w:pPr>
        <w:spacing w:after="0" w:line="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Third parties may initiate legal proceedings alleging that we are infringing their intellectual property rights, the outcome of which would be uncertain and could have an adverse effect on the success of our business.</w:t>
      </w:r>
    </w:p>
    <w:p>
      <w:pPr>
        <w:spacing w:after="0" w:line="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biopharmaceutical industry, as well as administrative proceedings for challenging patents, including reexamination, post-grant review,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derivation proceedings, or interference proceedings before the USPTO and oppositions and other comparable proceedings in foreign jurisdictions.</w:t>
      </w:r>
    </w:p>
    <w:p>
      <w:pPr>
        <w:spacing w:after="0" w:line="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We may become party to or threatened with future adversarial proceedings or litigation regarding intellectual property rights with respect to our product candidates and technology, including derivation, reexamination, post-grant review,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or interference proceedings before the USPTO. Third parties may assert infringement claims against us based on existing patents or patents that may be granted in the future. As the bio-pharmaceutical industry expands and more patents are issued, the risk increases that our product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Because patent applications can take many years to issue, there may be currently pending patent applications that may later result in issued patents that our product candidates may infringe. In addition, third parties may obtain patents in the future and claim that our product candidates or use of our technologies infringes upon these patents.</w:t>
      </w:r>
    </w:p>
    <w:p>
      <w:pPr>
        <w:spacing w:after="0" w:line="2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If we are found by a court of competent jurisdiction to infringe a third party’s intellectual property rights, we could be required to obtain a license from the applicable third-party intellectual property holder to continue developing and marketing our product candidates,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A number of other companies, as well as universities and other organizations, file and obtain patents in the same areas as our products, which are targeted protein degraders, or our platform technologies and these patent filings could be asserted against us or our collaborators in the future, which could have an adverse effect on the success of our business and, if successful, could lead to expensive litigation that could affect the profitability of our products and/or prohibit the sale or use of our products.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MonoDAC and BiDAC product candidates are small molecule pharmaceuticals, which degrade specific proteins. A number of companies and institutions have patent applications and issued patents in this general area, such as, for example, Accutar Biotechnology, Inc., Amgen Inc., Amphista Therapeutics, Ltd., Araxes Pharma, LLC, Arvinas, Inc., Astellas Pharma Inc., AstraZeneca PLC, Aurigen Discovery Technologies, Ltd., Bayer AG (and its subsidiary Vividion Therapeutics, Inc.), BeiGene Co. Ltd., BioTheryX, Inc., Boehringer Ingelheim International GmbH, Bristol Myers Squibb Company (and its subsidiary Celgene Corporation), Captor Therapeutics Inc., Cullgen Inc., the Dana-Farber Cancer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Institute and its Center for Protein Degradation, Dialectic Therapeutics, Inc., Foghorn Therapeutics, Inc., Frontier Medicines Corporation, GlaxoSmithKline PLC, Genentech, Inc., Glubio Therapeutics, Inc., Hinova Pharmaceuticals, Inc., Janssen Biotech, Inc., Kymera Therapeutics, Inc., Monte Rosa Therapeutics, Inc., Novartis International AG, Nurix Therapeutics, Inc., Orum Therapeutics, Inc., Otsuka Pharmaceuticals, Inc., PhoreMost, Ltd., Plexium, Inc., Prelude Therapeutics, Inc., Inc., Roche AG, Salarius Pharmaceuticals Inc., Salarius Pharmaceuticals, Inc., Seed Therapeutics, Inc., Sichuan Haisco Pharmaceutical Co., Ltd., SK Life Science Labs, Inc. (a subsidiary of SK Biopharmaceuticals Co. Ltd)., the University of Michigan School of Medicine, Vertex Pharmaceuticals, Inc., and others. If any of these companies or institutions or others not included in this list were to assert that one of its patents is infringed by any product candidate or product we might develop or its use or manufacture, we or our collaborators may be drawn into expensive litigation, which could adversely affect our business prospects, financial condition and results of operations, require extensive time from and cause the distraction of members of our management team and employees at large.</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 xml:space="preserve">Further, if litigation of this nature were successful, that could have a material and adverse effect on the profitability of our products or prohibit their sale. We may not be aware of patent claims that are currently or may in the future be pending that could affect our business or products. Patent applications are typically published between six and eighteen months from filing and the presentation of new claims in already pending applications can sometimes not be visible to the public, which would include us, for a period of time. In addition, even after a patent application is publicly available, we may not yet have seen that patent application and may, therefore, not be aware of the claims or scope of filed and published patent applications. As a result, we cannot provide any assurance that a third party practicing in the general area of our technology will not present or has not presented a patent claim that covers one or more of our product candidates or products or their methods of use or manufacture. If that were to occur and as we have done in certain past circumstances, we or our collaborators, as applicable, may have to take steps to try to invalidate the applicable patent or application, which steps might include, for example, third-party submissions or oppositions before the relevant patent office, or adversarial proceedings or litigation, such as post-grant review or </w:t>
      </w:r>
      <w:r>
        <w:rPr>
          <w:rFonts w:ascii="Times New Roman" w:cs="Times New Roman" w:eastAsia="Times New Roman" w:hAnsi="Times New Roman"/>
          <w:sz w:val="14"/>
          <w:szCs w:val="14"/>
          <w:i w:val="1"/>
          <w:iCs w:val="1"/>
          <w:color w:val="auto"/>
        </w:rPr>
        <w:t>inter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partes </w:t>
      </w:r>
      <w:r>
        <w:rPr>
          <w:rFonts w:ascii="Times New Roman" w:cs="Times New Roman" w:eastAsia="Times New Roman" w:hAnsi="Times New Roman"/>
          <w:sz w:val="14"/>
          <w:szCs w:val="14"/>
          <w:color w:val="auto"/>
        </w:rPr>
        <w:t>review before the USPTO Patent Trial and Appeal Board, or declaratory judgment actions before a court. In a situation of that nature, we or our collaborators may either choose not to do so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attempt may not be successful. If we determine that we require a license to a third party’s patent or patent application, we may discover that a license may not be available on reasonable terms, or at all, which could prevent us or our collaborators from selling a product or using our proprietary technologies.</w:t>
      </w:r>
    </w:p>
    <w:p>
      <w:pPr>
        <w:spacing w:after="0" w:line="63"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product candidates, if and when approved, will be subject to The Drug Price Competition and Patent Term Restoration Act of 1984, which is also referred to as the Hatch-Waxman Act, in the United States, which can increase the risk of litigation with generic companies trying to sell our products and may cause us to lose patent protection.</w:t>
      </w:r>
    </w:p>
    <w:p>
      <w:pPr>
        <w:spacing w:after="0" w:line="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Because our clinical candidates are pharmaceutical molecules that will be reviewed by the Center for Drug Evaluation and Research of the FDA, after commercialization they will be subject in the United States to the patent litigation process of the Hatch-Waxman Act, as amended to date, which allows a generic company to submit an Abbreviated New Drug Application, or ANDA, to the FDA to obtain approval to sell a generic version of our drug using bioequivalence data only. Under the Hatch-Waxman Act, we will list patents that cover our drug products or their respective methods of use in the FDA’s compendium of “Approved Drug Products with Therapeutic Equivalence Evaluation,” sometimes referred to as the Orange Book.</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There are detailed rules and requirements regarding the patents that may be submitted to the FDA for listing in the Orange Book. We may be unable to obtain patents covering our product candidates that contain one or more claims that satisfy the requirements for listing in the Orange Book. Even if we submit a patent for listing in the Orange Book, the FDA may decline to list the patent or a generic drug manufacturer, the U.S. Federal Trade Commission or another entity may challenge the listing. If one of our product candidates is approved and a patent covering that product candidate is not listed in the Orange Book, with respect to any unlisted patent, a generic drug manufacturer would not have to provide advance notice to us of any ANDA filed with the FDA to obtain permission to sell a generic version of that product candidate.</w:t>
      </w:r>
    </w:p>
    <w:p>
      <w:pPr>
        <w:spacing w:after="0" w:line="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Currently, in the United States, the FDA may grant five years of data exclusivity for new chemical entities, or NCEs, which are drugs that contain no active portion that has been approved by the FDA in any other new drug application, or NDA. We expect that all of our products will qualify as NCEs; however, the FDA will not conduct an assessment for NCE status until it is reviewing a marketing application for that drug. A generic company can submit an ANDA to the FDA four years after approval of any of our drug products designated as an NCE. The submission of an ANDA by a generic company is considered a technical act of patent infringement. The generic company can certify that it will wait until the natural expiration date of our listed patents to sell a generic version of our product or can certify that one or more of our listed patents are invalid, unenforceable or not infringed. If the generic manufacturer elects the latter, we will have 45 days to bring a patent infringement lawsuit against the generic company. If we were to do so, that would likely initiate a challenge to one or more of our Orange Book listed patents based on arguments from the generic manufacturer that our listed patents are invalid, unenforceable, or not infringed. If a lawsuit is brought, the FDA is prevented from issuing a final approval of an ANDA for the generic drug until 30 months from our receipt of the generic manufacturer's certification notice, or such</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shorter or longer time as the presiding court might order based on certain behaviors of the parties, or a final decision of a court holding that our asserted patent claims are invalid, unenforceable, or not infringed. If we do not properly list our relevant patents in the Orange Book or if we fail to file a lawsuit in response to a certification from a generic company under an ANDA in a timely manner, or if we do not prevail in the resulting patent litigation, we can lose our ability to benefit from a proprietary market based on patent protection covering our drug products and we may find that physicians will switch to prescribing and dispensing generic versions of our drug products. Further, even if we were to list our relevant patents in the Orange Book correctly, bring a lawsuit in a timely manner, and prevail in that lawsuit, the generic litigation may come at a significant cost to us, both in terms of attorneys’ fees and employee time and distraction over a long period. Further, it is common for more than one generic company to try to sell an innovator’s drug at the same time and, as a result, we may face the cost and distraction of multiple lawsuits from generic manufacturers at the same time. We may also determine that it is necessary to settle these types of lawsuits in a manner that allows the generic company to enter our market prior to the expiration of our patent or otherwise in a manner that adversely affects the strength, validity or enforceability of our patents.</w:t>
      </w:r>
    </w:p>
    <w:p>
      <w:pPr>
        <w:spacing w:after="0" w:line="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A number of pharmaceutical companies have been the subject of intense review by the U.S. Federal Trade Commission or a corresponding agency in another country based on how they have conducted or settled patent litigation related to pharmaceutical products. In fact, certain reviews have led to an allegation of an anti-trust violation, sometimes resulting in a fine or loss of rights. We cannot be sure that we would not also be subject to a review of this nature or that the result of a review of this nature would be favorable to us, or that any review of this nature would not result in a fine or penalty.</w:t>
      </w:r>
    </w:p>
    <w:p>
      <w:pPr>
        <w:spacing w:after="0" w:line="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The U.S. Federal Trade Commission, or FTC, has brought a number of lawsuits in federal court in the past few years to challenge ANDA litigation settlements reached between innovator companies and generic companies as anti-competitive. As an example, the FTC has taken an aggressive position that anything of value is a payment, whether money is paid or not. Under their approach, if an innovator, as part of a patent settlement, agrees not to launch or delay its launch of an authorized generic during the 180-day period granted to the first generic company to challenge an Orange Book listed patent covering an innovator drug, or negotiates a delay in entry without payment, the FTC may consider it an unacceptable reverse payment. Companies in the pharmaceutical industry have argued that these types of agreements are rational business decisions entered into by drug innovators as a way to address risk and that these settlements should, therefore, be immune from antitrust attack if the terms of the settlement are within the scope of the exclusionary potential of the patent. In 2013, the U.S. Supreme Court in a five-to-three decision in </w:t>
      </w:r>
      <w:r>
        <w:rPr>
          <w:rFonts w:ascii="Times New Roman" w:cs="Times New Roman" w:eastAsia="Times New Roman" w:hAnsi="Times New Roman"/>
          <w:sz w:val="14"/>
          <w:szCs w:val="14"/>
          <w:i w:val="1"/>
          <w:iCs w:val="1"/>
          <w:color w:val="auto"/>
        </w:rPr>
        <w:t>FTC v. Actavis, Inc.</w:t>
      </w:r>
      <w:r>
        <w:rPr>
          <w:rFonts w:ascii="Times New Roman" w:cs="Times New Roman" w:eastAsia="Times New Roman" w:hAnsi="Times New Roman"/>
          <w:sz w:val="14"/>
          <w:szCs w:val="14"/>
          <w:color w:val="auto"/>
        </w:rPr>
        <w:t xml:space="preserve"> rejected both the pharmaceutical industry’s and FTC’s arguments with regard to so-called reverse payments. Instead, the Supreme Court held that whether a “reverse payment” settlement involving the exchange of consideration for a delay in entry is subject to an anti-competitive analysis depends on five considerations: (a) the potential for genuine adverse effects on competition; (b) the justification of payment; (c) the patentee’s ability to bring about anti-competitive harm; (d) whether the size of the payment is a workable surrogate for the patent’s weakness; and (e) that antitrust liability for large unjustified payments does not prevent litigating parties from settling their lawsuits, for example, by allowing the generic drug to enter the market before the patent expires on the branded drug without the patentee paying the generic manufacturer. Further, whether a reverse payment is justified depends upon its size, scale in relation to the patentee’s anticipated future litigation costs, and independence from other services for which it might represent payment (as was the case in </w:t>
      </w:r>
      <w:r>
        <w:rPr>
          <w:rFonts w:ascii="Times New Roman" w:cs="Times New Roman" w:eastAsia="Times New Roman" w:hAnsi="Times New Roman"/>
          <w:sz w:val="14"/>
          <w:szCs w:val="14"/>
          <w:i w:val="1"/>
          <w:iCs w:val="1"/>
          <w:color w:val="auto"/>
        </w:rPr>
        <w:t>Actavis</w:t>
      </w:r>
      <w:r>
        <w:rPr>
          <w:rFonts w:ascii="Times New Roman" w:cs="Times New Roman" w:eastAsia="Times New Roman" w:hAnsi="Times New Roman"/>
          <w:sz w:val="14"/>
          <w:szCs w:val="14"/>
          <w:color w:val="auto"/>
        </w:rPr>
        <w:t>), as well as the lack of any other convincing justification. The Supreme Court instead held that reverse payment settlements can potentially violate antitrust laws and are subject to the standard antitrust rule-of-reason analysis, with the burden of proving that an agreement is unlawful on the FTC. In reaching this decision, the Supreme Court left to the lower courts the structuring of this rule of reason analysis.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we are faced with drug patent litigation, including Hatch-Waxman litigation with a generic company, we could be faced with an FTC challenge of this nature, which challenge could impact how or whether we settle the case and, even if we strongly disagree with the FTC’s position, we could face a significant expense or penalty. Any litigation settlements we enter into with generic companies under the Hatch-Waxman Act could also be challenged by third-party payors such as insurance companies, direct purchasers or others who consider themselves adversely affected by the settlement. These kinds of follow-on lawsuits, which may be class action suits, can be expensive and can continue over multiple years. If we were to face lawsuits of this nature, we may not be successful in defeating these claims and we may, therefore, be subject to large payment obligations, which we may not be able to satisfy in whole or in part.</w:t>
      </w:r>
    </w:p>
    <w:p>
      <w:pPr>
        <w:spacing w:after="0" w:line="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obtain patent term extension under the Drug Price Competition and Patent Term Restoration Act of 1984 in the United States and, as a result, our product candidates, if approved, may not have patent protection for a sufficient period.</w:t>
      </w:r>
    </w:p>
    <w:p>
      <w:pPr>
        <w:spacing w:after="0" w:line="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United States, the Drug Price Competition and Patent Term Restoration Act of 1984 permits one patent term extension of up to five years beyond the normal expiration of one patent per product, which if related to a method of treatment patent, is limited to the approved indication. The length of the patent term extension is typically calculated as one-half of the clinical trial period plus the entire period of time during the review of the NDA by the FDA, minus any time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of delay by us during these periods. There is also a limit on the patent term extension to a term that is no greater than fourteen years from the date of drug approval. Therefore, if we select and are granted a patent term extension on a recently filed and issued patent, we may not receive the full benefit of a possible patent term extension, if at all. We might also not be granted a patent term extension at all, because of, for example, our failure to apply within the applicable period, failure to apply prior to the expiration of relevant patents or other failure to satisfy any of the numerous applicable requirements. In addition, the regulatory review period of an FDA-approved product may not serve as the basis for a patent term extension if the active ingredient of such product was subject to regulatory review and approval in an earlier product approved by the FDA. Moreover, the applicable authorities, including the FDA and the USPTO in the United States and any equivalent regulatory authority in other countries, may not agree with our assessment of whether extensions of this nature are available and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an adverse effect on our ability to generate product revenue.</w:t>
      </w:r>
    </w:p>
    <w:p>
      <w:pPr>
        <w:spacing w:after="0" w:line="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Europe, supplementary protection certificates are available to extend a patent term up to five years to compensate for patent term lost during regulatory review, and this period can be extended to five and a half years if data from clinical trials is obtained in accordance with an agreed Pediatric Investigation Plan. Although all countries in Europe must provide supplementary protection certificates, there is no unified legislation among European countries and, as a result, drug developers must apply for supplementary protection certificates on a country-by-country basis. As a result, a company may need to expend significant resources to apply for and receive these certificates in all relevant countries and may receive them in some, but not all, countries, if at all.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Weakening patent laws and enforcement by courts in the United States and foreign countries may impact our ability to protect our markets.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U.S. Supreme Court has issued opinions in patent cases in the last few years that many consider may weaken patent protection in the United States, either by narrowing the scope of patent protection available in certain circumstances, holding that certain kinds of innovations are not patentable or generally otherwise making it easier to invalidate patents in court.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laws of some foreign jurisdictions do not protect intellectual property rights to the same extent as in the United States and many companies have encountered significant difficulties in protecting and defending such rights in foreign jurisdictions. If we encounter such difficulties in protecting or are otherwise precluded from effectively protecting our intellectual property rights in foreign jurisdictions, our business prospects could be substantially harmed. For example, we could become a party to foreign opposition proceedings, such as at the European Patent Office, or patent litigation and other proceedings in a foreign court. If so, uncertainties resulting from the initiation and continuation of such proceedings could have an adverse effect on our ability to compete in the marketplace. The cost of foreign adversarial proceedings can also be substantial, and in many foreign jurisdictions, the losing party must pay the attorney fees of the winning party.</w:t>
      </w:r>
    </w:p>
    <w:p>
      <w:pPr>
        <w:spacing w:after="0" w:line="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claims by third parties asserting that we, our employees, consultants or contractors have misappropriated the applicable third party’s intellectual property or claiming ownership of what we regard as our own intellectual property.</w:t>
      </w:r>
    </w:p>
    <w:p>
      <w:pPr>
        <w:spacing w:after="0" w:line="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employ individuals who were previously employed at universities as well as other biotechnology or pharmaceutical companies, including our competitors or potential competitors. We have received confidential and proprietary information from collaborators, prospective licensees, and other third parties that may be subject to contractual confidentiality and non-use obligations. Although we try to ensure that our employees do not use the proprietary information or know-how of others in their work for us, we may be subject to claims that these employees or we have used or disclosed intellectual property, including trade secrets or other proprietary information, of any such employee’s former employer. We may also be subject to claims that former employers or other third parties have an ownership interest in our patents.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reputational loss and be a distraction to our management and other employees.</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while it is our policy to require our employees, consultants, and contractors who may be involved in the development of intellectual property to execute agreements assigning any resulting intellectual property to us, we may be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unsuccessful in executing an agreement to that effect with each party who in fact develops intellectual property that we regard as our own. Assignment agreements of this nature may not be self-executing or may be breached and we may be forced to bring claims against third parties or defend claims they may bring against us, to determine the ownership of what we regard as our intellectual property. In addition, an employee or contractor could create an invention but not inform us of it, in which case we could lose the benefit of the invention and the employee or contractor may leave to develop the invention elsewhere.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litigation could cause us to spend substantial resources and distract our personnel from their normal responsibilities.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Litigation or proceedings of this nature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proceedings of this nature more effectively than we can because of their greater financial resources. Uncertainties resulting from the initiation and continuation of patent litigation or other proceedings could compromise our ability to compete in the marketplace.</w:t>
      </w:r>
    </w:p>
    <w:p>
      <w:pPr>
        <w:spacing w:after="0" w:line="22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patent protection depends on compliance with various procedural, documentary, fee payment, and other requirements imposed by governmental patent offices, and the protection of our patents could be reduced or eliminated if we fail to comply with these requirements.</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Periodic maintenance fees on any issued patent are due to be paid to the USPTO and patent offices in foreign countries in several stages over the lifetime of a patent application and any resulting patent. The USPTO and patent offices in foreign countries require compliance with many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protect the confidentiality of our trade secrets, our business and competitive position would be harmed.</w:t>
      </w:r>
    </w:p>
    <w:p>
      <w:pPr>
        <w:spacing w:after="0" w:line="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These agreements may not effectively prevent disclosure of confidential information nor result in the effective assignment to us of intellectual property and may not provide an adequate remedy in the event of unauthorized disclosure of confidential information or other breaches of the agreements. In addition, others may independently discover our trade secrets and proprietary information. In that case, we could not assert any trade secret rights against that third party.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of a dispute of this nature is inherently unpredictable. Costly and time-consuming litigation could be necessary to seek to enforce and determine the scope of our proprietary rights, and our failure to obtain or maintain trade secret protection could adversely affect our competitive business position. In addition, some courts outside of the United States are less willing or unwilling to protect trade secrets. The Defend Trade Secrets Act of 2016 is a U.S. federal law that allows an owner of a trade secret to sue in federal court when its trade secret has been misappropriated. Congress passed this law in an attempt to strengthen the rights of trade secret owners whose valuable assets are taken without authorization. If any of our trade secrets were to be lawfully obtained or independently developed by a competitor, we would have no right to prevent them, or those to whom they communicate them, from using that technology or information to compete with us. If any of our trade secrets were to be disclosed to or independently developed by a competitor, our competitive position would be harmed.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only have limited geographical protection with respect to certain of our patents and we may not be able to protect our intellectual property rights throughout the world.</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Filing, prosecuting, maintaining, and defending patents covering our product candidates in all countries throughout the world would be prohibitively expensive. As a result, our intellectual property rights in some countries outside the United States can be less extensive than the protection we might have in the United States. In-licensing patents covering our product candidates in all countries throughout the world may similarly be prohibitively expensive, if these in-licensing opportunities are available to us at all. Further, in-licensing or filing, prosecuting, maintaining, and defending patents even in only those jurisdictions in which we develop or commercialize our product candidates may be prohibitively expensive or impractical. Competitors may use our and our licensors’ technologies in jurisdictions where we have not obtained patent protection or licensed patents to develop their own products and, further, may export otherwise infringing products to territories where we and our licensors have patent protection, but enforcement is not as strong as that in the United States or the European Union. These products may compete with our product candidates, and our or our licensors’ patents or other intellectual property rights may not be effective or sufficient to prevent them from competing.</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we may decide to abandon national and regional patent applications while they are still pending. The grant proceeding of each national or regional patent is an independent proceeding that may lead to situations in which applications may be rejected by the relevant patent office, while substantively similar applications are granted by others. For example, relative to other countries, China has a heightened detailed description requirement for patentability. Further,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laws of some jurisdictions do not protect intellectual property rights to the same extent as the laws or regulations in the United States and the European Union, and many companies have encountered significant difficulties in protecting and defending proprietary rights in such jurisdictions. Moreover, the legal systems of certain countries, particularly certain developing countries, do not favor the enforcement of patents, trade secrets or other forms of intellectual property, which could make it difficult for us to prevent competitors in some jurisdictions from marketing competing products in violation of our proprietary rights generally.</w:t>
      </w:r>
    </w:p>
    <w:p>
      <w:pPr>
        <w:spacing w:after="0" w:line="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Proceedings to enforce our patent rights in foreign jurisdictions, whether or not successful, are likely to result in substantial costs and divert our efforts and attention from other aspects of our business, and could additionally put our or our licensors’ patents at risk of being invalidated or interpreted narrowly, could increase the risk of our or our licensors’ patent applications not issuing or could provoke third parties to assert claims against us. We may not prevail in any lawsuits that we initiate, while damages or other remedies may be awarded to the adverse party, which may be commercially significant. If we prevail, damages or other remedies awarded to us, if any, may not be commercially meaningful. Accordingly, our efforts to enforce our intellectual property rights around the world may be inadequate to obtain a significant commercial advantage from the intellectual property that we develop or license. Further,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these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in those jurisdictions.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some jurisdictions, compulsory licensing laws compel patent owners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under patents relevant to our business, or if we or our licensors are prevented from enforcing patent rights against third parties, our competitive position may be substantially impaired in such jurisdictions.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regulatory matters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Receiving regulatory approval from the FDA and foreign regulatory authorities is lengthy, time-consuming and inherently unpredictable and, if we are ultimately unable to obtain marketing approval for our product candidates, our business will be substantially harmed.</w:t>
      </w:r>
    </w:p>
    <w:p>
      <w:pPr>
        <w:spacing w:after="0" w:line="3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amount of time required to obtain approval by the FDA and foreign regulatory authorities is unpredictable but typically takes many years following the commencement of clinical trials and depends upon numerous factors, including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substantial discretion of the regulatory authorities. In addition, approval standards, regulations or the type and amount of clinical data necessary to gain approval may change during the course of a product candidate’s clinical development and may vary among jurisdictions. We have not obtained marketing approval for any product candidate, and it is possible that none of our existing product candidates, or any product candidates we may seek to develop in the future (independently or with one of our collaboration partners), will ever obtain marketing approval.</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product candidates could fail to receive or retain marketing approval for many reasons, including the following:</w:t>
      </w:r>
    </w:p>
    <w:p>
      <w:pPr>
        <w:spacing w:after="0" w:line="94" w:lineRule="exact"/>
        <w:rPr>
          <w:sz w:val="20"/>
          <w:szCs w:val="20"/>
          <w:color w:val="auto"/>
        </w:rPr>
      </w:pPr>
    </w:p>
    <w:p>
      <w:pPr>
        <w:ind w:left="640" w:hanging="31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foreign regulatory authority, each referred to here as a health authority, may disagree with the design or implementation of our clinical trials;</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to the satisfaction of the health authority that a product candidate is safe and effective for its proposed indication, or that it is of sufficient strength, identity, or quality in accordance with the health authority's standards;</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of clinical trials may not meet the level of statistical significance required by the health authority for approval;</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that a product candidate’s clinical and other benefits outweigh its safety risks;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health authority may disagree with our interpretation of data from preclinical studies or clinical trials;</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collected from clinical trials of our product candidates may not be sufficient valid or of sufficient quality to support the submission of an NDA to the FDA or other submission to a foreign regulatory authority or to obtain marketing approval in the United States or any other country or jurisdiction;</w:t>
      </w:r>
    </w:p>
    <w:p>
      <w:pPr>
        <w:spacing w:after="0" w:line="39"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health authority may find deficiencies with or fail to approve the manufacturing processes or facilities of third-party manufacturers with which we contract for clinical and commercial supplies; and</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standards, policies, or regulations of a health authority may significantly change in a manner rendering our clinical data insufficient for approval.</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This lengthy drug development process, as well as the unpredictability of future clinical trial results, may result in our failing to obtain regulatory approval to allow us to market any of our product candidates, which would significantly harm our business, results of operations, and prospects. The FDA and other health authorities have substantial discretion in the approval process and determining when or whether regulatory approval will be obtained for any of our product candidates, including in the context of accelerated approvals. Even if we believe the data collected from clinical trials of our product candidates are promising, that data may not be sufficient to support approval by the FDA or any other health authority.</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Even if we obtain FDA approval for any of our product candidates in the United States, we may never obtain approval for or commercialize any of them in any other jurisdiction, which would limit our ability to realize their full market potential.</w:t>
      </w:r>
    </w:p>
    <w:p>
      <w:pPr>
        <w:spacing w:after="0" w:line="3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order to market any products in any particular jurisdiction, we must establish and comply with numerous and varying regulatory requirements on a country-by-country basis regarding safety and efficacy.</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as a company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may be required to conduct post-approval studies in special populations that are difficult to conduct or complete. We will also be subject to continued compliance with cGMP and GCP requirements for any clinical trials that we conduct post-approval.</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As such, we and our CMOs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foreign regulatory authorities may also have programs similar to REMS. In addition, if the FDA or a comparable foreign regulatory authority approves our product candidates, we will have to comply with requirements including submissions of safety and other post-marketing information and reports and registration.</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CMOs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56" w:lineRule="exact"/>
        <w:rPr>
          <w:sz w:val="20"/>
          <w:szCs w:val="20"/>
          <w:color w:val="auto"/>
        </w:rPr>
      </w:pPr>
    </w:p>
    <w:p>
      <w:pPr>
        <w:ind w:left="640" w:hanging="317"/>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marketing or manufacturing of our products, withdrawal of the product from the market or voluntary or mandatory product recalls;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warning letters, or holds on clinical trials;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by the FDA to approve pending applications or supplements to approved applications filed by us or suspension or revocation of license approvals;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 or detention or refusal to permit the import or export of our product candidates;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w:t>
      </w:r>
    </w:p>
    <w:p>
      <w:pPr>
        <w:spacing w:after="0" w:line="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In addition, the U.S. Supreme Court’s June 2024 decision to overturn established case law giving deference to regulatory agencies’ interpretations of ambiguous statutory language has introduced uncertainty regarding the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extent to which the FDA’s regulations, policies and decisions may become subject to increasing legal challenges, delays, and/or changes.</w:t>
      </w:r>
    </w:p>
    <w:p>
      <w:pPr>
        <w:spacing w:after="0" w:line="9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may seek Breakthrough Therapy designation for some or all of our current and future product candidates, including cemsidomide and CFT1946.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other expedited approval programs, including accelerated approval.</w:t>
      </w:r>
    </w:p>
    <w:p>
      <w:pPr>
        <w:spacing w:after="0" w:line="6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a designation. In any event, although Breakthrough Therapy designation is designed to expedite the development and review of drugs that receive such designation, the receipt of a Breakthrough Therapy designation for a product candidate may not result in a faster development process, review or approval compared to candidate products considered for approval under non-expedited FDA review procedures and does not assure ultimate approval by the FDA of a product candidate. In addition, even if one or more of our product candidates qualify as Breakthrough Therapies, the FDA may later decide that the product no longer meets the conditions for qualification. Thus, even though we intend to seek Breakthrough Therapy designation for our lead product candidates and some or all of our future product candidates for the treatment of various cancers, there can be no assurance that we will receive Breakthrough Therapy designations.</w:t>
      </w:r>
    </w:p>
    <w:p>
      <w:pPr>
        <w:spacing w:after="0" w:line="6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 Fast Track designation by the FDA, even if granted for one or all of our lead product candidates, or any of our other current or future product candidates, may not lead to a faster development or regulatory review or approval process, and does not increase the likelihood that our product candidates will receive marketing approval.</w:t>
      </w:r>
    </w:p>
    <w:p>
      <w:pPr>
        <w:spacing w:after="0" w:line="3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At various times, we may seek Fast Track designation for one or more of our product candidates. If a drug is intended for the treatment of a serious or life-threatening condition and the drug demonstrates the potential to address unmet medical needs for this condition, the drug sponsor may apply for FDA Fast Track designation for a particular indication. We may seek Fast Track designation for one or all of our lead product candidates and/or certain of our future product candidates, but there is no assurance that the FDA will grant this status to any of our proposed product candidates and we might only be successful in receiving a Fast Track designation from the FDA for a product candidate after applying on more than one occasion. Marketing applications filed by sponsors of products in Fast Track development may qualify for priority review under the policies and procedures offered by the FDA, but the receipt of a Fast Track designation does not assure any such qualification or ultimate marketing approval by the FDA. The FDA has broad discretion whether or not to grant a Fast Track designation, so even if we believe a particular product candidate is eligible for this designation, there can be no assurance that the FDA would decide to grant it. Even if we do receive a Fast Track designation, and even though Fast Track designation is designed to expedite the development and review of drugs that receive such designation, we may not experience a faster development process, review or approval compared to conventional FDA procedures, and receiving a Fast Track designation does not provide assurance of ultimate FDA approval. In addition, the FDA may withdraw a Fast Track designation if it believes that the designation is no longer supported by data from our clinical development program. In addition, the FDA may withdraw any Fast Track designation at any time.</w:t>
      </w:r>
    </w:p>
    <w:p>
      <w:pPr>
        <w:spacing w:after="0" w:line="6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obtained Orphan Drug Designation for cemsidomide, and if we decide to seek Orphan Drug Designation for any other current or future product candidates, we may be unsuccessful or may be unable to maintain the benefits associated with Orphan Drug Designation, including the potential for supplemental market exclusivity.</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August 2021, the FDA granted Orphan Drug Designation to cemsidomide for the treatment of MM. We may seek Orphan Drug Designation for one or more of our other current or future product candidates. Regulatory authorities in some jurisdictions, including the United States and the European Union, may designate drugs for relatively small patient populations as orphan drugs. Under the Orphan Drug Act, the FDA may grant an Orphan Drug Designation to a drug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In the United States, receipt of an Orphan Drug Designation entitles a party to financial</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incentives such as opportunities for grant funding towards clinical trial costs, tax advantages and user-fee waivers. After the FDA grants Orphan Drug Designation, the generic identity of the drug and its potential orphan use are disclosed publicly by the FDA. Although Orphan Drug Designation is intended to incent drug development for rare diseases or conditions, Orphan Drug Designation does not convey any advantage in, or shorten the duration of, the regulatory review and approval process. In addition, while receipt of Orphan Drug Designation may result in a waiver of any obligation by FDA to conduct studies in pediatric populations, such waiver may not apply to oncology drugs</w:t>
      </w:r>
    </w:p>
    <w:p>
      <w:pPr>
        <w:spacing w:after="0" w:line="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If a product that has an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an NDA, to market the same drug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drug exclusivity, the FDA can still approve other drugs that have a different active ingredient for use in treating the same indication or disease. Further, the FDA can waive orphan drug exclusivity if we are unable to manufacture sufficient supply of our product.</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may also seek Orphan Drug Designations for our other lead candidates and/or some or all of our other current or future product candidates in additional orphan indications in which there is a medically plausible basis for the use of these product candidates. Even when we obtain an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even if we seek Orphan Drug Designation for other product candidates, we may never receive these designations. For example, the FDA has expressed concerns regarding the regulatory considerations for Orphan Drug Designation as applied to tissue agnostic therapies and the FDA may interpret the FDCA and its orphan drug regulations, in a way that limits or blocks our ability to obtain an Orphan Drug Designation or orphan drug exclusivity, if our product candidates are approved, for our targeted indications.</w:t>
      </w:r>
    </w:p>
    <w:p>
      <w:pPr>
        <w:spacing w:after="0" w:line="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seek approval of our product candidates, where applicable under the FDA’s accelerated approval pathway. This pathway may not lead to a faster development or regulatory review or approval process and it does not increase the likelihood that our product candidates will receive marketing approval.</w:t>
      </w:r>
    </w:p>
    <w:p>
      <w:pPr>
        <w:spacing w:after="0" w:line="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plan to seek accelerated approval of our lead product candidates and may seek approval of future product candidates, where applicable,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Under the Food and Drug Omnibus Reform Act, commonly referred to as FDORA, the FDA is permitted to require that a post-approval confirmatory study or studies be underway prior to approval or within a specified time period after the date accelerated approval is granted. FDORA also requires sponsors to send updates to the FDA every 180 days on the status of these studies, including progress towards enrollment targets, and the FDA must promptly post this information publicly. FDORA also gives the FDA increased authority to withdraw accelerated approval on an expedited basis if the sponsor fails to conduct such activities in a timely manner, send the necessary updates to the FDA, or if such post-approval studies fail to verify the drug's predicted clinical benefit; and to take action, such as issuing fines, against companies that fail to conduct with due diligence any post-approval confirmatory study or submit timely reports to the agency on their progress. In addition, the FDA generally requires pre-approval of promotional materials for products receiving accelerated approval, which could adversely impact the timing of the commercial launch of the product. Thus, even if we seek to utilize the accelerated approval pathway for any of our product candidates, we may not be able to obtain accelerated approval, and even if we do, that product may not experience a faster development or regulatory review or approval process. In addition, receiving accelerated approval does not assure the product’s accelerated approval will eventually be converted to a traditional approval.</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FDA may identify in a written request that pediatric information would be beneficial for a product candidate for which we obtained approval and request that we conduct pediatric studies.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elect not to perform these studies or, if we opted to conduct these studies, we may not be able to complete them or the data generated from these studies may not be acceptable to the FDA.</w:t>
      </w:r>
    </w:p>
    <w:p>
      <w:pPr>
        <w:spacing w:after="0" w:line="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Section 505(A) of the FDC Act provides incentives to drug manufacturers who conduct studies of drugs in children. Referred to as the “pediatric exclusivity provision,” this law provides an additional six months of non-patent exclusivity to pharmaceutical manufacturers that conduct acceptable pediatric studies of new and currently-marketed drug products for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which pediatric data would be beneficial pursuant to a written request by the FDA. As a result, if we received a written request for pediatric studies from the FDA, conducted pediatric clinical studies and submitted reports that were accepted by the FDA within the statutory time limits, we could receive an additional six-months of regulatory exclusivity beyond all other types of patent and non-patent exclusivity then in effect for all our approved drug products that contain the active moiety for which pediatric exclusivity was granted. However, even if we received a written request for pediatric studies from the FDA for one or more of our drug products, we may determine not to or be unable to carry out pediatric studies that comply with Section 505(A) of the FDCA, or we may carry out studies that are not accepted by the FDA for this purpose. If this situation were to arise, we would not receive this six-month regulatory exclusivity extension.</w:t>
      </w:r>
    </w:p>
    <w:p>
      <w:pPr>
        <w:spacing w:after="0" w:line="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Disruptions at the FDA, the SEC and other government agencies caused by the change in presidential administration, funding shortages or potential funding shortages could hinder their ability to hire and retain key leadership and other personnel, prevent new products and services from being developed or commercialized in a timely manner, or otherwise prevent those agencies from performing normal business functions, which could negatively impact our business and our timelines.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ability of the FDA to review and clear or approve new products can be affected by a variety of factors, including government budget and funding levels, ability to hire and retain key personnel and accept the payment of user fees, shifting policy priorities as a result of changes in the presidential administration and its appointees tasked to oversee the agency, and statutory, regulatory, and policy changes. Average review times at the agency have fluctuated as a result of these factors. In addition, government funding of the SEC, and other government agencies on which our operations may rely is subject to the impacts of political events, which are inherently fluid and unpredictable. Currently, federal agencies in the United States are operating under a continuing resolution that is set to expire on March 14, 2025.</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Disruptions at the FDA and other agencies may slow the time necessary for review and approval (including any applications we my file with respect to our current and future product candidates), which could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or other disruption occurs, it could significantly impact the ability of the FDA and the SEC to timely review and process our submissions, which could have a material adverse effect on our business and our timelines.</w:t>
      </w:r>
    </w:p>
    <w:p>
      <w:pPr>
        <w:spacing w:after="0" w:line="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relationships with customers, healthcare providers, and third-party payors are or will be subject, directly or indirectly, to foreign, federal and state healthcare fraud and abuse laws, false claims laws, health information privacy and security laws, and other healthcare laws and regulations. If we are unable to comply or have not fully complied with these laws, we could face substantial penalties.</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Healthcare providers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that may constrain the business or financial arrangements and relationships through which we research, sell, market and distribute our product candidates, if we obtain marketing approval. In particular, the research of our product candidates, as well as the promotion, sales and marketing of healthcare items and services, as well as certain business arrangements in the healthcare industry, are subject to extensive laws designed to: (i) prevent fraud, kickbacks, self-dealing and other abusive practices, (ii) guarantee the security and privacy of health information, and (iii) increase transparency around the financial relationships between physicians, teaching hospitals and manufacturers of drugs, medical devices and biologics. These laws and regulations may restrict or prohibit a wide range of pricing, discounting, marketing and promotion, structuring and commission(s), certain customer incentive programs and other business or financial arrangements. See the sections entitled “</w:t>
      </w:r>
      <w:r>
        <w:rPr>
          <w:rFonts w:ascii="Times New Roman" w:cs="Times New Roman" w:eastAsia="Times New Roman" w:hAnsi="Times New Roman"/>
          <w:sz w:val="14"/>
          <w:szCs w:val="14"/>
          <w:i w:val="1"/>
          <w:iCs w:val="1"/>
          <w:color w:val="auto"/>
        </w:rPr>
        <w:t>Business — Other Healthcare Laws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Business — Healthcare Reform</w:t>
      </w:r>
      <w:r>
        <w:rPr>
          <w:rFonts w:ascii="Times New Roman" w:cs="Times New Roman" w:eastAsia="Times New Roman" w:hAnsi="Times New Roman"/>
          <w:sz w:val="14"/>
          <w:szCs w:val="14"/>
          <w:color w:val="auto"/>
        </w:rPr>
        <w:t>” in this Annual Report on Form 10-K.</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Ensuring that our business arrangements and practices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If the physicians or other providers or entities with whom we expect to do business are found not to comply with applicable laws, they may be subject to significant criminal, civil or administrative sanctions, including exclusions from government 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Litigation or proceedings of this nature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an adverse effect on our ability to compete in the marketplace.</w:t>
      </w:r>
    </w:p>
    <w:p>
      <w:pPr>
        <w:spacing w:after="0" w:line="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successful commercialization of our product candidates in the United States and abroad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Significant uncertainty exists as to the coverage and reimbursement status of any products for which we may obtain regulatory approval.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(e.g., Medicare, Medicaid or TRICARE in the United States), managed care providers, private health insurers, health maintenance organizations and other organizations is essential for most patients to be able to afford medical services and pharmaceutical products such as our product candidates. Third-party payors decide which medications they will pay for and establish reimbursement levels. See the section entitled “</w:t>
      </w:r>
      <w:r>
        <w:rPr>
          <w:rFonts w:ascii="Times New Roman" w:cs="Times New Roman" w:eastAsia="Times New Roman" w:hAnsi="Times New Roman"/>
          <w:sz w:val="14"/>
          <w:szCs w:val="14"/>
          <w:i w:val="1"/>
          <w:iCs w:val="1"/>
          <w:color w:val="auto"/>
        </w:rPr>
        <w:t>Business — Coverage and Reimbursement</w:t>
      </w:r>
      <w:r>
        <w:rPr>
          <w:rFonts w:ascii="Times New Roman" w:cs="Times New Roman" w:eastAsia="Times New Roman" w:hAnsi="Times New Roman"/>
          <w:sz w:val="14"/>
          <w:szCs w:val="14"/>
          <w:color w:val="auto"/>
        </w:rPr>
        <w:t>” in this Annual Report on Form 10-K.</w:t>
      </w:r>
    </w:p>
    <w:p>
      <w:pPr>
        <w:spacing w:after="0" w:line="2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ability to successfully commercialize our product candidates will depend in part on the extent to which coverage and adequate reimbursement for our products and related treatments will be available from third-party payors. Moreover, a payor’s decision to provide coverage for a product does not imply that an adequate reimbursement rate will be approved.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A decision by a third-party payor not to cover or not to separately reimburse for our medical products or therapies using our products could reduce physician utilization of our products once approved.</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cannot be sure that coverage and reimbursement in the United States and other countries will be available for our current or future product candidates or for any procedures using our current or future product candidates, and any reimbursement that may become available may not be adequate or may be decreased or eliminated in the future.</w:t>
      </w: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 The principal decisions about reimbursement for new medicines in the United States are typically made by the Centers for Medicare &amp; Medicaid Services, or CMS, an agency within the United States Department of Health and Human Services, or HHS. CMS will decide whether and to what extent our products will be covered and reimbursed under Medicare and private payors tend to follow CMS to a substantial degree. Factors considered by payors in determining reimbursement are based on whether the product is:</w:t>
      </w:r>
    </w:p>
    <w:p>
      <w:pPr>
        <w:spacing w:after="0" w:line="62" w:lineRule="exact"/>
        <w:rPr>
          <w:sz w:val="20"/>
          <w:szCs w:val="20"/>
          <w:color w:val="auto"/>
        </w:rPr>
      </w:pPr>
    </w:p>
    <w:p>
      <w:pPr>
        <w:ind w:left="640" w:hanging="317"/>
        <w:spacing w:after="0"/>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covered benefit under its health plan;</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 effective, and medically necessary;</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appropriate for the specific patient;</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cost-effective;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experimental nor investigational.</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cannot be sure that coverage and reimbursement will be available for or accurately estimate the potential revenue from our product candidates or assure that coverage and reimbursement will be available for any product that we may develop.</w:t>
      </w: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Further, increasing efforts by third-party payors in the United States and abroad to cap or reduce healthcare costs may cause payor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Lastly, in some foreign countries, the proposed pricing for a drug must be approved before it may be lawfully marketed. The requirements governing drug pricing vary widely from country to country. For example, countries in the EU Member States can restrict the range of medicinal products for which their national health insurance systems provide reimbursement and they can control the prices of medicinal products for human use. To obtain reimbursement or pricing approval, some of these countries may require the completion of clinical trials that compare the cost effectiveness of a particular product candidate to currently available therapies. An EU Member State may approve a specific price for the medicinal product, or it may instead adopt a system of direct or indirect controls on the profitability of the company placing the medicinal product on the market. Approaches between EU Member States are diverging. For example, in France, effective market access will be supported by agreements with hospitals and products may be reimbursed by the Social Security Fund. The price of medicines is negotiated with the Economic Committee for Health Products.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United States and generally prices in the EU tend to be significantly lower than prices in the United States.</w:t>
      </w:r>
    </w:p>
    <w:p>
      <w:pPr>
        <w:spacing w:after="0" w:line="23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Enacted and future healthcare legislation may increase the difficulty and cost for us to progress our clinical programs and obtain marketing approval of and commercialize our product candidates and may affect the prices we may set.</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See the section entitled “</w:t>
      </w:r>
      <w:r>
        <w:rPr>
          <w:rFonts w:ascii="Times New Roman" w:cs="Times New Roman" w:eastAsia="Times New Roman" w:hAnsi="Times New Roman"/>
          <w:sz w:val="14"/>
          <w:szCs w:val="14"/>
          <w:i w:val="1"/>
          <w:iCs w:val="1"/>
          <w:color w:val="auto"/>
        </w:rPr>
        <w:t>Business — Government Regulation - Healthcare Reform</w:t>
      </w:r>
      <w:r>
        <w:rPr>
          <w:rFonts w:ascii="Times New Roman" w:cs="Times New Roman" w:eastAsia="Times New Roman" w:hAnsi="Times New Roman"/>
          <w:sz w:val="14"/>
          <w:szCs w:val="14"/>
          <w:color w:val="auto"/>
        </w:rPr>
        <w:t>” in this Annual Report on Form 10-K.</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expect that additional state and federal healthcare reform measures will be adopted in the future, such as the proposed BIOSECURE Act, any of which could limit the extent to which state and federal governments cover particular healthcare products and services, and could limit the amounts that the federal and state governments will pay for healthcare products and services, or cause us to need to identify or engage alternate service providers. This could result in reduced demand for any product candidate we develop, additional pricing pressures, delayed or limited supply of materials needed for our research or development activities, or other adverse effects to our financial condition and business prospects.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markets outside of the United States, reimbursement and healthcare payment systems vary significantly by country and many countries have instituted price ceilings on specific products and therapies. The price control regulations outside of the United States can have a significant impact on the profitability of a given market, and further uncertainty is introduced if and when these laws change.</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cannot predict the likelihood, nature or extent of government regulation that may arise from future legislation or administrative action in the United States or any other jurisdiction. The continuing efforts of the government, insurance companies, managed care organizations and other payors of healthcare services to contain or reduce costs of healthcare and/or impose price controls may adversely affect:</w:t>
      </w:r>
    </w:p>
    <w:p>
      <w:pPr>
        <w:spacing w:after="0" w:line="51" w:lineRule="exact"/>
        <w:rPr>
          <w:sz w:val="20"/>
          <w:szCs w:val="20"/>
          <w:color w:val="auto"/>
        </w:rPr>
      </w:pPr>
    </w:p>
    <w:p>
      <w:pPr>
        <w:ind w:left="640" w:hanging="317"/>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demand for our product candidates, if we obtain regulatory approval;</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set a price that we believe is fair for our approved products;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640" w:hanging="317"/>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generate revenue and achieve or maintain profitability;</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taxes that we are required to pay;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capital.</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we or any third parties we may engage are slow or unable to adapt to changes in existing requirements or the adoption of new requirements or policies, or if we or these third parties are not able to maintain regulatory compliance, our product candidates may lose any regulatory approval that may have been obtained and we may not achieve or sustain profitability.</w:t>
      </w:r>
    </w:p>
    <w:p>
      <w:pPr>
        <w:spacing w:after="0" w:line="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face potential liability under applicable privacy laws, in the United States as well as other jurisdictions, if we obtain identifiable patient health information from clinical trials sponsored by us.</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Most healthcare providers, including certain research institutions from which we may obtain patient health information, are subject to privacy and security regulations promulgated under the Health Insurance Portability and Accountability Act of 1966, or HIPAA, as amended by the Health Information Technology for Economic and Clinical Health Act. Depending on the facts and circumstances, we could be subject to civil, criminal, and administrative penalties if we obtain, use, or disclose individually identifiable health information maintained by a HIPAA-covered entity in a manner that is not authorized or permitted by HIPAA. In addition, we may be subject to state laws requiring notification of affected individuals and state regulators in the event of a breach of personal information, which is a broader class of information than the health information protected by HIPAA.</w:t>
      </w:r>
    </w:p>
    <w:p>
      <w:pPr>
        <w:spacing w:after="0" w:line="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United States, in recent years, states have begun to play a significant role in privacy regulation. Leading the way has been California, where the California Consumer Privacy Act of 2018, or the</w:t>
      </w: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CCPA, has established individual data privacy rights for consumers and increased privacy and security obligations on businesses covered by the law including obligations to provide detailed disclosures to California consumers about their data collection, use and sharing practices and provide such consumers with ways to opt out of certain uses of sensitive personal information, including health information. The law also created a new state regulatory agency that was vested with authority to implement and enforce the CCPA. These requirements could increase our compliance costs and potential liability. The CCPA also provides for civil penalties for violations, as well as a private right of action for data breaches. While there is currently an exception for protected health information that is subject to HIPAA and clinical trial regulations, as currently written, the CCPA may impact certain of our business activities.</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Furthermore, numerous states have passed broad consumer privacy laws that are similar in many respects to the CCPA and with many other states proposing similar laws, it is quite possible that other states will follow suit and also pass comprehensive privacy-focused legislation. If enacted, this type of legislation may add additional complexity, further variation in requirements, restrictions and potential legal risk, require additional investment of resources in compliance programs, impact data collection strategies and the availability of previously useful data and could result in increased compliance costs and/or changes in business practices and policies. The existence of comprehensive privacy laws in different states within the United States will make our compliance obligations more complex and costly and may increase the likelihood that we may be subject to enforcement actions or otherwise incur liability for noncompliance. Further, in addition to comprehensive laws at the state level, some states have been proposing or passing laws that target particular aspects of privacy. For example, in the state of Washington, the My Health My Data Act, which went into effect in March 2024 protects the privacy of medical and health-related information that is not covered by HIPAA. In addition, a small number of states have passed laws specifically focused on biometric information.</w:t>
      </w:r>
    </w:p>
    <w:p>
      <w:pPr>
        <w:spacing w:after="0" w:line="2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Regulators and legislators in the U.S. are increasingly scrutinizing and restricting certain personal data transfers and transactions involving foreign countries. For example, the Biden Administration’s executive order Preventing Access to Americans’ Bulk Sensitive Personal Data and United States Government-Related Data by Countries of Concern as implemented by Department of Justice regulations issued in December 2024,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violations of these regulations may be punishable by criminal and/or civil sanctions, and may result in exclusion from participation in federal and state programs.</w:t>
      </w:r>
    </w:p>
    <w:p>
      <w:pPr>
        <w:spacing w:after="0" w:line="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increasing number and complexity of privacy and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Outside of the United States, we also face the challenge of stringent privacy and data protection laws. For example, legislators in the European Economic Area, or EEA, adopted the European Union, or EU, General Data Protection Regulation, or EU GDPR, and the EU GDPR, as transposed into the laws of the United Kingdom, the UK GDPR, collectively referred to as the GDPR. The GDPR imposes more stringent data protection compliance requirements on controllers and processors of personal data of subjects located in the EEA and UK, including special protections for "special category data," which includes health, biometric, and genetic information and provides for significant penalties for noncompliance. Further, the GDPR provides a broad right for EEA Member States to create supplemental national laws, as laws relating to the processing of health, genetic, and biometric data, which could further limit our ability to use and share such data or could cause our costs to increase, and harm our business and financial condition. The GDPR includes compliance obligations that may be applicable to our business, which could cause us to change our business practices, and increases financial penalties for noncompliance (including possible fines of up to the greater of €20 million (£17.5 million under the UK GDPR) and 4% of our global annual turnover for the preceding financial year for the most serious violations, as well as the right to compensation for financial or non-financial damages claimed by any individuals under Article 82 of the GDPR). In addition to such fines, we may be subject to litigation and/or adverse publicity, which could have a material adverse effect on our reputation and business.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that processing is subject to the GDPR. In addition, we may be required to put in place additional mechanisms to ensure compliance with the GDPR, including GDPR requirements as implemented by individual countries.</w:t>
      </w:r>
    </w:p>
    <w:p>
      <w:pPr>
        <w:spacing w:after="0" w:line="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GDPR requires us to inform data subjects of how we process their personal data and how they can exercise their rights, ensure we have a valid legal basis to process personal data (if this is consent, the requirements for obtaining consent carries a higher threshold), and appoint a data protection officer where sensitive personal data (i.e., health data) is processed on a large scale. In addition, the GDPR introduces mandatory data breach notification requirements throughout the EEA and UK, requires us to maintain records of our processing activities and to document data protection impact assessments where there is high risk processing, imposes additional obligations on us when we are contracting with service providers, requires appropriate technical and organizational measures be put in place to safeguard personal data and requires us to adopt appropriate privacy governance including policies, procedures, training and data audit. We are taking steps to comply with the GDPR as appropriate and as and when applicable to us, but this is an ongoing compliance process. Compliance with the GDPR will be a rigorous and time-intensive process that may increase our cost of doing business or require us to change our business practices. If our efforts to comply with GDPR or other applicable EEA and UK laws and regulations are not successful, or are perceived to be unsuccessful, it could adversely affect our business in the EEA and/or the UK.</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Significantly, the GDPR imposes strict rules on the transfer of personal data out of the EEA and UK to other regions outside the EEA/UK, or third countries, that have not been deemed to offer “adequate” privacy protections by the competent data protection authorities, including the United States in certain circumstances, unless a derogation exists or adequate international transfer safeguards (for example, the European Commission approved Standard Contractual Clauses, or the EU SCCs, and the UK International Data Transfer Agreement/Addendum, or the UK IDTA) are put in place. Where relying on the EU SCCs or UK IDTA for data transfers, we may also be required to carry out transfer impact assessments on the transfers made pursuant to the EU SCCs and UK IDTA, on a case-by-case basis, to ensure the law in the recipient country provides “essentially equivalent” protections to safeguard the transferred personal data as provided in the EEA and UK, and may be required to adopt supplementary measures if this standard is not met. </w:t>
      </w:r>
      <w:r>
        <w:rPr>
          <w:rFonts w:ascii="Times New Roman" w:cs="Times New Roman" w:eastAsia="Times New Roman" w:hAnsi="Times New Roman"/>
          <w:sz w:val="14"/>
          <w:szCs w:val="14"/>
          <w:color w:val="231F20"/>
        </w:rPr>
        <w:t>The international transfer obligations under the EEA and UK data protection regimes will require significant effort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cost, and may result in us needing to make strategic considerations around where EEA and UK personal data is located and which service providers we can utilize for the processing of EEA and UK personal data. </w:t>
      </w:r>
      <w:r>
        <w:rPr>
          <w:rFonts w:ascii="Times New Roman" w:cs="Times New Roman" w:eastAsia="Times New Roman" w:hAnsi="Times New Roman"/>
          <w:sz w:val="14"/>
          <w:szCs w:val="14"/>
          <w:color w:val="000000"/>
        </w:rPr>
        <w:t>Any inability to transfer personal data from the EEA to the United States in compliance with data protection laws may impede our ability to conduct trials and may adversely affect our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business and financial position.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Although the UK is regarded as one of the third countries under the EU GDPR, the European Commission has adopted an adequacy decision in favor of the UK, enabling data transfers from EEA member states to the UK without additional safeguards. The UK government has confirmed that personal data transfers from the UK to the EEA remain free flowing.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Further, the UK government has introduced a Data (Use and Access) Bill, or the UK Bill, into the UK legislative process. The aim of the UK Bill is to reform the UK’s data protection regime following Brexit. If passed, the final version of the UK Bill may have the effect of further altering the similarities between the UK and EEA data protection regime and threaten the UK adequacy decision from the European Commission. In addition, EEA Member States have adopted national laws to implement the GDPR that may partially deviate from the GDPR. Further, the competent authorities in the EEA Member States may interpret GDPR obligations slightly differently from country to country and therefore we do not expect to operate in a uniform legal landscape in the EEA. The potential of the respective provisions and enforcement of the EU GDPR and UK GDPR further diverging in the future creates additional regulatory challenges and uncertainties for us.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spacing w:after="0" w:line="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Outside of the United States and Europe, many jurisdictions in which we have CROs or otherwise do business are also considering and/or have enacted comprehensive data protection legislation. We may, however, incur liabilities, expenses, costs and other operational losses under the GDPR and applicable EEA Member States and the UK privacy laws in connection with any measures we take to comply with them.</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may be subject to the supervision of local data protection authorities in those jurisdictions where we are processing personal data in the EEA and UK, including where our business activities involve monitoring the behavior of individuals in the EEA or UK (for example, when undertaking clinical trials). We depend on a number of third parties in relation to the provision of our services, a number of which process personal data of EEA and/or UK individuals on our behalf. With each such provider we enter or intend to enter into contractual arrangements under which they are contractually obligated to only process personal data according to our instructions, and conduct or intend to conduct diligence to ensure that they have sufficient technical and organizational security measures in place.</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Further,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we or third-party CMOs,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Additionally, we are subject to state and foreign equivalents of each of the healthcare laws described above, among others, some of which may be broader in scope and may apply regardless of the payor.</w:t>
      </w:r>
    </w:p>
    <w:p>
      <w:pPr>
        <w:spacing w:after="0" w:line="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or our third-party manufacturers and suppliers fail to comply with environmental, health and safety laws and regulations, we could become subject to fines or penalties or incur costs that could have an adverse effect on the success of our business.</w:t>
      </w:r>
    </w:p>
    <w:p>
      <w:pPr>
        <w:spacing w:after="0" w:line="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applicable laws and regulations governing the use, storage, handling, and disposal of these materials and specified waste products. Although we believe that the safety procedures utilized by our third-party CMOs for handling and disposing of these materials generally comply with the standards prescribed by these laws and regulations, we cannot guarantee that this is the case or eliminate the risk of accidental contamination or injury from these materials. Upon an event of this nature, we may be held liable for any resulting damages and such liability could exceed our resources and state or federal or other applicable authorities may curtail our use of certain materials and/or interrupt our business operations. Further, environmental laws and regulations are complex, change frequently, and have tended to become more stringent. We cannot predict the impact of any changes of this nature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are subject to United States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of 2001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In the future, we may engage third parties for clinical trials outside of the United States, to sell our products abroad once we enter a commercialization phase and/or to obtain necessary permits, licenses, patent registrations, and other regulatory approvals. We may also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these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employee matters, managing growth, and operational matters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ability to compete in the highly competitive biotechnology and pharmaceutical industries depends upon our ability to attract and retain highly qualified managerial, scientific, medical personnel, sales and marketing, and other personnel. We are highly dependent on our management, scientific and medical personnel, including our President and Chief Executive Officer, Chief Scientific Officer, Chief Medical Officer, Chief Financial Officer, Chief Legal Officer, Chief People Officer, and Chief Business Officer. The loss of the services of any of our executive officers, other key employees, and other scientific and medical advisors, and an inability to find suitable replacements could result in delays in product development, and harm our business. While we expect to engage in an orderly transition process if and when we integrate newly appointed officers and managers, we face a variety of risks and uncertainties relating to management transition, including diversion of management attention from business concerns, failure to retain other key personnel, or loss of institutional knowledge.</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conduct our operations at our facilities in Watertown, Massachusetts. The Massachusetts region is headquarters to many other biopharmaceutical companies and many academic and research institutions. Competition for skilled personnel in our market is intense and may limit our ability to hire and retain highly qualified personnel on acceptable terms or at all. Changes to U.S. immigration and work authorization laws and regulations, including those that restrain the flow of scientific and professional talent, can be significantly affected by political forces and levels of economic activity. Our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business may be materially adversely affected if legislative or administrative changes to immigration or visa laws and regulations impair our hiring processes and goals or projects involving personnel who are not U.S. citizens.</w:t>
      </w: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To encourage valuable employees to remain at our company, in addition to salary and cash incentives, we have provided stock options and other equity awards that vest over time or based on the achievement of milestones. The value to our employees of equity awards that vest over time may be significantly affected by movements in our stock price that are beyond our control and may, at any time, be insufficient to counteract more lucrative offers from other companies. The same may be true in respect of equity awards that vest based on the achievement of milestones. Despite our efforts to retain valuable employees, members of our management, scientific and development teams may terminate their employment with us on short notice. Although we have employment agreements with our executive employees, these employment agreements provide for at-will employment, which means that any of our executive employees could leave our employment at any time, with or without notice. Our success also depends on our ability to continue to attract, retain and motivate highly skilled junior, mid-level, and senior managers, as well as junior, mid-level, and senior scientific, medical, and general and administrative personnel.</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internal computer systems, or those of any of our collaborators, vendors, contractors, or consultants, may fail or suffer security breaches, incidents or compromises, which could result in a disruption of our product development programs and could harm our reputation or subject us to liability, and adversely affect our business and financial results.</w:t>
      </w:r>
    </w:p>
    <w:p>
      <w:pPr>
        <w:spacing w:after="0" w:line="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Our internal computer systems and those of any collaborators, vendors, contractors or consultants are vulnerable to damage from computer viruses, unauthorized access, natural disasters, terrorism, war, and telecommunication and electrical failures. We and certain of our service providers have experienced and may in the future experience cybersecurity incidents. While we have not experienced any material system failure, accidents, or security breaches of this nature to date, if an event of this nature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marketing approval efforts and significantly increase our costs to recover or reproduce the data. To the extent that any disruption, security breach, incident or compromise were to result in a loss of or damage to our data or applications or the inappropriate disclosure of confidential or proprietary information, we could incur liability, our competitive position could be harmed, and the further development and commercialization of our product candidates could be delayed. Additionally, we may have data security obligations with respect to the information of third parties that we store. Unauthorized access or use of any third-party data or information of this nature could result in fines or other penalties that may impact our relationships with these third parties and our operations.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Any actual or perceived security breach, incident or compromise of our platform, systems, and networks could damage our reputation and brand, expose us to a risk of litigation and possible liability, and require us to expend significant capital and other resources to respond to and alleviate problems caused by the security breach. Our ability to maintain adequate cyber-crime and liability insurance may be reduced. Some jurisdictions have enacted laws requiring companies to notify individuals of data security breaches involving certain types of personal data and our agreements with certain partners require us to notify them in the event of a security incident. These types of mandatory disclosures are costly, could lead to negative publicity, and may cause our partners to lose confidence in the effectiveness of our data security measures. Any of these events could harm our reputation or subject us to liability, and materially and adversely affect our business and financial results. Although we maintain cyber liability insurance, we cannot be certain that its coverage will be adequate for liabilities actually incurred or that insurance will continue to be available to us on economically reasonable terms, or at all.</w:t>
      </w:r>
    </w:p>
    <w:p>
      <w:pPr>
        <w:spacing w:after="0" w:line="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exposed to the risk that our employees, independent contractors, vendors, principal investigators, CROs, CMOs, and consultants may engage in fraudulent conduct or other illegal activity.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Misconduct by these parties could include, among other things:</w:t>
      </w:r>
    </w:p>
    <w:p>
      <w:pPr>
        <w:spacing w:after="0" w:line="79" w:lineRule="exact"/>
        <w:rPr>
          <w:sz w:val="20"/>
          <w:szCs w:val="20"/>
          <w:color w:val="auto"/>
        </w:rPr>
      </w:pPr>
    </w:p>
    <w:p>
      <w:pPr>
        <w:ind w:left="640" w:hanging="317"/>
        <w:spacing w:after="0" w:line="263" w:lineRule="auto"/>
        <w:tabs>
          <w:tab w:leader="none" w:pos="63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intentional, reckless, or negligent conduct or disclosure of unauthorized activities that violate study and trial protocols or the regulations of the FDA or similar foreign regulatory authorities;</w:t>
      </w:r>
    </w:p>
    <w:p>
      <w:pPr>
        <w:spacing w:after="0" w:line="247"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violations of healthcare fraud and abuse laws and regulations in the United States and abroad;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640" w:hanging="317"/>
        <w:spacing w:after="0"/>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violations of U.S. federal securities laws relating to trading in our common stock;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failures to report financial information or data accurately.</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Other forms of misconduct could involve the improper use of information obtained in the course of clinical trials or creating fraudulent data in our preclinical studies or clinical trials, which could result in regulatory sanctions and cause serious harm to our reputation. We have adopted a code of business conduct and ethics and other corporate governance and compliance documents, policies and charters applicable to all of our employees. However, it is not always possible to identify and deter misconduct by employees and other third parties. Further, the precautions we take to detect and prevent this type of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fraud or other misconduct, even if none occurred. If any actions of this nature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and/or curtailment of our operations, any of which could adversely affect our business prospects, financial condition, and results of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were to determine to raise additional capital in the future, you would suffer dilution of your investment.</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may choose to raise additional capital in the future through the sale of shares or other securities convertible into shares, depending on market conditions, strategic considerations, and operational requirements. To the extent we raise additional capital in this manner, our stockholders will be diluted. Future issuances of our common stock or other equity securities, or the perception that sales of this nature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Currently, our common stock is listed on the Nasdaq Global Select Market. However, there may not be enough liquidity in that market to enable you to sell your shares of our common stock.</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Currently, our common stock is listed on the Nasdaq Global Select Market. If an active trading market for our shares is not sustained, you may not be able to sell your shares quickly or at the market price. We cannot predict the extent to which investor interest in us will lead to sustaining an active, liquid trading market.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or cease publishing research or reports about our business, or if they issue an adverse or misleading opinion regarding our stock, our stock price, and trading volume could decline.</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trading market for our common stock is and will continue to be influenced by the research and reports that industry or securities analysts publish about us, our business or the targeted protein degradation space. We do not have control over these analysts. There can be no assurance that existing analysts will continue to provide research coverage or that new analysts will begin to provide coverage. Although we have obtained analyst coverage, if any of the analysts who cover us were to issue an adverse or misleading opinion regarding us, our business model, our intellectual property or our stock performance, or if our preclinical studies and future clinical trials and results of operations fail to meet the expectations of any of these analysts, our stock price would likely decline. If one or more of these covering analysts were to cease coverage of us or fail to publish reports on us regularly, we could lose visibility in the financial markets, which in turn could cause a decline in our stock price or trading volume.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price of our common stock may be volatile and fluctuate substantially, which could result in substantial losses for purchasers of our common stock.</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trading price of shares of our common stock has been and may continue to be volatile and subject to wide fluctuations in response to various factors, some of which we cannot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 at or above the price at which you acquired it. The market price for our common stock may be influenced by many factors, including:</w:t>
      </w:r>
    </w:p>
    <w:p>
      <w:pPr>
        <w:spacing w:after="0" w:line="94" w:lineRule="exact"/>
        <w:rPr>
          <w:sz w:val="20"/>
          <w:szCs w:val="20"/>
          <w:color w:val="auto"/>
        </w:rPr>
      </w:pPr>
    </w:p>
    <w:p>
      <w:pPr>
        <w:ind w:left="640" w:hanging="317"/>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degree of success of competitive products or technologies or changes in standard of care regimens;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of preclinical studies and clinical trials of our product candidates or those of our competitors;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progress of our clinical development activities and the timing of our release of data from our clinical trials;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or legal developments in the United States and other countries;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patent applications, issued patents, or other proprietary rights;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recruitment or departure of key personnel;</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expenses related to any of our product candidates or clinical development programs and the value of the cash, cash equivalents, and marketable securities we hold;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our efforts to discover, develop, acquire, or in-license additional technologies or product candidates;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in estimates as to financial results, development timelines, or recommendations by securities analysts;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our financial results or those of companies that are perceived to be similar to us;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structure of healthcare payment systems;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in the pharmaceutical and biotechnology sectors;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effects of public health crises, pandemics and epidemics, such as the recent COVID-19 pandemic;</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industry, and market conditions;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factors described in this “Risk Factors” section.</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any of the foregoing factors were viewed as likely to have a negative impact on our business, prospects or operations or if our operating results fall below the expectations of investors or securities analysts, the price of our common stock could decline substantially. In the past, following periods of volatility in the market price of a company’s securities, securities class-action litigation often has been instituted against that company. Litigation of this nature, if instituted against us, could cause us to incur substantial costs to defend these claims and divert management’s attention and resources, which could seriously harm our business, financial condition, results of operations, and prospects. Further, our director and officer liability insurance cost may increase as a result of litigation of this nature and our insurance deductible may be significant before our insurers are required to provide any coverage to us.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broad discretion in the use of the capital we have raised and may not use our capital effectively.</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management has broad discretion in the application of the net proceeds from our prior financings, including our initial and follow-on public offerings, and could spend the proceeds in ways that do not improve our results of operations or enhance the value of our common stock. The failure by our management to apply these funds effectively could result in financial losses that could have an adverse effect on our business, cause the price of our common stock to decline and delay the development of our product candidates. Pending their use, we may invest the net proceeds from our financing activities in a manner that does not produce income or that loses value.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executive officers, directors, and principal stockholders will have the ability to control or significantly influence matters submitted to stockholders for approval.</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executive officers and directors, combined with our stockholders who have reported through filings made with the Securities and Exchange Commission that they own more than 5% of our outstanding common stock, in the aggregate, beneficially own a significant percentage of our shares. As a result, our executive officers and directors, combined with our greater than 5% stockholders, have the ability to control us through this ownership position. These stockholders, if acting together, will consequently continue to control matters submitted to our stockholders for approval, as well as our management and affairs. For example, these persons, if they choose to act together, would control the election of directors and approval of any merger, consolidation or sale of all or substantially all of our assets. This concentration of ownership control may:</w:t>
      </w:r>
    </w:p>
    <w:p>
      <w:pPr>
        <w:spacing w:after="0" w:line="58" w:lineRule="exact"/>
        <w:rPr>
          <w:sz w:val="20"/>
          <w:szCs w:val="20"/>
          <w:color w:val="auto"/>
        </w:rPr>
      </w:pPr>
    </w:p>
    <w:p>
      <w:pPr>
        <w:ind w:left="640" w:hanging="317"/>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defer, or prevent a change in control;</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640" w:hanging="317"/>
        <w:spacing w:after="0"/>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entrench our management and the board of directors; or</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impede a merger, consolidation, takeover, or other business combination involving us that other stockholders may desire.</w:t>
      </w:r>
    </w:p>
    <w:p>
      <w:pPr>
        <w:spacing w:after="0" w:line="9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3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39" w:lineRule="exact"/>
        <w:rPr>
          <w:sz w:val="20"/>
          <w:szCs w:val="20"/>
          <w:color w:val="auto"/>
        </w:rPr>
      </w:pPr>
    </w:p>
    <w:p>
      <w:pPr>
        <w:ind w:left="640" w:hanging="317"/>
        <w:spacing w:after="0"/>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board of directors divided into three classes serving staggered three-year terms, the result of which is that not all members of the board will be elected at one time;</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through written consent, the result of which is that all stockholder actions will have to be taken at a meeting of our stockholders;</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special meetings of stockholders be called only by the board of directors acting pursuant to a resolution approved by the affirmative vote of a majority of the directors then in office;</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requirements for stockholder proposals and nominations for election to our board of directors;</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39"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of approval of not less than two-thirds of all outstanding shares of our voting stock to amend any by-laws by stockholder action or to amend specific provisions of our certificate of incorporation; and</w:t>
      </w:r>
    </w:p>
    <w:p>
      <w:pPr>
        <w:spacing w:after="0" w:line="39"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will continue to incur additional costs as a result of operating as a public company and our management will be required to devote substantial time to compliance initiatives and corporate governance practices.</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a public company, we will continue to incur significant legal, accounting, and other expenses that we would not have to incur as a private company. The Sarbanes-Oxley Act of 2002, or Sarbanes-Oxley, the Dodd-Frank Wall Street Reform and Consumer Protection Act, the listing requirements of The Nasdaq Stock Market LLC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increase our legal and financial compliance and insurance costs and make some activities more time-consuming and costly. For example, these rules and regulations make it more difficult and more expensive for us to obtain director and officer liability insurance, which in turn could make it more difficult for us to attract and retain qualified members of our board of directors.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continually evaluate these rules and regulations and cannot always predict or estimate the amount of additional costs we may incur or the timing of these costs. These rules and regulations are also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Pursuant to Section 404 of Sarbanes-Oxley, or Section 404, we are required to furnish a report by our management on our internal control over financial reporting. However, as a "smaller reporting company," we will not be required to include an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attestation report on internal control over financial reporting issued by our independent registered public accounting firm until we are no longer a smaller reporting company. As of the end of our fiscal year ended December 31, 2024, we qualified as a “non-accelerated filer” as defined in the Securities Exchange Act of 1934, as amended, or the Exchange Act and as a "smaller reporting company." Our compliance with Section 404 necessitates that we incur substantial accounting expense and expend significant management efforts.</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we will be able to conclude, within the prescribed timeframe or at all, that our internal control over financial reporting is effective as required by Section 404. Further, we cannot assure you that the measures we have taken in the past or will take in the future will prevent the occurrence of future material weaknesses or significant deficiencies in our internal control over financial reporting. If we identify one or more material weaknesses in the future, it could result in an adverse reaction in the financial markets and restrict our future access to the capital markets due to a loss of confidence in the reliability of our condensed consolidated financial statements.</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Pursuant to our amended and restated by-laws, unless we consent in writing to the selection of an alternative forum, the Court of Chancery of the State of Delaware is the sole and exclusive forum for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our amended and restated certificate of incorporation or amended and restated by-laws; (iv) any action to interpret, apply, enforce, or determine the validity of our amended and restated certificate of incorporation or amended and restated by-laws; or (v) any action asserting a claim governed by the internal affairs doctrine. We refer to this provision in our amended and restated by-laws as the Delaware Forum Provision. The Delaware Forum Provision will not apply to any causes of action arising under the Securities Act of 1933, as amended, the Securities Act, or the Exchange Act, as amended.</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amended and restated by-laws further provide that unless we consent in writing to the selection of an alternative forum, the U.S. District Court for the District of Massachusetts shall be the sole and exclusive forum for resolving any complaint asserting a cause of action arising under the Securities Act, as our headquarters are located in Watertown, Massachusetts. We refer to this provision in our amended and restated by-laws as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w:t>
      </w:r>
    </w:p>
    <w:p>
      <w:pPr>
        <w:spacing w:after="0" w:line="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and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Because we do not anticipate paying any cash dividends on our capital stock in the foreseeable future, capital appreciation, if any, will be your sole source of gain.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Business disruptions, including due to natural disasters, global conflicts or political unrest, and unstable market conditions and downturns in economic and market conditions may have serious adverse consequences on our business, financial condition and stock price.</w:t>
      </w:r>
    </w:p>
    <w:p>
      <w:pPr>
        <w:spacing w:after="0" w:line="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operations and those of any CMOs, CROs and other contractors and consultants that we may engage could be impacted by earthquakes, power shortages, telecommunications failures, water shortages, floods, hurricanes, typhoons, fires, extreme weather conditions, medical epidemics and other natural or man-made disasters or business interruptions, for which we are predominantly self-insured. Our ability to obtain clinical supplies of our product candidates could be disrupted if the operations of these suppliers are affected by a man-made or natural disaster or other business interruption.</w:t>
      </w:r>
    </w:p>
    <w:p>
      <w:pPr>
        <w:spacing w:after="0" w:line="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results of operations could be adversely affected by general conditions in the global economy and in the global financial markets. For example, the global financial crisis caused extreme volatility and disruptions in the capital and credit markets. Similarly, the significant volatility associated with recent geopolitical tensions, including with China, and the global conflicts, such as those between Russia and Ukraine and Israel and Hamas, have caused significant instability and disruptions in the capital and credit markets. Global economic conditions continue to be volatile and uncertain in the United States and abroad. Our operations could be adversely affected by economic and political changes in the markets, including higher inflation rates, increasing interest rates, supply chain disruptions, recessions, trade restrictions, tariff increases or potential new tariffs, and economic embargoes imposed by the United States. A severe or prolonged economic downturn could result in a variety of risks to our business, including weakened demand for our product candidates, and could also impact our ability to raise additional capital when needed on acceptable terms, if at all. Our general business strategy may be adversely affected by any economic downturn of this nature, volatile business environment or continued unpredictable and unstable market conditions. If the current equity and credit markets deteriorate, or do not improve, it may make any necessary debt or equity financing more difficult, costly and dilutive, or not available at all.</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Failure to secure any necessary financing in a timely manner and on favorable terms could have an adverse effect on our growth strategy, financial performance, and stock price and could require us to delay, modify,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adversely affect our business prospects, financial condition, and results of operations.</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Adverse developments that affect financial institutions, such as events involving liquidity that are rumored or actual, have in the past and may in the future lead to market-wide liquidity problems. For example, on March 10, 2023, Silicon Valley Bank was closed by the California Department of Financial Protection and Innovation, which appointed the Federal Deposit Insurance Corporation as receiver.</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periodically assess our banking and other relationships as we believe necessary or appropriate, including to ensure that we have appropriate diversification in these relationships. Nonetheless,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 Risk Management and Strategy</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implemented and maintain an ongoing cybersecurity risk management program, under the oversight of the audit committee of the board of directors, that is focused on identifying, assessing and mitigating cyber risk. We engage with multiple third-party vendors who provide a variety of services ranging from ongoing security advisory services to security monitoring and response management. In addition, we also have a process to assess and review the cybersecurity practices of third-party vendors and service providers, including through the use of vendor questionnaires and contractual security requirements, as appropriate. In addition to these efforts, we have implemented an ongoing enterprise risk management program that includes processes designed to identify, assess, and address cybersecurity risks. Our cybersecurity efforts are informed by industry standards and include periodic, targeted risk assessments supported by cybersecurity technologies, including third-party security solutions and monitoring tools, designed to monitor, identify, and address cybersecurity risks.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Additionally, as a public company, we are subject to various regulatory requirements around our internal controls, including our controls around our information technology systems and their impact on our financial statements or systems. We have engaged a third party vendor to advise us on our compliance with these requirements, including around our controls related to cybersecurity, and strategies to mitigate related risk. If we were to identify any control deficiencies that represent cybersecurity risks, those would be reported to the Chief Financial Officer and the audit committee, together with plans for corrective action, as appropriate.</w:t>
      </w:r>
    </w:p>
    <w:p>
      <w:pPr>
        <w:spacing w:after="0" w:line="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Although risks from cybersecurity threats to date have not materially affected, and we do not believe they are reasonably likely to materially affect, us, our business strategy, results of operations or financial condition, we do, from time to time, experience threats and security incidents relating to our, and our third party vendors’, information systems. For more information, please see the section entitled “Risk Factors” in this Annual Report on Form 10-K.</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 Related to Cybersecurity Risks</w:t>
      </w:r>
    </w:p>
    <w:p>
      <w:pPr>
        <w:spacing w:after="0" w:line="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cyber risk management program and related operations and processes are managed by our Director of Information Technology, in consultation with the legal and human resources teams. The Director of Information Technology has primary responsibility for day-to-day management of our cyber risk management program, including monitoring for cybersecurity risks. Currently, the Director of Information Technology role is held by an individual who has over 18 years of cybersecurity, information technology, and systems engineering experience. The Director of Information Technology reports to the Chief People Officer.</w:t>
      </w:r>
    </w:p>
    <w:p>
      <w:pPr>
        <w:spacing w:after="0" w:line="4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Director of Information Technology meets with the Chief People Officer periodically to monitor and review the outcomes of our cybersecurity risk management processes and to discuss and address matters related to cybersecurity risk management strategy. The Director of Information Technology, working with the Chief Legal Officer and Chief People Officer, provides periodic reports on cybersecurity risks to the audit committee, which is responsible for reviewing and overseeing the Company’s risk management processes, including cybersecurity risks. The Chief Financial Officer, Chief People Officer and Chief Legal Officer and/or other senior members of the legal team, participate in audit committee meetings, which are generally led by the Chief Financial Officer, as well as meetings of the full board of directors.</w:t>
      </w:r>
    </w:p>
    <w:p>
      <w:pPr>
        <w:spacing w:after="0" w:line="5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enterprise risk management process is overseen by our Chief Legal Officer and Chief Financial Officer. In collecting information on enterprise risk, cyber security is specifically included as a risk category, and the results of our enterprise risk assessment processes, including risks related to cybersecurity, are also discussed with the audit committee and among senior management on a periodic basis. Further, in accordance with the committee's charter, the chair of the audit committee provides periodic updates on committee activities to the full board of directors, which may include discussion of any cyber risks.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currently lease approximately 111,611 square feet of office and laboratory space in Watertown, Massachusetts under a lease that expires in 2032. We sublease approximately 31,039 square feet of our office and laboratory space in Watertown, Massachusetts, under a sublease arrangement that expires in 2025. We believe that our facilities are sufficient to meet our current needs for the foreseeable future and that suitable additional space will be available as and when needed.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not currently a party to any material legal proceedings. From time to time, we may be subject to various legal proceedings and claims that arise in the ordinary course of our business activities.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Regardless of the outcome, litigation can have a material adverse effect on us because of defense and settlement costs, diversion of management resources, and other factors.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86"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3"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common stock has been publicly traded on the Nasdaq Global Select Market under the symbol “CCCC” since October 2, 2020. Prior to that time, there was no public market for our common stock.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there were approximately 76 holders of record of our common stock. This number does not include beneficial owners whose shares are held by nominees in street name.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not declared or paid any cash dividends on our capital stock since our inception. We intend to retain future earnings, if any, to finance the operation and expansion of our business and do not anticipate paying any cash dividends to holders of common stock in the foreseeable future.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Information about our equity compensation plans is incorporated herein by reference to Item 12, </w:t>
      </w:r>
      <w:r>
        <w:rPr>
          <w:rFonts w:ascii="Times New Roman" w:cs="Times New Roman" w:eastAsia="Times New Roman" w:hAnsi="Times New Roman"/>
          <w:sz w:val="14"/>
          <w:szCs w:val="14"/>
          <w:i w:val="1"/>
          <w:iCs w:val="1"/>
          <w:color w:val="auto"/>
        </w:rPr>
        <w:t>Security Ownership of Certain Beneficial Owners and Management and Related Stockholder Matters</w:t>
      </w:r>
      <w:r>
        <w:rPr>
          <w:rFonts w:ascii="Times New Roman" w:cs="Times New Roman" w:eastAsia="Times New Roman" w:hAnsi="Times New Roman"/>
          <w:sz w:val="14"/>
          <w:szCs w:val="14"/>
          <w:color w:val="auto"/>
        </w:rPr>
        <w:t>, of this Annual Report on Form 10-K.</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April 29, 2024, the Company granted a newly hired employee, via an inducement award, an option to purchase 146,880 shares of the Company's common stock in a transaction exempt from registration under Section 4(a)(2) of the Securities Act. This award was granted as a material inducement to this employee's entering into employment with the Company in accordance with Nasdaq Listing Rule 5635(c)(4). The Company received no cash proceeds and no commissions were paid to any person in connection with the issuance of this award.</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October 28, 2024, the Company granted a newly hired employee, via an inducement award, an option to purchase 345,600 shares of the Company's common stock in a transaction exempt from registration under Section 4(a)(2) of the Securities Act. This award was granted as a material inducement to this employee's entering into employment with the Company in accordance with Nasdaq Listing Rule 5635(c)(4). The Company received no cash proceeds and no commissions were paid to any person in connection with the issuance of this award.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 or affiliated purchasers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Neither we nor any affiliated purchaser or anyone acting on our behalf or on behalf of an affiliated purchaser made any purchases of shares of our common stock during the year ended December 31, 2024.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consolidated financial statements and the related notes to those statements included elsewhere in this Annual Report on Form 10-K. In addition to historical financial information, the following discussion and analysis contains forward-looking statements that involve risks, uncertainties, and assumptions. Some of the numbers included herein have been rounded for the convenience of presentation. Our actual results may differ materially from those anticipated in these forward-looking statements as a result of many factors, including those discussed under Item 1A, Risk factors, in this Annual Report on Form 10-K.</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a clinical-stage biopharmaceutical company dedicated to delivering on the promise of TPD science to create a new generation of small-molecule medicines that transform patients’ lives. By leveraging our proprietary TORPEDO platform, we have the capability to efficiently design and optimize small molecule protein degraders that are highly active against their desired targets by harnessing the body’s natural process for destroying unwanted proteins. To date, our platform has produced several novel, oral, highly catalytic degraders that have demonstrated robust target degradation, some of which are brain penetrant and all of which have the potential to overcome drug resistance often seen with inhibitors and improve patient outcomes.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Currently, our solely-owned pipeline is focused on oncology and our partnership strategy allows us to explore other disease areas with unmet needs.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most advanced product candidate, cemsidomide, is an orally bioavailable MonoDAC degrader of protein targets called IKZF1 and IKZF3. Cemsidomide is currently in clinical development for multiple myeloma, or MM, and non-Hodgkin lymphoma, or NHL. With a strong mechanistic rationale and well-defined biology of targeting IKZF1 and IKZF3 cemsidomide has the opportunity to address a significant unmet need. In August 2021, the United States Food and Drug Administration, or FDA, granted orphan drug designation to cemsidomide for the treatment of MM. In December 2024, we shared data evaluating cemsidomide in combination with dexamethasone in MM that demonstrated a well-tolerated profile with compelling anti-myeloma activity. We have also shared cemsidomide monotherapy data in MM where cemsidomide activates immune cells at clinically relevant doses. Additionally, in December 2024, we shared data evaluating cemsidomide as a monotherapy in NHL that demonstrated a well-tolerated profile and compelling anti-lymphoma activity in NHL and, in particular, in PTCL. We continue to progress the ongoing Phase 1/2 clinical trial in MM and NHL.</w:t>
      </w:r>
    </w:p>
    <w:p>
      <w:pPr>
        <w:spacing w:after="0" w:line="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Our next most advanced product candidate, CFT1946, is an orally bioavailable BiDAC degrader designed to be potent and selective against BRAF V600 mutant proteins to treat melanoma, colorectal cancer, or CRC, and other malignancies that harbor V600 mutations. In preclinical studies, CFT1946 has demonstrated the ability to cross the blood-brain barrier with Kp</w:t>
      </w:r>
      <w:r>
        <w:rPr>
          <w:rFonts w:ascii="Times New Roman" w:cs="Times New Roman" w:eastAsia="Times New Roman" w:hAnsi="Times New Roman"/>
          <w:sz w:val="18"/>
          <w:szCs w:val="18"/>
          <w:color w:val="auto"/>
          <w:vertAlign w:val="subscript"/>
        </w:rPr>
        <w:t>uu</w:t>
      </w:r>
      <w:r>
        <w:rPr>
          <w:rFonts w:ascii="Times New Roman" w:cs="Times New Roman" w:eastAsia="Times New Roman" w:hAnsi="Times New Roman"/>
          <w:sz w:val="14"/>
          <w:szCs w:val="14"/>
          <w:color w:val="auto"/>
        </w:rPr>
        <w:t xml:space="preserve"> values ranging from 0.34 to 0.88, an important feature as a portion of patients with BRAF V600 mutant solid tumors develop brain metastases. Additionally, CFT1946 is more efficacious than the standard of care therapies in CRC BRAF V600X xenograft models and in a melanoma patient-derived xenograft, or PDX, BRAF inhibitor resistance model. In September 2024, at the European Society of Medical Oncology Congress, we presented monotherapy data from the ongoing Phase 1/2 trial, which demonstrated that CFT1946 was well tolerated with initial signs of anti-tumor activity across all dose levels. We continue to progress the ongoing Phase 1/2 clinical trial in BRAF V600 mutant protein cancers, including melanoma and CRC.</w:t>
      </w:r>
    </w:p>
    <w:p>
      <w:pPr>
        <w:spacing w:after="0" w:line="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Additionally, we are developing CFT8919, an orally bioavailable, allosteric, mutant-selective BiDAC degrader of epidermal growth factor receptor, or EGFR, with an L858R mutation in non-small cell lung cancer, or NSCLC. In preclinical studies, CFT8919 demonstrated equipotent anti-proliferation activity against EGFR mutations resistant to EGFR inhibition, including L858R-C797S, L858R-T790M, and L858R-T790M-C797S compared to L858R single mutation in Ba/F3 cell models in vitro. In May 2023, we entered into a license and collaboration agreement with Betta Pharma to collaborate on the development and commercialization of CFT8919 in mainland China, Hong Kong SAR, Macau SAR and Taiwan, with us retaining rights to develop and commercialize CFT8919 in the rest of the world. In November 2024, Betta Pharma initiated a Phase 1 clinical trial of CFT8919 in EGFR L858R NSCLC in Greater China and is continuing to progress the trial. Data generated from this trial will inform our ex-China clinical development strategy.</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Beyond these initial product candidates, we are further diversifying our pipeline by developing new degraders for our own proprietary pipeline and for the pipeline we are developing in collaboration with MKDG, Merck, Biogen and Roche. We have engineered degraders that have successfully achieved blood-brain barrier penetration in preclinical studies, which is a key step in developing medicines with the potential to treat brain metastases in oncology, as well as in therapeutic areas such neurodegenerative diseases. We also believe there are many therapeutic areas and indications where leveraging our TORPEDO platform to develop novel degraders may be advantageous.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December 8, 2024, we presented data from our ongoing first-in-human clinical trial for cemsidomide in combination with at the Annual Society of Hematology meeting that demonstrated compelling safety and anti-tumor activity across the MM and NHL arms.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November 20, 2024, we announced the appointment of Steve Hoerter to our board of directors.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November 6, 2024, we announced that our partner, Betta Pharma, had dosed the first patient in its Phase 1 clinical trial of CFT8919 in Greater China.</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Operating Results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 date, we have not generated any revenue from product sales and do not expect to generate any revenue from the sale of products for the foreseeable future. Our revenues to date have been generated through research collaboration and license agreements. We recognize revenue over the expected performance period under each agreement. We expect that our revenue for the next several years will be derived primarily from our current collaboration agreements and any additional</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collaborations that we may enter into in the future. To date, we have not received any royalties under any of our existing collaboration agreements.</w:t>
      </w:r>
    </w:p>
    <w:p>
      <w:pPr>
        <w:spacing w:after="0" w:line="9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 xml:space="preserve">For a description of our collaboration agreements with MKDG, Merck, Betta Pharma, Roche, Biogen, and Calico Life Sciences LLC, or Calico, please see Note 8, </w:t>
      </w:r>
      <w:r>
        <w:rPr>
          <w:rFonts w:ascii="Times New Roman" w:cs="Times New Roman" w:eastAsia="Times New Roman" w:hAnsi="Times New Roman"/>
          <w:sz w:val="14"/>
          <w:szCs w:val="14"/>
          <w:i w:val="1"/>
          <w:iCs w:val="1"/>
          <w:color w:val="auto"/>
        </w:rPr>
        <w:t>Collaboration and license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agreements</w:t>
      </w:r>
      <w:r>
        <w:rPr>
          <w:rFonts w:ascii="Times New Roman" w:cs="Times New Roman" w:eastAsia="Times New Roman" w:hAnsi="Times New Roman"/>
          <w:sz w:val="14"/>
          <w:szCs w:val="14"/>
          <w:color w:val="auto"/>
        </w:rPr>
        <w:t>, to the consolidated financial statements in this Annual Report on Form 10-K.</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Research and development expenses consist primarily of costs incurred for our research activities, including our discovery efforts, and the development of our product candidates, and include:</w:t>
      </w:r>
    </w:p>
    <w:p>
      <w:pPr>
        <w:spacing w:after="0" w:line="94" w:lineRule="exact"/>
        <w:rPr>
          <w:sz w:val="20"/>
          <w:szCs w:val="20"/>
          <w:color w:val="auto"/>
        </w:rPr>
      </w:pPr>
    </w:p>
    <w:p>
      <w:pPr>
        <w:ind w:left="640" w:hanging="317"/>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salaries, benefits, and other related costs, including stock-based compensation expense, for personnel engaged in research and development functions;</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under agreements with third parties, including contract research organizations and other third parties that conduct research, preclinical, and clinical activities on our behalf as well as third parties that manufacture our product candidates for use in our preclinical and clinical trials;</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outside consultants, including their fees, and related travel expenses;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laboratory supplies and acquiring materials for preclinical studies and clinical trials;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facility-related expenses, which include direct depreciation costs of equipment and allocated expenses for rent and maintenance of facilities and other operating costs;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third-party licensing fees.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financial statements as prepaid or accrued research and development expenses. Nonrefundable advance payments for goods or services to be received in the future for use in research and development activities are recorded as prepaid expenses and expensed as the related goods are delivered or the services are performed.</w:t>
      </w:r>
    </w:p>
    <w:p>
      <w:pPr>
        <w:spacing w:after="0" w:line="56" w:lineRule="exact"/>
        <w:rPr>
          <w:sz w:val="20"/>
          <w:szCs w:val="20"/>
          <w:color w:val="auto"/>
        </w:rPr>
      </w:pPr>
    </w:p>
    <w:p>
      <w:pPr>
        <w:ind w:right="1520"/>
        <w:spacing w:after="0" w:line="379" w:lineRule="auto"/>
        <w:rPr>
          <w:sz w:val="20"/>
          <w:szCs w:val="20"/>
          <w:color w:val="auto"/>
        </w:rPr>
      </w:pPr>
      <w:r>
        <w:rPr>
          <w:rFonts w:ascii="Times New Roman" w:cs="Times New Roman" w:eastAsia="Times New Roman" w:hAnsi="Times New Roman"/>
          <w:sz w:val="14"/>
          <w:szCs w:val="14"/>
          <w:color w:val="auto"/>
        </w:rPr>
        <w:t xml:space="preserve">We expect that our research and development expenses will continue to increase substantially in connection with our planned preclinical and clinical development activities. </w:t>
      </w:r>
      <w:r>
        <w:rPr>
          <w:rFonts w:ascii="Times New Roman" w:cs="Times New Roman" w:eastAsia="Times New Roman" w:hAnsi="Times New Roman"/>
          <w:sz w:val="14"/>
          <w:szCs w:val="14"/>
          <w:b w:val="1"/>
          <w:bCs w:val="1"/>
          <w:i w:val="1"/>
          <w:iCs w:val="1"/>
          <w:color w:val="auto"/>
        </w:rPr>
        <w:t>General and administrative expenses</w:t>
      </w:r>
    </w:p>
    <w:p>
      <w:pPr>
        <w:spacing w:after="0" w:line="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General and administrative expenses consist primarily of salaries and other related costs, including stock-based compensation, for personnel in our executive, finance, legal, business development, and administrative functions. General and administrative expenses also include legal fees relating to corporate matters; professional fees for accounting, auditing, tax and consulting services; insurance costs; travel expenses; and facility-related expenses, which include direct depreciation costs and allocated expenses for rent and maintenance of facilities and other operating costs.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expect that our general and administrative expenses will continue to increase in the future to support increased research and development activities. These increases will likely include higher costs related to the hiring of additional personnel; fees to outside consultants, lawyers, and accountants; and investor and public relations.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Restructuring</w:t>
      </w:r>
    </w:p>
    <w:p>
      <w:pPr>
        <w:spacing w:after="0" w:line="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Restructuring expenses consists of one-time costs incurred under a reduction plan to align with the needs of the business. These costs include employee severance, benefits and related termination costs.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income (expense), net primarily consists of the following:</w:t>
      </w:r>
    </w:p>
    <w:p>
      <w:pPr>
        <w:spacing w:after="0" w:line="94" w:lineRule="exact"/>
        <w:rPr>
          <w:sz w:val="20"/>
          <w:szCs w:val="20"/>
          <w:color w:val="auto"/>
        </w:rPr>
      </w:pPr>
    </w:p>
    <w:p>
      <w:pPr>
        <w:ind w:left="640" w:hanging="317"/>
        <w:spacing w:after="0"/>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and amortization of our long-term debt;</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on extinguishment of debt;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and other income earned on our cash, cash equivalents, and marketable securities and accretion of discount on marketable securities.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years ended December 31, 2024 and 2023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from our collaboration and license agreements consisted of the following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60" w:type="dxa"/>
            <w:vAlign w:val="bottom"/>
            <w:tcBorders>
              <w:bottom w:val="single" w:sz="8" w:color="auto"/>
            </w:tcBorders>
          </w:tcPr>
          <w:p>
            <w:pPr>
              <w:spacing w:after="0"/>
              <w:rPr>
                <w:sz w:val="13"/>
                <w:szCs w:val="13"/>
                <w:color w:val="auto"/>
              </w:rPr>
            </w:pPr>
          </w:p>
        </w:tc>
      </w:tr>
      <w:tr>
        <w:trPr>
          <w:trHeight w:val="154"/>
        </w:trPr>
        <w:tc>
          <w:tcPr>
            <w:tcW w:w="82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6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from collaboration agreements:</w:t>
            </w: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01"/>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MKDG Agreement</w:t>
            </w: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7,304</w:t>
            </w:r>
          </w:p>
        </w:tc>
        <w:tc>
          <w:tcPr>
            <w:tcW w:w="80" w:type="dxa"/>
            <w:vAlign w:val="bottom"/>
          </w:tcPr>
          <w:p>
            <w:pPr>
              <w:spacing w:after="0"/>
              <w:rPr>
                <w:sz w:val="17"/>
                <w:szCs w:val="17"/>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Merck Agreement</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3,979</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Betta Agreement</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3,415</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Roche Agreement</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9,063</w:t>
            </w:r>
          </w:p>
        </w:tc>
      </w:tr>
      <w:tr>
        <w:trPr>
          <w:trHeight w:val="180"/>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Biogen Agreement</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16,898</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10,623</w:t>
            </w:r>
          </w:p>
        </w:tc>
      </w:tr>
      <w:tr>
        <w:trPr>
          <w:trHeight w:val="18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Calico Agreement</w:t>
            </w:r>
          </w:p>
        </w:tc>
        <w:tc>
          <w:tcPr>
            <w:tcW w:w="8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w:t>
            </w:r>
          </w:p>
        </w:tc>
      </w:tr>
      <w:tr>
        <w:trPr>
          <w:trHeight w:val="17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 from collaboration agreements</w:t>
            </w:r>
          </w:p>
        </w:tc>
        <w:tc>
          <w:tcPr>
            <w:tcW w:w="88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35,584</w:t>
            </w:r>
          </w:p>
        </w:tc>
        <w:tc>
          <w:tcPr>
            <w:tcW w:w="8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20,756</w:t>
            </w:r>
          </w:p>
        </w:tc>
      </w:tr>
      <w:tr>
        <w:trPr>
          <w:trHeight w:val="20"/>
        </w:trPr>
        <w:tc>
          <w:tcPr>
            <w:tcW w:w="8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$14.8 million increase in revenue in the year ended December 31, 2024 as compared to the year ended December 31, 2023 is primarily driven by:</w:t>
      </w:r>
    </w:p>
    <w:p>
      <w:pPr>
        <w:spacing w:after="0" w:line="94" w:lineRule="exact"/>
        <w:rPr>
          <w:sz w:val="20"/>
          <w:szCs w:val="20"/>
          <w:color w:val="auto"/>
        </w:rPr>
      </w:pPr>
    </w:p>
    <w:p>
      <w:pPr>
        <w:ind w:left="640" w:hanging="317"/>
        <w:spacing w:after="0"/>
        <w:tabs>
          <w:tab w:leader="none" w:pos="6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$14.7 increase in revenue recognized from the MKDG, Merck and Betta Pharma collaborations that had activities commence in 2024; and</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$6.3 million increase in revenue recognized under the Biogen Agreement primarily as a result of our receipt of two $8.0 milestones earned for the accepted delivery of two separate development candidates in undisclosed indications in 2024, offset by reduced revenue due to the research term being fully satisfied as of June 30, 2024.</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were partially offset by:</w:t>
      </w:r>
    </w:p>
    <w:p>
      <w:pPr>
        <w:spacing w:after="0" w:line="94" w:lineRule="exact"/>
        <w:rPr>
          <w:sz w:val="20"/>
          <w:szCs w:val="20"/>
          <w:color w:val="auto"/>
        </w:rPr>
      </w:pPr>
    </w:p>
    <w:p>
      <w:pPr>
        <w:ind w:left="680" w:hanging="357"/>
        <w:spacing w:after="0"/>
        <w:tabs>
          <w:tab w:leader="none" w:pos="6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$5.1 million decrease in revenue recognized under the Roche Agreement, resulting from our 2023 completion of research activities for a nominated target;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$1.1 million decrease in revenue recognized under the Calico Agreement, as a result of the performance obligation and transaction price becoming fully satisfied as of March 31, 2023.</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research and development expenses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20" w:type="dxa"/>
            <w:vAlign w:val="bottom"/>
            <w:tcBorders>
              <w:bottom w:val="single" w:sz="8" w:color="CCEEFF"/>
            </w:tcBorders>
          </w:tcPr>
          <w:p>
            <w:pPr>
              <w:spacing w:after="0"/>
              <w:rPr>
                <w:sz w:val="13"/>
                <w:szCs w:val="13"/>
                <w:color w:val="auto"/>
              </w:rPr>
            </w:pPr>
          </w:p>
        </w:tc>
        <w:tc>
          <w:tcPr>
            <w:tcW w:w="42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6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4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Personnel expenses</w:t>
            </w:r>
          </w:p>
        </w:tc>
        <w:tc>
          <w:tcPr>
            <w:tcW w:w="5080" w:type="dxa"/>
            <w:vAlign w:val="bottom"/>
            <w:gridSpan w:val="2"/>
          </w:tcPr>
          <w:p>
            <w:pPr>
              <w:jc w:val="right"/>
              <w:ind w:right="71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36,752</w:t>
            </w:r>
          </w:p>
        </w:tc>
        <w:tc>
          <w:tcPr>
            <w:tcW w:w="80" w:type="dxa"/>
            <w:vAlign w:val="bottom"/>
          </w:tcPr>
          <w:p>
            <w:pPr>
              <w:spacing w:after="0"/>
              <w:rPr>
                <w:sz w:val="15"/>
                <w:szCs w:val="15"/>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42,706</w:t>
            </w:r>
          </w:p>
        </w:tc>
        <w:tc>
          <w:tcPr>
            <w:tcW w:w="0" w:type="dxa"/>
            <w:vAlign w:val="bottom"/>
          </w:tcPr>
          <w:p>
            <w:pPr>
              <w:spacing w:after="0"/>
              <w:rPr>
                <w:sz w:val="1"/>
                <w:szCs w:val="1"/>
                <w:color w:val="auto"/>
              </w:rPr>
            </w:pPr>
          </w:p>
        </w:tc>
      </w:tr>
      <w:tr>
        <w:trPr>
          <w:trHeight w:val="180"/>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Preclinical and development expenses</w:t>
            </w:r>
          </w:p>
        </w:tc>
        <w:tc>
          <w:tcPr>
            <w:tcW w:w="4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29,364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28,496</w:t>
            </w:r>
          </w:p>
        </w:tc>
        <w:tc>
          <w:tcPr>
            <w:tcW w:w="0" w:type="dxa"/>
            <w:vAlign w:val="bottom"/>
          </w:tcPr>
          <w:p>
            <w:pPr>
              <w:spacing w:after="0"/>
              <w:rPr>
                <w:sz w:val="1"/>
                <w:szCs w:val="1"/>
                <w:color w:val="auto"/>
              </w:rPr>
            </w:pPr>
          </w:p>
        </w:tc>
      </w:tr>
      <w:tr>
        <w:trPr>
          <w:trHeight w:val="180"/>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Clinical expenses</w:t>
            </w:r>
          </w:p>
        </w:tc>
        <w:tc>
          <w:tcPr>
            <w:tcW w:w="4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20,808</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19,238</w:t>
            </w:r>
          </w:p>
        </w:tc>
        <w:tc>
          <w:tcPr>
            <w:tcW w:w="0" w:type="dxa"/>
            <w:vAlign w:val="bottom"/>
          </w:tcPr>
          <w:p>
            <w:pPr>
              <w:spacing w:after="0"/>
              <w:rPr>
                <w:sz w:val="1"/>
                <w:szCs w:val="1"/>
                <w:color w:val="auto"/>
              </w:rPr>
            </w:pPr>
          </w:p>
        </w:tc>
      </w:tr>
      <w:tr>
        <w:trPr>
          <w:trHeight w:val="180"/>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Facilities and supplies</w:t>
            </w:r>
          </w:p>
        </w:tc>
        <w:tc>
          <w:tcPr>
            <w:tcW w:w="4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13,594</w:t>
            </w:r>
          </w:p>
        </w:tc>
        <w:tc>
          <w:tcPr>
            <w:tcW w:w="0" w:type="dxa"/>
            <w:vAlign w:val="bottom"/>
          </w:tcPr>
          <w:p>
            <w:pPr>
              <w:spacing w:after="0"/>
              <w:rPr>
                <w:sz w:val="1"/>
                <w:szCs w:val="1"/>
                <w:color w:val="auto"/>
              </w:rPr>
            </w:pPr>
          </w:p>
        </w:tc>
      </w:tr>
      <w:tr>
        <w:trPr>
          <w:trHeight w:val="180"/>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Professional fees</w:t>
            </w:r>
          </w:p>
        </w:tc>
        <w:tc>
          <w:tcPr>
            <w:tcW w:w="4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8,605</w:t>
            </w:r>
          </w:p>
        </w:tc>
        <w:tc>
          <w:tcPr>
            <w:tcW w:w="0" w:type="dxa"/>
            <w:vAlign w:val="bottom"/>
          </w:tcPr>
          <w:p>
            <w:pPr>
              <w:spacing w:after="0"/>
              <w:rPr>
                <w:sz w:val="1"/>
                <w:szCs w:val="1"/>
                <w:color w:val="auto"/>
              </w:rPr>
            </w:pPr>
          </w:p>
        </w:tc>
      </w:tr>
      <w:tr>
        <w:trPr>
          <w:trHeight w:val="180"/>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Intellectual property and other expenses</w:t>
            </w:r>
          </w:p>
        </w:tc>
        <w:tc>
          <w:tcPr>
            <w:tcW w:w="42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4,633</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5,067</w:t>
            </w:r>
          </w:p>
        </w:tc>
        <w:tc>
          <w:tcPr>
            <w:tcW w:w="0" w:type="dxa"/>
            <w:vAlign w:val="bottom"/>
          </w:tcPr>
          <w:p>
            <w:pPr>
              <w:spacing w:after="0"/>
              <w:rPr>
                <w:sz w:val="1"/>
                <w:szCs w:val="1"/>
                <w:color w:val="auto"/>
              </w:rPr>
            </w:pPr>
          </w:p>
        </w:tc>
      </w:tr>
      <w:tr>
        <w:trPr>
          <w:trHeight w:val="171"/>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4200" w:type="dxa"/>
            <w:vAlign w:val="bottom"/>
          </w:tcPr>
          <w:p>
            <w:pPr>
              <w:spacing w:after="0"/>
              <w:rPr>
                <w:sz w:val="14"/>
                <w:szCs w:val="14"/>
                <w:color w:val="auto"/>
              </w:rPr>
            </w:pPr>
          </w:p>
        </w:tc>
        <w:tc>
          <w:tcPr>
            <w:tcW w:w="88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110,637</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117,706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200" w:type="dxa"/>
            <w:vAlign w:val="bottom"/>
            <w:vMerge w:val="restart"/>
          </w:tcPr>
          <w:p>
            <w:pPr>
              <w:jc w:val="right"/>
              <w:ind w:right="2429"/>
              <w:spacing w:after="0"/>
              <w:rPr>
                <w:sz w:val="20"/>
                <w:szCs w:val="20"/>
                <w:color w:val="auto"/>
              </w:rPr>
            </w:pPr>
            <w:r>
              <w:rPr>
                <w:rFonts w:ascii="Times New Roman" w:cs="Times New Roman" w:eastAsia="Times New Roman" w:hAnsi="Times New Roman"/>
                <w:sz w:val="14"/>
                <w:szCs w:val="14"/>
                <w:color w:val="auto"/>
              </w:rPr>
              <w:t>79</w:t>
            </w: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402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4020" w:type="dxa"/>
            <w:vAlign w:val="bottom"/>
            <w:tcBorders>
              <w:bottom w:val="single" w:sz="8" w:color="9A9A9A"/>
            </w:tcBorders>
          </w:tcPr>
          <w:p>
            <w:pPr>
              <w:spacing w:after="0"/>
              <w:rPr>
                <w:sz w:val="6"/>
                <w:szCs w:val="6"/>
                <w:color w:val="auto"/>
              </w:rPr>
            </w:pPr>
          </w:p>
        </w:tc>
        <w:tc>
          <w:tcPr>
            <w:tcW w:w="42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$7.1 million decrease in research and development expense in the year ended December 31, 2024 from the year ended December 31, 2023 is primarily driven by:</w:t>
      </w:r>
    </w:p>
    <w:p>
      <w:pPr>
        <w:spacing w:after="0" w:line="94" w:lineRule="exact"/>
        <w:rPr>
          <w:sz w:val="20"/>
          <w:szCs w:val="20"/>
          <w:color w:val="auto"/>
        </w:rPr>
      </w:pPr>
    </w:p>
    <w:p>
      <w:pPr>
        <w:ind w:left="520" w:hanging="260"/>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$6.0 million decrease in personnel expenses as a result of our restructuring activities;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$1.9 million decrease in professional fees;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$1.2 million decrease in facilities and supply expenses.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were partially offset by a $1.6 million increase in clinical expenses due to continued progress on our cemsidomide and CFT1946 programs.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general and administrative expenses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60" w:type="dxa"/>
            <w:vAlign w:val="bottom"/>
            <w:tcBorders>
              <w:bottom w:val="single" w:sz="8" w:color="auto"/>
            </w:tcBorders>
          </w:tcPr>
          <w:p>
            <w:pPr>
              <w:spacing w:after="0"/>
              <w:rPr>
                <w:sz w:val="13"/>
                <w:szCs w:val="13"/>
                <w:color w:val="auto"/>
              </w:rPr>
            </w:pPr>
          </w:p>
        </w:tc>
      </w:tr>
      <w:tr>
        <w:trPr>
          <w:trHeight w:val="154"/>
        </w:trPr>
        <w:tc>
          <w:tcPr>
            <w:tcW w:w="82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6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0"/>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Personnel expenses</w:t>
            </w: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31,278</w:t>
            </w:r>
          </w:p>
        </w:tc>
        <w:tc>
          <w:tcPr>
            <w:tcW w:w="80" w:type="dxa"/>
            <w:vAlign w:val="bottom"/>
          </w:tcPr>
          <w:p>
            <w:pPr>
              <w:spacing w:after="0"/>
              <w:rPr>
                <w:sz w:val="15"/>
                <w:szCs w:val="15"/>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30,244</w:t>
            </w:r>
          </w:p>
        </w:tc>
      </w:tr>
      <w:tr>
        <w:trPr>
          <w:trHeight w:val="18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Professional fees</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7,365</w:t>
            </w:r>
          </w:p>
        </w:tc>
      </w:tr>
      <w:tr>
        <w:trPr>
          <w:trHeight w:val="180"/>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Facilities and supplies</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w:t>
            </w:r>
          </w:p>
        </w:tc>
      </w:tr>
      <w:tr>
        <w:trPr>
          <w:trHeight w:val="18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expenses</w:t>
            </w:r>
          </w:p>
        </w:tc>
        <w:tc>
          <w:tcPr>
            <w:tcW w:w="8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2,396</w:t>
            </w:r>
          </w:p>
        </w:tc>
      </w:tr>
      <w:tr>
        <w:trPr>
          <w:trHeight w:val="17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general and administrative expenses</w:t>
            </w:r>
          </w:p>
        </w:tc>
        <w:tc>
          <w:tcPr>
            <w:tcW w:w="88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42,124</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42,081</w:t>
            </w:r>
          </w:p>
        </w:tc>
      </w:tr>
      <w:tr>
        <w:trPr>
          <w:trHeight w:val="20"/>
        </w:trPr>
        <w:tc>
          <w:tcPr>
            <w:tcW w:w="8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 in the year ended December 31, 2024, as compared to the year ended December 31, 2023 was flat as a result of a $1.0 million increase in personnel expenses, partially offset by a $1.0 million decrease in other expenses.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 (Expense)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other income (expense)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60" w:type="dxa"/>
            <w:vAlign w:val="bottom"/>
            <w:tcBorders>
              <w:bottom w:val="single" w:sz="8" w:color="auto"/>
            </w:tcBorders>
          </w:tcPr>
          <w:p>
            <w:pPr>
              <w:spacing w:after="0"/>
              <w:rPr>
                <w:sz w:val="13"/>
                <w:szCs w:val="13"/>
                <w:color w:val="auto"/>
              </w:rPr>
            </w:pPr>
          </w:p>
        </w:tc>
      </w:tr>
      <w:tr>
        <w:trPr>
          <w:trHeight w:val="154"/>
        </w:trPr>
        <w:tc>
          <w:tcPr>
            <w:tcW w:w="82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6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0"/>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14,429</w:t>
            </w:r>
          </w:p>
        </w:tc>
        <w:tc>
          <w:tcPr>
            <w:tcW w:w="80" w:type="dxa"/>
            <w:vAlign w:val="bottom"/>
          </w:tcPr>
          <w:p>
            <w:pPr>
              <w:spacing w:after="0"/>
              <w:rPr>
                <w:sz w:val="15"/>
                <w:szCs w:val="15"/>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9,812</w:t>
            </w:r>
          </w:p>
        </w:tc>
      </w:tr>
      <w:tr>
        <w:trPr>
          <w:trHeight w:val="18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 and amortization of long-term debt—related party</w:t>
            </w:r>
          </w:p>
        </w:tc>
        <w:tc>
          <w:tcPr>
            <w:tcW w:w="8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w:t>
            </w:r>
          </w:p>
        </w:tc>
      </w:tr>
      <w:tr>
        <w:trPr>
          <w:trHeight w:val="180"/>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on extinguishment of long-term debt</w:t>
            </w:r>
          </w:p>
        </w:tc>
        <w:tc>
          <w:tcPr>
            <w:tcW w:w="8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w:t>
            </w:r>
          </w:p>
        </w:tc>
      </w:tr>
      <w:tr>
        <w:trPr>
          <w:trHeight w:val="196"/>
        </w:trPr>
        <w:tc>
          <w:tcPr>
            <w:tcW w:w="8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88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$6.6 million increase in other income (expense) for the year ended December 31, 2024 as compared to the year ended December 31, 2023 was driven by a $4.6 million increase in interest and other income resulting from higher interest earned on our investments during 2024 and a $1.4 million decrease in interest expense as a result of the extinguishment of our Term Loan with Perceptive Credit Holdings III, LP, an affiliate of Perceptive Advisors LLC, or Term Loan, in 2023.</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 expense</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2024, there was $0.1 million income tax expense, compared to $1.3 million income tax expense in the year ended December 31, 2023. This was primarily the result of the $1.2 million withholding tax paid to the Chinese tax authority related to the Betta Pharma collaboration in 2023 (see Note 8 and Note 11).</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Since inception, we have incurred significant operating losses. We expect to incur significant expenses and operating losses for the foreseeable future as we continue the development of our programs. We do not currently have any approved products and have never generated any revenue from product sales. To date, we have financed our operations primarily through the sale of preferred stock, public offerings of our common stock, and payments from collaboration partners. As of December 31, 2024, we had cash, cash equivalents and marketable securities of approximately $267.3 million.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November 2021, we filed an automatically effective registration statement on Form S-3, or the Registration Statement, with the SEC which registers the offering, issuance, and sale of an unspecified amount of common stock, preferred stock, debt securities, warrants, and/or units of any combination thereof. We simultaneously entered into a sales agreement with Cowen and Company, LLC (now TD Securities (USA) LLC), as sales agent, to provide for the issuance and sale by us of up to $200.0 million of common stock from time to time in “at-the-market” offerings under the Registration Statement and related prospectus filed with the Registration Statement, or the 2021 ATM Program. Under this Registration Statement, the Company sold a total of 15,318,264 shares of its common stock at an average price of $5.54 per share for proceeds, net of commissions and fees, of $82.3 million. For the year ended December 31, 2024, 4,132,122 shares of common stock, for net proceeds of $24.4 million, settled under the 2021 ATM Program (see Note 9).</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October 2024, the Company filed a registration statement on Form S-3, or the Registration Statement, with the SEC that became effective on November 13, 2024 and registered the offering, issuance and sale of an unspecified amount of common stock, preferred stock, debt securities, warrants and/or units of any combination thereof. Simultaneously, the Company entered into a sales agreement with TD Securities (USA) LLC, as sales agent, to provide for the issuance and sale by the Company of up to $200.0 million of common stock from time to time in “at-the-market” offerings under the Registration Statement and related prospectus filed with the Registration Statement, or the 2024 ATM Program. For the year ended December 31, 2024, no sales were made under the 2024 ATM Program.</w:t>
      </w:r>
    </w:p>
    <w:p>
      <w:pPr>
        <w:spacing w:after="0" w:line="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connection with the execution of the Betta Pharma License Agreement, we entered into a stock purchase agreement dated May 29, 2023, or the Betta Stock Purchase Agreement, with Betta Pharma and an affiliate of Betta Pharma, (Betta Investment (Hong Kong) Limited, or Betta Investment), pursuant to which Betta Investment agreed to purchase 5,567,928 shares of the Company's common stock, or the Shares, for an aggregate purchase price of approximately $25.0 million, or $4.49 per share, which represented a 25% premium over the 60-trading-day volume weighted average closing price as of two trading days prior to the effective date of the Betta Stock Purchase Agreement. The $25.0 million of proceeds that we received were recorded as $20.0 million for the issuance of shares, with the remaining $5.0 million of premium paid on the share price recorded as consideration for revenue under the Betta Pharma License and Collaboration Agreement. The Betta Stock Purchase Agreement has certain restrictions customary to agreements of this nature. Closing under the Betta Stock Purchase Agreement occurred in January 2024 (see Note 8).</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sources and uses of cash for the period presented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00" w:type="dxa"/>
            <w:vAlign w:val="bottom"/>
            <w:tcBorders>
              <w:bottom w:val="single" w:sz="8" w:color="CCEEFF"/>
            </w:tcBorders>
          </w:tcPr>
          <w:p>
            <w:pPr>
              <w:spacing w:after="0"/>
              <w:rPr>
                <w:sz w:val="13"/>
                <w:szCs w:val="13"/>
                <w:color w:val="auto"/>
              </w:rPr>
            </w:pPr>
          </w:p>
        </w:tc>
        <w:tc>
          <w:tcPr>
            <w:tcW w:w="77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66"/>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ind w:left="12"/>
              <w:spacing w:after="0"/>
              <w:rPr>
                <w:sz w:val="20"/>
                <w:szCs w:val="20"/>
                <w:color w:val="auto"/>
              </w:rPr>
            </w:pPr>
            <w:r>
              <w:rPr>
                <w:rFonts w:ascii="Times New Roman" w:cs="Times New Roman" w:eastAsia="Times New Roman" w:hAnsi="Times New Roman"/>
                <w:sz w:val="14"/>
                <w:szCs w:val="14"/>
                <w:color w:val="auto"/>
              </w:rPr>
              <w:t>(65,157)</w:t>
            </w:r>
          </w:p>
        </w:tc>
        <w:tc>
          <w:tcPr>
            <w:tcW w:w="80" w:type="dxa"/>
            <w:vAlign w:val="bottom"/>
          </w:tcPr>
          <w:p>
            <w:pPr>
              <w:spacing w:after="0"/>
              <w:rPr>
                <w:sz w:val="15"/>
                <w:szCs w:val="15"/>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(106,838)</w:t>
            </w: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4"/>
                <w:szCs w:val="14"/>
                <w:color w:val="auto"/>
              </w:rPr>
              <w:t>(51,270)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158,349</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4"/>
                <w:szCs w:val="14"/>
                <w:color w:val="auto"/>
              </w:rPr>
              <w:t>45,336</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45,489</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88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center"/>
              <w:ind w:left="12"/>
              <w:spacing w:after="0"/>
              <w:rPr>
                <w:sz w:val="20"/>
                <w:szCs w:val="20"/>
                <w:color w:val="auto"/>
              </w:rPr>
            </w:pPr>
            <w:r>
              <w:rPr>
                <w:rFonts w:ascii="Times New Roman" w:cs="Times New Roman" w:eastAsia="Times New Roman" w:hAnsi="Times New Roman"/>
                <w:sz w:val="14"/>
                <w:szCs w:val="14"/>
                <w:color w:val="auto"/>
              </w:rPr>
              <w:t>(71,091)</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97,000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2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used in operating activities was $65.2 million for the year ended December 31, 2024 and was driven primarily by:</w:t>
            </w: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our net loss of $105.3 million;</w:t>
            </w: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 $5.2 million decrease in the operating lease liability;</w:t>
            </w: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 $4.3 million increase in prepaid expenses and current and long-term assets; and</w:t>
            </w: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 $1.3 million decrease in accrued expenses and other current liabilities.</w:t>
            </w: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amounts were partially offset by:</w:t>
      </w:r>
    </w:p>
    <w:p>
      <w:pPr>
        <w:spacing w:after="0" w:line="94" w:lineRule="exact"/>
        <w:rPr>
          <w:sz w:val="20"/>
          <w:szCs w:val="20"/>
          <w:color w:val="auto"/>
        </w:rPr>
      </w:pPr>
    </w:p>
    <w:p>
      <w:pPr>
        <w:ind w:left="640" w:hanging="317"/>
        <w:spacing w:after="0"/>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$37.9 million of non-cash expense related to stock compensation expense, depreciation and amortization, and reduction in carrying amount of our right-of-use asset;</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$9.9 million increase in deferred revenue due to our new collaboration agreements;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$8.7 million decrease in accounts receivable.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used in operating activities for the year ended December 31, 2023 was driven primarily by:</w:t>
      </w:r>
    </w:p>
    <w:p>
      <w:pPr>
        <w:spacing w:after="0" w:line="94" w:lineRule="exact"/>
        <w:rPr>
          <w:sz w:val="20"/>
          <w:szCs w:val="20"/>
          <w:color w:val="auto"/>
        </w:rPr>
      </w:pPr>
    </w:p>
    <w:p>
      <w:pPr>
        <w:ind w:left="640" w:hanging="317"/>
        <w:spacing w:after="0"/>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net loss of $132.5 million;</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$10.3 million increase in accounts receivable; and</w:t>
      </w:r>
    </w:p>
    <w:p>
      <w:pPr>
        <w:spacing w:after="0" w:line="93" w:lineRule="exact"/>
        <w:rPr>
          <w:rFonts w:ascii="Times New Roman" w:cs="Times New Roman" w:eastAsia="Times New Roman" w:hAnsi="Times New Roman"/>
          <w:sz w:val="14"/>
          <w:szCs w:val="14"/>
          <w:color w:val="auto"/>
        </w:rPr>
      </w:pPr>
    </w:p>
    <w:p>
      <w:pPr>
        <w:ind w:right="7580" w:firstLine="323"/>
        <w:spacing w:after="0" w:line="379" w:lineRule="auto"/>
        <w:tabs>
          <w:tab w:leader="none" w:pos="633"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$4.7 million decrease in the operating lease liability; These amounts were partially offset by:</w:t>
      </w:r>
    </w:p>
    <w:p>
      <w:pPr>
        <w:ind w:left="640" w:hanging="317"/>
        <w:spacing w:after="0"/>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$35.3 million of non-cash expense related to stock compensation expense, depreciation, and reduction in carrying amount of our right-of-use asset;</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$3.8 million increase in deferred revenue due to the recognition of revenue under our collaboration agreements;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$2.7 million decrease in prepaid expenses and current and long-term assets;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$1.3 million increase in accrued expenses and other liabilities.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$51.3 million of net cash used in investing activities for the year ended December 31, 2024 was attributable to $51.1 million for the purchases of marketable securities, net of sales and proceeds from maturities.</w:t>
      </w:r>
    </w:p>
    <w:p>
      <w:pPr>
        <w:spacing w:after="0" w:line="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$158.3 million of net cash provided by investing activities for the year ended December 31, 2023 was attributable to $160.1 million for the proceeds from marketable securities, net of purchases, and was offset by $1.7 million for the purchases of property and equipment.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$45.3 million of net cash provided by financing activities for the year ended December 31, 2024 is primarily driven by:</w:t>
      </w:r>
    </w:p>
    <w:p>
      <w:pPr>
        <w:spacing w:after="0" w:line="94" w:lineRule="exact"/>
        <w:rPr>
          <w:sz w:val="20"/>
          <w:szCs w:val="20"/>
          <w:color w:val="auto"/>
        </w:rPr>
      </w:pPr>
    </w:p>
    <w:p>
      <w:pPr>
        <w:ind w:left="520" w:hanging="260"/>
        <w:spacing w:after="0"/>
        <w:tabs>
          <w:tab w:leader="none" w:pos="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$24.4 million of net proceeds from our at-the-market offering;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 million in proceeds for the closing of the Betta Stock Purchase Agreement.</w:t>
      </w:r>
    </w:p>
    <w:p>
      <w:pPr>
        <w:spacing w:after="0" w:line="9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$45.5 million of net cash provided by financing activities for the year ended December 31, 2023 is primarily driven by $57.7 million of net proceeds from our 2021 ATM Program, offset by the prepayment of the remaining principal balance on the Term Loan of $12.5 million.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Funding requirements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Since our inception, we have incurred significant operating losses, and we expect to continue to incur significant expenses and increasing operating losses for the foreseeable future as we advance the preclinical and clinical development of our product candidates. In addition, we expect to continue to incur costs associated with operating as a public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Specifically, we anticipate that our expenses will increase in the future, if and as we:</w:t>
      </w:r>
    </w:p>
    <w:p>
      <w:pPr>
        <w:spacing w:after="0" w:line="94" w:lineRule="exact"/>
        <w:rPr>
          <w:sz w:val="20"/>
          <w:szCs w:val="20"/>
          <w:color w:val="auto"/>
        </w:rPr>
      </w:pPr>
    </w:p>
    <w:p>
      <w:pPr>
        <w:ind w:left="640" w:hanging="317"/>
        <w:spacing w:after="0"/>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our ongoing first-in-human Phase 1/2 trials;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additional product candidates into preclinical and clinical development;</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invest in our proprietary TORPEDO platform;</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expand, maintain, and protect our intellectual property portfolio;</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staffing needs to meet the changing needs of the business as we advance additional product candidates or continue to develop existing product candidates.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marketing approvals for any product candidates that successfully complete clinical trials; and</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ultimately establish a sales, marketing, and distribution infrastructure and scale up external manufacturing capabilities to commercialize any products for which we may obtain marketing approval.</w:t>
      </w:r>
    </w:p>
    <w:p>
      <w:pPr>
        <w:spacing w:after="0" w:line="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Because of the numerous risks and uncertainties associated with the development and commercialization of our product candidates, we are unable to estimate the amounts of increased capital and operating costs associated with our current and anticipated preclinical and clinical development. Our future capital requirements will depend on many factors, including:</w:t>
      </w:r>
    </w:p>
    <w:p>
      <w:pPr>
        <w:spacing w:after="0" w:line="39" w:lineRule="exact"/>
        <w:rPr>
          <w:sz w:val="20"/>
          <w:szCs w:val="20"/>
          <w:color w:val="auto"/>
        </w:rPr>
      </w:pPr>
    </w:p>
    <w:p>
      <w:pPr>
        <w:ind w:left="640" w:hanging="317"/>
        <w:spacing w:after="0"/>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costs, and results of ongoing and planned first-in-human Phase 1/2 trials for our lead product candidates and any future clinical development of those lead product candidates;</w:t>
      </w:r>
    </w:p>
    <w:p>
      <w:pPr>
        <w:spacing w:after="0" w:line="200" w:lineRule="exact"/>
        <w:rPr>
          <w:rFonts w:ascii="Times New Roman" w:cs="Times New Roman" w:eastAsia="Times New Roman" w:hAnsi="Times New Roman"/>
          <w:sz w:val="14"/>
          <w:szCs w:val="14"/>
          <w:color w:val="auto"/>
        </w:rPr>
      </w:pPr>
    </w:p>
    <w:p>
      <w:pPr>
        <w:spacing w:after="0" w:line="286"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640" w:hanging="317"/>
        <w:spacing w:after="0"/>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progress, costs, and results of preclinical and clinical development for our other product candidates and development programs;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development requirements of other product candidates that we pursue;</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and success of our existing and any future collaborations with third party partners, including whether or not we receive additional research support or milestone payments from our collaboration partners upon the achievement of milestones;</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 of regulatory review of our product candidates;</w:t>
      </w:r>
    </w:p>
    <w:p>
      <w:pPr>
        <w:spacing w:after="0" w:line="93" w:lineRule="exact"/>
        <w:rPr>
          <w:rFonts w:ascii="Times New Roman" w:cs="Times New Roman" w:eastAsia="Times New Roman" w:hAnsi="Times New Roman"/>
          <w:sz w:val="14"/>
          <w:szCs w:val="14"/>
          <w:color w:val="auto"/>
        </w:rPr>
      </w:pPr>
    </w:p>
    <w:p>
      <w:pPr>
        <w:ind w:left="640" w:hanging="317"/>
        <w:spacing w:after="0" w:line="263" w:lineRule="auto"/>
        <w:tabs>
          <w:tab w:leader="none" w:pos="63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preparing, filing and prosecuting patent applications, maintaining and enforcing our intellectual property rights and defending any intellectual property-related claims;</w:t>
      </w:r>
    </w:p>
    <w:p>
      <w:pPr>
        <w:spacing w:after="0" w:line="247"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willingness and ability to establish additional collaboration arrangements with other biotechnology or pharmaceutical companies on favorable terms, if at all, for the development or commercialization of current or additional future product candidates;</w:t>
      </w:r>
    </w:p>
    <w:p>
      <w:pPr>
        <w:spacing w:after="0" w:line="39"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future commercialization activities, including product manufacturing, marketing, sales and distribution, for any of our product candidates for which we receive marketing approval; and</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revenue, if any, received from commercial sales of our product candidates for which we receive marketing approval.</w:t>
      </w:r>
    </w:p>
    <w:p>
      <w:pPr>
        <w:spacing w:after="0" w:line="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a result of the anticipated expenditures described above, we will need to obtain substantial additional financing to support our continuing operations and pursue our long-term business plan. Until such time, if ever, that we can generate substantial revenue from product sales, we expect to finance our cash needs through a combination of equity offerings, debt offerings, collaborations, strategic alliances and marketing, distribution or licensing arrangements. Although we may receive potential future milestone and royalty payments under our collaborations with MKDG, Merck, Betta Pharma, Roche, and Biogen, we do not have any committed external source of funds as of December 31, 2024. Adequate additional funds may not be available to us on acceptable terms, or at all. If we are unable to raise capital when needed or on attractive terms,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we raise additional capital through the sale of equity securities, each investor’s ownership interest will be diluted, and the terms of these securities may include liquidation or other preferences that adversely affect your rights as a common stockholder. Preferred equity financing, if available, may involve agreements that include covenants limiting or restricting our ability to take specific actions, such as making acquisitions or capital expenditures or declaring dividends.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our significant contractual obligations as of December 31, 2024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00" w:type="dxa"/>
            <w:vAlign w:val="bottom"/>
          </w:tcPr>
          <w:p>
            <w:pPr>
              <w:spacing w:after="0"/>
              <w:rPr>
                <w:sz w:val="11"/>
                <w:szCs w:val="11"/>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Less than</w:t>
            </w:r>
          </w:p>
        </w:tc>
        <w:tc>
          <w:tcPr>
            <w:tcW w:w="340" w:type="dxa"/>
            <w:vAlign w:val="bottom"/>
          </w:tcPr>
          <w:p>
            <w:pPr>
              <w:spacing w:after="0"/>
              <w:rPr>
                <w:sz w:val="11"/>
                <w:szCs w:val="11"/>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1 to 3</w:t>
            </w:r>
          </w:p>
        </w:tc>
        <w:tc>
          <w:tcPr>
            <w:tcW w:w="360" w:type="dxa"/>
            <w:vAlign w:val="bottom"/>
          </w:tcPr>
          <w:p>
            <w:pPr>
              <w:spacing w:after="0"/>
              <w:rPr>
                <w:sz w:val="11"/>
                <w:szCs w:val="11"/>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4 to 5</w:t>
            </w:r>
          </w:p>
        </w:tc>
        <w:tc>
          <w:tcPr>
            <w:tcW w:w="280" w:type="dxa"/>
            <w:vAlign w:val="bottom"/>
          </w:tcPr>
          <w:p>
            <w:pPr>
              <w:spacing w:after="0"/>
              <w:rPr>
                <w:sz w:val="11"/>
                <w:szCs w:val="11"/>
                <w:color w:val="auto"/>
              </w:rPr>
            </w:pPr>
          </w:p>
        </w:tc>
        <w:tc>
          <w:tcPr>
            <w:tcW w:w="1200" w:type="dxa"/>
            <w:vAlign w:val="bottom"/>
          </w:tcPr>
          <w:p>
            <w:pPr>
              <w:jc w:val="center"/>
              <w:ind w:right="219"/>
              <w:spacing w:after="0"/>
              <w:rPr>
                <w:sz w:val="20"/>
                <w:szCs w:val="20"/>
                <w:color w:val="auto"/>
              </w:rPr>
            </w:pPr>
            <w:r>
              <w:rPr>
                <w:rFonts w:ascii="Times New Roman" w:cs="Times New Roman" w:eastAsia="Times New Roman" w:hAnsi="Times New Roman"/>
                <w:sz w:val="11"/>
                <w:szCs w:val="11"/>
                <w:b w:val="1"/>
                <w:bCs w:val="1"/>
                <w:color w:val="auto"/>
              </w:rPr>
              <w:t>More than</w:t>
            </w:r>
          </w:p>
        </w:tc>
        <w:tc>
          <w:tcPr>
            <w:tcW w:w="0" w:type="dxa"/>
            <w:vAlign w:val="bottom"/>
          </w:tcPr>
          <w:p>
            <w:pPr>
              <w:spacing w:after="0"/>
              <w:rPr>
                <w:sz w:val="1"/>
                <w:szCs w:val="1"/>
                <w:color w:val="auto"/>
              </w:rPr>
            </w:pPr>
          </w:p>
        </w:tc>
      </w:tr>
      <w:tr>
        <w:trPr>
          <w:trHeight w:val="153"/>
        </w:trPr>
        <w:tc>
          <w:tcPr>
            <w:tcW w:w="3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1 Year</w:t>
            </w:r>
          </w:p>
        </w:tc>
        <w:tc>
          <w:tcPr>
            <w:tcW w:w="340" w:type="dxa"/>
            <w:vAlign w:val="bottom"/>
          </w:tcPr>
          <w:p>
            <w:pPr>
              <w:spacing w:after="0"/>
              <w:rPr>
                <w:sz w:val="13"/>
                <w:szCs w:val="13"/>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360" w:type="dxa"/>
            <w:vAlign w:val="bottom"/>
          </w:tcPr>
          <w:p>
            <w:pPr>
              <w:spacing w:after="0"/>
              <w:rPr>
                <w:sz w:val="13"/>
                <w:szCs w:val="13"/>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280" w:type="dxa"/>
            <w:vAlign w:val="bottom"/>
          </w:tcPr>
          <w:p>
            <w:pPr>
              <w:spacing w:after="0"/>
              <w:rPr>
                <w:sz w:val="13"/>
                <w:szCs w:val="13"/>
                <w:color w:val="auto"/>
              </w:rPr>
            </w:pPr>
          </w:p>
        </w:tc>
        <w:tc>
          <w:tcPr>
            <w:tcW w:w="1200" w:type="dxa"/>
            <w:vAlign w:val="bottom"/>
          </w:tcPr>
          <w:p>
            <w:pPr>
              <w:jc w:val="center"/>
              <w:ind w:right="219"/>
              <w:spacing w:after="0"/>
              <w:rPr>
                <w:sz w:val="20"/>
                <w:szCs w:val="20"/>
                <w:color w:val="auto"/>
              </w:rPr>
            </w:pPr>
            <w:r>
              <w:rPr>
                <w:rFonts w:ascii="Times New Roman" w:cs="Times New Roman" w:eastAsia="Times New Roman" w:hAnsi="Times New Roman"/>
                <w:sz w:val="11"/>
                <w:szCs w:val="11"/>
                <w:b w:val="1"/>
                <w:bCs w:val="1"/>
                <w:color w:val="auto"/>
              </w:rPr>
              <w:t>5 Years</w:t>
            </w:r>
          </w:p>
        </w:tc>
        <w:tc>
          <w:tcPr>
            <w:tcW w:w="0" w:type="dxa"/>
            <w:vAlign w:val="bottom"/>
          </w:tcPr>
          <w:p>
            <w:pPr>
              <w:spacing w:after="0"/>
              <w:rPr>
                <w:sz w:val="1"/>
                <w:szCs w:val="1"/>
                <w:color w:val="auto"/>
              </w:rPr>
            </w:pPr>
          </w:p>
        </w:tc>
      </w:tr>
      <w:tr>
        <w:trPr>
          <w:trHeight w:val="122"/>
        </w:trPr>
        <w:tc>
          <w:tcPr>
            <w:tcW w:w="3540" w:type="dxa"/>
            <w:vAlign w:val="bottom"/>
            <w:tcBorders>
              <w:top w:val="single" w:sz="8" w:color="CCEEFF"/>
            </w:tcBorders>
            <w:shd w:val="clear" w:color="auto" w:fill="CCEEFF"/>
          </w:tcPr>
          <w:p>
            <w:pPr>
              <w:ind w:left="220"/>
              <w:spacing w:after="0" w:line="123" w:lineRule="exact"/>
              <w:rPr>
                <w:sz w:val="20"/>
                <w:szCs w:val="20"/>
                <w:color w:val="auto"/>
              </w:rPr>
            </w:pPr>
            <w:r>
              <w:rPr>
                <w:rFonts w:ascii="Times New Roman" w:cs="Times New Roman" w:eastAsia="Times New Roman" w:hAnsi="Times New Roman"/>
                <w:sz w:val="14"/>
                <w:szCs w:val="14"/>
                <w:color w:val="auto"/>
              </w:rPr>
              <w:t>Operating lease commitments</w:t>
            </w:r>
          </w:p>
        </w:tc>
        <w:tc>
          <w:tcPr>
            <w:tcW w:w="34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(see Note 6)</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80,217</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23,775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28,337</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enter into contracts in the normal course of business with third-party CROs for clinical trials, preclinical studies, manufacturing and other services and products for operating purposes. These contracts generally provide for termination following a certain period after notice and therefore we believe that our non-cancelable obligations under these agreements are not material, and they are not included in the table above. We have not included milestone or royalty payments or other contractual payment obligations in the table above if the timing and amount of such obligations are unknown or uncertain.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This management’s discussion and analysis of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estimates and assumptions that affect the reported amounts of assets and liabilities, revenues, costs and expenses, and the disclosure of contingent assets and liabilities in our consolidated financial statements. We base our estimates on historical experience,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While our significant accounting policies are described in more detail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to our consolidated financial statements in this Annual Report on Form 10-K, we believe that the following accounting policies are those most critical to the judgments and estimates used in the preparation of our consolidated financial statements.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 from contracts</w:t>
      </w:r>
    </w:p>
    <w:p>
      <w:pPr>
        <w:spacing w:after="0" w:line="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We account for our revenue in accordance with Accounting Standards Codification, or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or ASC 606. Under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 steps at inception of the agreement or upon material modification of the agreement: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w:t>
      </w:r>
    </w:p>
    <w:p>
      <w:pPr>
        <w:spacing w:after="0" w:line="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consider the pattern of satisfaction of the performance obligations under step (v) above to be a critical accounting estimate. More specifically, the determination of the level of achievement of research and development service performance obligations, whose pattern of satisfaction is measured using costs incurred to date as compared to total costs incurred and expected to be incurred in the future is driven by a critical accounting estimate.</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estimating the costs expected to be incurred in the future, management uses its most recent budget and long-range plan, adjusted for any pertinent information. While this is our best estimate as of the reporting period, costs expected to be incurred in the future require management judgment as the scope and timing of research and development activities may change significantly over time. We may adjust the scope of our research and development activities based on several factors, such as additional work needed to support advancement of product candidate or change in the number of patients in trials. Further, research and development services may no longer be within the scope of a collaboration agreement, as has been the case with certain of our programs. The timing of when research and development costs are expected to be incurred may change as a result of external factors, such as delays caused by manufacturing or supply chain, or difficulty in enrolling patients; or internal factors, such as prioritization of programs. Our estimate of the scope and timing of research and development services performed relative to the actual scope and timing may have a significant impact on revenue recognition.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Prepaid and accrued research and development expenses</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As part of preparing our consolidated financial statements, we are required to estimate our accrued research and development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We make estimates of the accrued expenses as of each balance sheet date in our consolidated financial statements based on facts and circumstances known to us at that time. In addition, there may be instances in which payments made to our vendors will exceed the level of services provided and result in a prepayment of the expense, in which case such amounts are reflected as prepaid expenses and other current assets. In accruing service fees, we estimate the time period over which services will be performed and the level of effort to be expended in each period. If the actual timing of the performance of services or the level of effort varies from our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could have a significant impact on reported amounts.</w:t>
      </w:r>
    </w:p>
    <w:p>
      <w:pPr>
        <w:spacing w:after="0" w:line="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Non-refundable advance payments for goods or services to be received in the future for use in research and development activities are deferred and capitalized in prepaid expenses and other current assets. The capitalized amounts are expensed as the related goods are delivered or the services are performed.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leases (incremental borrowing rate)</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We account for leases in accordance with ASC Topic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or ASC 842. Under ASC 842, at inception or upon modification of a lease arrangement, we may be required to remeasure our lease liabilities and the corresponding right-of-use assets. The lease liability is measured by calculating the present value of lease payments under the lease arrangement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using the incremental borrowing rate. Incremental borrowing rate is the rate of interest that we would have to pay to borrow, on a collateralized basis, an amount equal to the lease payments over a similar term equal to the lease term in a similar economic environment.</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Since the incremental borrowing rates implicit in our leases are not readily determinable, we use the estimated incremental borrowing rates based on the information available at commencement date in determining the discount rate used to calculate the present value of lease payments. As we have no recent external borrowings, the incremental borrowing rates are determined using information on indicative borrowing rates that would be available to us based on the value and borrowing term provided by financial institutions, adjusted for company and market specific factors. This determination requires management judgement, including when determining peer groups, our own risk profile, and when adjusting for company and market specific factors.</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Although we do not expect our estimates of the incremental borrowing rates to generate material differences within a reasonable range of sensitivities, judgement is involved in selecting an appropriate rate, and the rate selected for our leases will have an impact on the value of the lease liability and corresponding right-of-use asset in the consolidated balance sheets.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account for all stock-based awards granted to employees and non-employees as stock-based compensation expense at fair value. Our stock-based payments include stock options, restricted stock units, and grants of common stock, including common stock subject to vesting. The measurement date for awards is the date of grant, and stock-based compensation costs are recognized as expense over the requisite service period, which is generally the vesting period, on a straight-line basis. Stock-based compensation expense is classified in the consolidated statements of operations and comprehensive loss based on the function to which the related services are provided. We recognize stock-based compensation expense for the portion of awards that have vested. Forfeitures are recorded as they occur. The fair value of each stock option grant is estimated on the date of grant using the Black-Scholes option pricing model. The Black-Scholes option pricing model includes various assumptions, including the expected term of the award, the expected volatility and the expected risk-free interest rate over the expected term of the award, expected dividend payments, and the fair value of the common stock underlying the stock-based award.</w:t>
      </w:r>
    </w:p>
    <w:p>
      <w:pPr>
        <w:spacing w:after="0" w:line="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consider the expected volatility to be a critical accounting estimate. As we do not have sufficient trading history, we use the average historical volatility of a representative group of publicly traded biopharmaceutical companies, including our own, to calculate the expected volatility for use in the Black-Scholes option pricing model. This assumption reflects our best estimate, but it involves inherent uncertainties based on market conditions generally outside our control. As a result, if a different volatility had been used, stock-based compensation cost could have been materially impacted.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exposed to market risks in the ordinary course of our business. These risks primarily include interest rate sensitivities. Our interest-earning assets consist of cash, cash equivalents, and marketable securities. Our interest income is sensitive to changes in the general level of interest rates, primarily United States interest rates. As of December 31, 2024, we had marketable securities of $211.8 million. Our marketable securities are short-term in nature with a weighted-average maturity date of 0.5 years. As such, while these interest-earning instruments carry a degree of interest rate risk, historical fluctuations in interest income have not been significant for us.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The financial statements required to be filed pursuant to this Item 8 are appended to this Annual Report on Form 10-K. An index of those financial statements is found in Item 15, </w:t>
      </w:r>
      <w:r>
        <w:rPr>
          <w:rFonts w:ascii="Times New Roman" w:cs="Times New Roman" w:eastAsia="Times New Roman" w:hAnsi="Times New Roman"/>
          <w:sz w:val="14"/>
          <w:szCs w:val="14"/>
          <w:i w:val="1"/>
          <w:iCs w:val="1"/>
          <w:color w:val="auto"/>
        </w:rPr>
        <w:t>Exhibits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Financial Statement Schedules</w:t>
      </w:r>
      <w:r>
        <w:rPr>
          <w:rFonts w:ascii="Times New Roman" w:cs="Times New Roman" w:eastAsia="Times New Roman" w:hAnsi="Times New Roman"/>
          <w:sz w:val="14"/>
          <w:szCs w:val="14"/>
          <w:color w:val="auto"/>
        </w:rPr>
        <w:t>, of this Annual Report on Form 10-K.</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Evaluation of Disclosure Controls and Procedures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management, with the participation of our principal executive officer and our principal financial officer, evaluated, as of the end of the period covered by this Annual Report on Form 10-K, the effectiveness of our disclosure controls and procedures as defined in 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Based on the evaluation of our disclosure controls and procedures as of December 31, 2024, our principal executive officer and principal financial officer concluded that our disclosure controls and procedures as of such date are effective at the reasonable assurance level.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Management’s Annual Report on Internal Control over Financial Reporting</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our financial reporting. Internal control over financial reporting is defined in Rules 13a-15(f) and 15d-15(f)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United States GAAP. Our internal control over financial reporting includes those policies and procedures that:</w:t>
      </w:r>
    </w:p>
    <w:p>
      <w:pPr>
        <w:spacing w:after="0" w:line="56" w:lineRule="exact"/>
        <w:rPr>
          <w:sz w:val="20"/>
          <w:szCs w:val="20"/>
          <w:color w:val="auto"/>
        </w:rPr>
      </w:pPr>
    </w:p>
    <w:p>
      <w:pPr>
        <w:ind w:left="640" w:hanging="317"/>
        <w:spacing w:after="0"/>
        <w:tabs>
          <w:tab w:leader="none" w:pos="6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 to the maintenance of records that, in reasonable detail, accurately, and fairly reflect our transactions and dispositions of our assets;</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that transactions are recorded as necessary to permit preparation of financial statements in accordance with United States GAAP, and that our receipts and expenditures are being made only in accordance with authorizations of our management and directors; and</w:t>
      </w:r>
    </w:p>
    <w:p>
      <w:pPr>
        <w:spacing w:after="0" w:line="39"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our assets that could have a material effect on our financial statements.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management assessed the effectiveness of our internal control over financial reporting as of December 31, 2024. In making this assessment, management used the criteria set forth by the Committee of Sponsoring Organizations of the Treadway Commission, or COSO, in its 2013 Internal Control – Integrated Framework. Based on our assessment, our management has concluded that, as of December 31, 2024, our internal control over financial reporting is effective based on those criteria.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in Internal Control over Financial Reporting</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continuously seek to improve the efficiency and effectiveness of our internal controls. This results in refinements to processes throughout the company. There were no changes in our internal control over financial reporting (as defined in Rules 13a-15(f) and 15d-15(f) under the Exchange Act) during the year ended December 31, 2024 that have materially affected, or are reasonably likely to materially affect, our internal control over financial reporting.</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Inherent Limitations on Effectiveness of Controls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 See “Risk Factors—</w:t>
      </w:r>
      <w:r>
        <w:rPr>
          <w:rFonts w:ascii="Times New Roman" w:cs="Times New Roman" w:eastAsia="Times New Roman" w:hAnsi="Times New Roman"/>
          <w:sz w:val="14"/>
          <w:szCs w:val="14"/>
          <w:i w:val="1"/>
          <w:iCs w:val="1"/>
          <w:color w:val="auto"/>
        </w:rPr>
        <w:t>We will continue to incur additional costs as a result of operating as a public company and our management will be required to devote substantial time to new compliance initiatives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corporate governance practices.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Rule 10b5-1 Trading Plans</w:t>
      </w:r>
    </w:p>
    <w:p>
      <w:pPr>
        <w:spacing w:after="0" w:line="9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fiscal quarter ended December 31, 2024, none of our directors and officers (as defined in Rule 16a-1(f) under the Exchange Act) adopted, modified or terminated a “Rule 10b5-1 trading arrangement” or “non-Rule 10b5-1 trading arrangement,” as those terms are defined in Item 408(a) of Regulation S-K.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10 will be included in our definitive proxy statement to be filed with the Securities and Exchange Commission, or SEC, with respect to our 2025 Annual Meeting of Stockholders within 120 days after the end of the year covered by this Annual Report on Form 10-K and is incorporated herein by reference.</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adopted a Company Policy on Insider Trading and Disclosure (the Insider Trading Policy), together with Special Trading Procedures for Insiders and a Rule 10b5-1 Trading Plan Policy, governing the purchase, sale and/or other dispositions of our securities by our directors, individuals who qualify as officers within the meaning of Section 16 of the Exchange Act and the rules and regulations promulgated thereunder, and certain designated employees, consultants, and contractors. A copy of the Insider Trading Policy is filed as an exhibit to this Annual Report on Form 10-K.</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11 will be included in our definitive proxy statement to be filed with the SEC within 120 days after the end of the year covered by this Annual Report on Form 10-K with respect to our 2025 Annual Meeting of Stockholders and is incorporated herein by reference.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12 will be included in our definitive proxy statement to be filed with the SEC within 120 days after the end of the year covered by this Annual Report on Form 10-Kwith respect to our 2025 Annual Meeting of Stockholders and is incorporated herein by reference.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information required by this Item 13 will be included in our definitive proxy statement to be filed with the SEC within 120 days after the end of the year covered by this Annual Report on Form 10-K with respect to our 2025 Annual Meeting of Stockholders and is incorporated herein by reference.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Accounting Fees and Services.</w:t>
      </w:r>
    </w:p>
    <w:p>
      <w:pPr>
        <w:spacing w:after="0" w:line="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14 will be included in our definitive proxy statement to be filed with the SEC within 120 days after the end of the year covered by this Annual Report on Form 10-K with respect to our 2025 Annual Meeting of Stockholders and is incorporated herein by reference.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Financial Statement Schedules.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1. Financial Statements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a list of the financial statements included herein, see </w:t>
      </w:r>
      <w:r>
        <w:rPr>
          <w:rFonts w:ascii="Times New Roman" w:cs="Times New Roman" w:eastAsia="Times New Roman" w:hAnsi="Times New Roman"/>
          <w:sz w:val="14"/>
          <w:szCs w:val="14"/>
          <w:i w:val="1"/>
          <w:iCs w:val="1"/>
          <w:color w:val="auto"/>
        </w:rPr>
        <w:t>Index to the Consolidated Financial Statements</w:t>
      </w:r>
      <w:r>
        <w:rPr>
          <w:rFonts w:ascii="Times New Roman" w:cs="Times New Roman" w:eastAsia="Times New Roman" w:hAnsi="Times New Roman"/>
          <w:sz w:val="14"/>
          <w:szCs w:val="14"/>
          <w:color w:val="auto"/>
        </w:rPr>
        <w:t xml:space="preserve"> on page F-1 of this Annual Report on Form 10-K, incorporated into this Item by reference.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 Financial Statement Schedules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Financial statement schedules have been omitted because they are either not required or not applicable or the information is included in the consolidated financial statements or the notes thereto.</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3. Exhibits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6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0" w:type="dxa"/>
            <w:vAlign w:val="bottom"/>
            <w:gridSpan w:val="23"/>
            <w:vMerge w:val="restart"/>
          </w:tcPr>
          <w:p>
            <w:pPr>
              <w:jc w:val="right"/>
              <w:ind w:right="186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c>
          <w:tcPr>
            <w:tcW w:w="8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File</w:t>
            </w: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Date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153"/>
        </w:trPr>
        <w:tc>
          <w:tcPr>
            <w:tcW w:w="11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0" w:type="dxa"/>
            <w:vAlign w:val="bottom"/>
            <w:tcBorders>
              <w:bottom w:val="single" w:sz="8" w:color="auto"/>
            </w:tcBorders>
            <w:gridSpan w:val="23"/>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Herewith</w:t>
            </w:r>
          </w:p>
        </w:tc>
        <w:tc>
          <w:tcPr>
            <w:tcW w:w="0" w:type="dxa"/>
            <w:vAlign w:val="bottom"/>
          </w:tcPr>
          <w:p>
            <w:pPr>
              <w:spacing w:after="0"/>
              <w:rPr>
                <w:sz w:val="1"/>
                <w:szCs w:val="1"/>
                <w:color w:val="auto"/>
              </w:rPr>
            </w:pPr>
          </w:p>
        </w:tc>
      </w:tr>
      <w:tr>
        <w:trPr>
          <w:trHeight w:val="143"/>
        </w:trPr>
        <w:tc>
          <w:tcPr>
            <w:tcW w:w="11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3.1</w:t>
            </w:r>
          </w:p>
        </w:tc>
        <w:tc>
          <w:tcPr>
            <w:tcW w:w="4660" w:type="dxa"/>
            <w:vAlign w:val="bottom"/>
            <w:gridSpan w:val="26"/>
          </w:tcPr>
          <w:p>
            <w:pPr>
              <w:spacing w:after="0" w:line="143" w:lineRule="exact"/>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Fifth Amended and Restated Certificate of Incorporation of the Registrant,</w:t>
              </w:r>
            </w:hyperlink>
          </w:p>
        </w:tc>
        <w:tc>
          <w:tcPr>
            <w:tcW w:w="860" w:type="dxa"/>
            <w:vAlign w:val="bottom"/>
          </w:tcPr>
          <w:p>
            <w:pPr>
              <w:jc w:val="center"/>
              <w:ind w:right="90"/>
              <w:spacing w:after="0" w:line="143" w:lineRule="exact"/>
              <w:rPr>
                <w:sz w:val="20"/>
                <w:szCs w:val="20"/>
                <w:color w:val="auto"/>
              </w:rPr>
            </w:pPr>
            <w:r>
              <w:rPr>
                <w:rFonts w:ascii="Times New Roman" w:cs="Times New Roman" w:eastAsia="Times New Roman" w:hAnsi="Times New Roman"/>
                <w:sz w:val="14"/>
                <w:szCs w:val="14"/>
                <w:color w:val="auto"/>
              </w:rPr>
              <w:t>8-K</w:t>
            </w:r>
          </w:p>
        </w:tc>
        <w:tc>
          <w:tcPr>
            <w:tcW w:w="12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rPr>
              <w:t>001–39567</w:t>
            </w:r>
          </w:p>
        </w:tc>
        <w:tc>
          <w:tcPr>
            <w:tcW w:w="12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rPr>
              <w:t>10/06/2020</w:t>
            </w:r>
          </w:p>
        </w:tc>
        <w:tc>
          <w:tcPr>
            <w:tcW w:w="10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rPr>
              <w:t>3.3</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240" w:type="dxa"/>
            <w:vAlign w:val="bottom"/>
            <w:tcBorders>
              <w:top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14">
              <w:r>
                <w:rPr>
                  <w:rFonts w:ascii="Times New Roman" w:cs="Times New Roman" w:eastAsia="Times New Roman" w:hAnsi="Times New Roman"/>
                  <w:sz w:val="13"/>
                  <w:szCs w:val="13"/>
                  <w:color w:val="0000FF"/>
                </w:rPr>
                <w:t>current in effect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4660" w:type="dxa"/>
            <w:vAlign w:val="bottom"/>
            <w:gridSpan w:val="26"/>
          </w:tcPr>
          <w:p>
            <w:pPr>
              <w:spacing w:after="0"/>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Certificate of Amendment to the Fifth Amended and Restated Certificate of</w:t>
              </w:r>
            </w:hyperlink>
          </w:p>
        </w:tc>
        <w:tc>
          <w:tcPr>
            <w:tcW w:w="86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rPr>
              <w:t>DEF14A</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001–39567</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04/28/2023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176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15">
              <w:r>
                <w:rPr>
                  <w:rFonts w:ascii="Times New Roman" w:cs="Times New Roman" w:eastAsia="Times New Roman" w:hAnsi="Times New Roman"/>
                  <w:sz w:val="13"/>
                  <w:szCs w:val="13"/>
                  <w:color w:val="0000FF"/>
                </w:rPr>
                <w:t>Incorporation of the Registrant</w:t>
              </w:r>
            </w:hyperlink>
          </w:p>
        </w:tc>
        <w:tc>
          <w:tcPr>
            <w:tcW w:w="2540" w:type="dxa"/>
            <w:vAlign w:val="bottom"/>
            <w:tcBorders>
              <w:top w:val="single" w:sz="8" w:color="0000FF"/>
            </w:tcBorders>
            <w:gridSpan w:val="1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w:t>
            </w:r>
          </w:p>
        </w:tc>
        <w:tc>
          <w:tcPr>
            <w:tcW w:w="372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Form of Second Amended and Restated Bylaws of the Registrant</w:t>
              </w:r>
            </w:hyperlink>
          </w:p>
        </w:tc>
        <w:tc>
          <w:tcPr>
            <w:tcW w:w="940" w:type="dxa"/>
            <w:vAlign w:val="bottom"/>
            <w:gridSpan w:val="12"/>
          </w:tcPr>
          <w:p>
            <w:pPr>
              <w:spacing w:after="0"/>
              <w:rPr>
                <w:sz w:val="22"/>
                <w:szCs w:val="22"/>
                <w:color w:val="auto"/>
              </w:rPr>
            </w:pPr>
          </w:p>
        </w:tc>
        <w:tc>
          <w:tcPr>
            <w:tcW w:w="86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09/10/2020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4660" w:type="dxa"/>
            <w:vAlign w:val="bottom"/>
            <w:gridSpan w:val="26"/>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Amended and Restated Investors’ Rights Agreement among the Registrant, its</w:t>
              </w:r>
            </w:hyperlink>
          </w:p>
        </w:tc>
        <w:tc>
          <w:tcPr>
            <w:tcW w:w="86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09/10/2020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370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warrant holder and certain of its stockholders, dated June 5, 2020</w:t>
              </w:r>
            </w:hyperlink>
          </w:p>
        </w:tc>
        <w:tc>
          <w:tcPr>
            <w:tcW w:w="74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4660" w:type="dxa"/>
            <w:vAlign w:val="bottom"/>
            <w:gridSpan w:val="26"/>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Form of Specimen Common Stock Certificate</w:t>
              </w:r>
            </w:hyperlink>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rPr>
              <w:t>S-1/A</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09/28/2020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4660" w:type="dxa"/>
            <w:vAlign w:val="bottom"/>
            <w:gridSpan w:val="26"/>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Description of Securities Registered Pursuant to Section 12 of the Securities</w:t>
              </w:r>
            </w:hyperlink>
          </w:p>
        </w:tc>
        <w:tc>
          <w:tcPr>
            <w:tcW w:w="86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w w:val="97"/>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001-39567</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03/11/2021</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32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19">
              <w:r>
                <w:rPr>
                  <w:rFonts w:ascii="Times New Roman" w:cs="Times New Roman" w:eastAsia="Times New Roman" w:hAnsi="Times New Roman"/>
                  <w:sz w:val="13"/>
                  <w:szCs w:val="13"/>
                  <w:color w:val="0000FF"/>
                </w:rPr>
                <w:t>Exchange Act of 1934, as amended</w:t>
              </w:r>
            </w:hyperlink>
          </w:p>
        </w:tc>
        <w:tc>
          <w:tcPr>
            <w:tcW w:w="1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4660" w:type="dxa"/>
            <w:vAlign w:val="bottom"/>
            <w:gridSpan w:val="26"/>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2015 Stock Option and Grant Plan, as amended and forms of award agreements</w:t>
              </w:r>
            </w:hyperlink>
          </w:p>
        </w:tc>
        <w:tc>
          <w:tcPr>
            <w:tcW w:w="86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09/10/2020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50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20">
              <w:r>
                <w:rPr>
                  <w:rFonts w:ascii="Times New Roman" w:cs="Times New Roman" w:eastAsia="Times New Roman" w:hAnsi="Times New Roman"/>
                  <w:sz w:val="13"/>
                  <w:szCs w:val="13"/>
                  <w:color w:val="0000FF"/>
                </w:rPr>
                <w:t>thereunder</w:t>
              </w:r>
            </w:hyperlink>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4660" w:type="dxa"/>
            <w:vAlign w:val="bottom"/>
            <w:gridSpan w:val="26"/>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2020 Stock Option and Incentive Plan and forms of award agreements</w:t>
              </w:r>
            </w:hyperlink>
          </w:p>
        </w:tc>
        <w:tc>
          <w:tcPr>
            <w:tcW w:w="86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w w:val="97"/>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001-39567</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02/23/2023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3980" w:type="dxa"/>
            <w:vAlign w:val="bottom"/>
            <w:tcBorders>
              <w:top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thereunder</w:t>
              </w:r>
            </w:hyperlink>
          </w:p>
        </w:tc>
        <w:tc>
          <w:tcPr>
            <w:tcW w:w="20" w:type="dxa"/>
            <w:vAlign w:val="bottom"/>
          </w:tcPr>
          <w:p>
            <w:pPr>
              <w:spacing w:after="0"/>
              <w:rPr>
                <w:sz w:val="10"/>
                <w:szCs w:val="10"/>
                <w:color w:val="auto"/>
              </w:rPr>
            </w:pPr>
          </w:p>
        </w:tc>
        <w:tc>
          <w:tcPr>
            <w:tcW w:w="2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4"/>
          </w:tcPr>
          <w:p>
            <w:pPr>
              <w:spacing w:after="0"/>
              <w:rPr>
                <w:sz w:val="10"/>
                <w:szCs w:val="10"/>
                <w:color w:val="auto"/>
              </w:rPr>
            </w:pPr>
          </w:p>
        </w:tc>
        <w:tc>
          <w:tcPr>
            <w:tcW w:w="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4660" w:type="dxa"/>
            <w:vAlign w:val="bottom"/>
            <w:gridSpan w:val="26"/>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2020 Employee Stock Purchase Plan</w:t>
              </w:r>
            </w:hyperlink>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rPr>
              <w:t>S-1/A</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09/28/2020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254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Senior Executive Cash Incentive Bonus Plan</w:t>
              </w:r>
            </w:hyperlink>
          </w:p>
        </w:tc>
        <w:tc>
          <w:tcPr>
            <w:tcW w:w="2120" w:type="dxa"/>
            <w:vAlign w:val="bottom"/>
            <w:gridSpan w:val="16"/>
          </w:tcPr>
          <w:p>
            <w:pPr>
              <w:spacing w:after="0"/>
              <w:rPr>
                <w:sz w:val="20"/>
                <w:szCs w:val="20"/>
                <w:color w:val="auto"/>
              </w:rPr>
            </w:pPr>
          </w:p>
        </w:tc>
        <w:tc>
          <w:tcPr>
            <w:tcW w:w="86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09/10/2020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260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Form of Director Indemnification Agreement</w:t>
              </w:r>
            </w:hyperlink>
          </w:p>
        </w:tc>
        <w:tc>
          <w:tcPr>
            <w:tcW w:w="2060" w:type="dxa"/>
            <w:vAlign w:val="bottom"/>
            <w:gridSpan w:val="15"/>
          </w:tcPr>
          <w:p>
            <w:pPr>
              <w:spacing w:after="0"/>
              <w:rPr>
                <w:sz w:val="20"/>
                <w:szCs w:val="20"/>
                <w:color w:val="auto"/>
              </w:rPr>
            </w:pPr>
          </w:p>
        </w:tc>
        <w:tc>
          <w:tcPr>
            <w:tcW w:w="86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09/10/2020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10.5</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252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Form of Officer Indemnification Agreement</w:t>
              </w:r>
            </w:hyperlink>
          </w:p>
        </w:tc>
        <w:tc>
          <w:tcPr>
            <w:tcW w:w="2140" w:type="dxa"/>
            <w:vAlign w:val="bottom"/>
            <w:gridSpan w:val="17"/>
          </w:tcPr>
          <w:p>
            <w:pPr>
              <w:spacing w:after="0"/>
              <w:rPr>
                <w:sz w:val="20"/>
                <w:szCs w:val="20"/>
                <w:color w:val="auto"/>
              </w:rPr>
            </w:pPr>
          </w:p>
        </w:tc>
        <w:tc>
          <w:tcPr>
            <w:tcW w:w="86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09/10/2020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10.6</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250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Form of Executive Employment Agreement</w:t>
              </w:r>
            </w:hyperlink>
          </w:p>
        </w:tc>
        <w:tc>
          <w:tcPr>
            <w:tcW w:w="2160" w:type="dxa"/>
            <w:vAlign w:val="bottom"/>
            <w:gridSpan w:val="18"/>
          </w:tcPr>
          <w:p>
            <w:pPr>
              <w:spacing w:after="0"/>
              <w:rPr>
                <w:sz w:val="20"/>
                <w:szCs w:val="20"/>
                <w:color w:val="auto"/>
              </w:rPr>
            </w:pPr>
          </w:p>
        </w:tc>
        <w:tc>
          <w:tcPr>
            <w:tcW w:w="86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09/10/2020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10.7</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10.8#</w:t>
            </w:r>
          </w:p>
        </w:tc>
        <w:tc>
          <w:tcPr>
            <w:tcW w:w="4660" w:type="dxa"/>
            <w:vAlign w:val="bottom"/>
            <w:gridSpan w:val="26"/>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Employment Agreement between the Registrant and Andrew Hirsch, dated</w:t>
              </w:r>
            </w:hyperlink>
          </w:p>
        </w:tc>
        <w:tc>
          <w:tcPr>
            <w:tcW w:w="86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09/10/2020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10.8</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26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September 6, 2020</w:t>
              </w:r>
            </w:hyperlink>
          </w:p>
        </w:tc>
        <w:tc>
          <w:tcPr>
            <w:tcW w:w="20" w:type="dxa"/>
            <w:vAlign w:val="bottom"/>
          </w:tcPr>
          <w:p>
            <w:pPr>
              <w:spacing w:after="0"/>
              <w:rPr>
                <w:sz w:val="10"/>
                <w:szCs w:val="10"/>
                <w:color w:val="auto"/>
              </w:rPr>
            </w:pPr>
          </w:p>
        </w:tc>
        <w:tc>
          <w:tcPr>
            <w:tcW w:w="180" w:type="dxa"/>
            <w:vAlign w:val="bottom"/>
            <w:gridSpan w:val="4"/>
          </w:tcPr>
          <w:p>
            <w:pPr>
              <w:spacing w:after="0"/>
              <w:rPr>
                <w:sz w:val="10"/>
                <w:szCs w:val="10"/>
                <w:color w:val="auto"/>
              </w:rPr>
            </w:pPr>
          </w:p>
        </w:tc>
        <w:tc>
          <w:tcPr>
            <w:tcW w:w="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10.9†</w:t>
            </w:r>
          </w:p>
        </w:tc>
        <w:tc>
          <w:tcPr>
            <w:tcW w:w="4660" w:type="dxa"/>
            <w:vAlign w:val="bottom"/>
            <w:gridSpan w:val="26"/>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Collaboration Research and License Agreement between the Registrant and</w:t>
              </w:r>
            </w:hyperlink>
          </w:p>
        </w:tc>
        <w:tc>
          <w:tcPr>
            <w:tcW w:w="86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09/10/2020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10.10</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28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Biogen MA, Inc., dated December 28, 2018</w:t>
              </w:r>
            </w:hyperlink>
          </w:p>
        </w:tc>
        <w:tc>
          <w:tcPr>
            <w:tcW w:w="180" w:type="dxa"/>
            <w:vAlign w:val="bottom"/>
            <w:gridSpan w:val="4"/>
          </w:tcPr>
          <w:p>
            <w:pPr>
              <w:spacing w:after="0"/>
              <w:rPr>
                <w:sz w:val="10"/>
                <w:szCs w:val="10"/>
                <w:color w:val="auto"/>
              </w:rPr>
            </w:pPr>
          </w:p>
        </w:tc>
        <w:tc>
          <w:tcPr>
            <w:tcW w:w="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80" w:type="dxa"/>
            <w:vAlign w:val="bottom"/>
            <w:gridSpan w:val="7"/>
            <w:shd w:val="clear" w:color="auto" w:fill="0000FF"/>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10.10†</w:t>
            </w:r>
          </w:p>
        </w:tc>
        <w:tc>
          <w:tcPr>
            <w:tcW w:w="4660" w:type="dxa"/>
            <w:vAlign w:val="bottom"/>
            <w:gridSpan w:val="26"/>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Amendment No. 1 to Collaborative Research and License Agreement between</w:t>
              </w:r>
            </w:hyperlink>
          </w:p>
        </w:tc>
        <w:tc>
          <w:tcPr>
            <w:tcW w:w="86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w w:val="97"/>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001-39567</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03/11/2021</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10.11</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46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the Registrant and Biogen MA, Inc., dated February 25, 2020</w:t>
              </w:r>
            </w:hyperlink>
          </w:p>
        </w:tc>
        <w:tc>
          <w:tcPr>
            <w:tcW w:w="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80" w:type="dxa"/>
            <w:vAlign w:val="bottom"/>
            <w:gridSpan w:val="12"/>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10.11†</w:t>
            </w:r>
          </w:p>
        </w:tc>
        <w:tc>
          <w:tcPr>
            <w:tcW w:w="4660" w:type="dxa"/>
            <w:vAlign w:val="bottom"/>
            <w:gridSpan w:val="26"/>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Amended and Restated License Agreement among the Registrant, F. Hoffmann-</w:t>
              </w:r>
            </w:hyperlink>
          </w:p>
        </w:tc>
        <w:tc>
          <w:tcPr>
            <w:tcW w:w="86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09/10/2020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10.11</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54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La Roche Ltd and Hoffmann-La Roche Inc., dated December 20, 2018</w:t>
              </w:r>
            </w:hyperlink>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7"/>
        </w:trPr>
        <w:tc>
          <w:tcPr>
            <w:tcW w:w="1160" w:type="dxa"/>
            <w:vAlign w:val="bottom"/>
          </w:tcPr>
          <w:p>
            <w:pPr>
              <w:spacing w:after="0"/>
              <w:rPr>
                <w:sz w:val="24"/>
                <w:szCs w:val="24"/>
                <w:color w:val="auto"/>
              </w:rPr>
            </w:pPr>
          </w:p>
        </w:tc>
        <w:tc>
          <w:tcPr>
            <w:tcW w:w="4000" w:type="dxa"/>
            <w:vAlign w:val="bottom"/>
            <w:tcBorders>
              <w:top w:val="single" w:sz="8" w:color="0000FF"/>
            </w:tcBorders>
            <w:gridSpan w:val="16"/>
          </w:tcPr>
          <w:p>
            <w:pPr>
              <w:spacing w:after="0"/>
              <w:rPr>
                <w:sz w:val="24"/>
                <w:szCs w:val="24"/>
                <w:color w:val="auto"/>
              </w:rPr>
            </w:pPr>
          </w:p>
        </w:tc>
        <w:tc>
          <w:tcPr>
            <w:tcW w:w="660" w:type="dxa"/>
            <w:vAlign w:val="bottom"/>
            <w:gridSpan w:val="10"/>
          </w:tcPr>
          <w:p>
            <w:pPr>
              <w:jc w:val="right"/>
              <w:ind w:right="100"/>
              <w:spacing w:after="0"/>
              <w:rPr>
                <w:sz w:val="20"/>
                <w:szCs w:val="20"/>
                <w:color w:val="auto"/>
              </w:rPr>
            </w:pPr>
            <w:r>
              <w:rPr>
                <w:rFonts w:ascii="Times New Roman" w:cs="Times New Roman" w:eastAsia="Times New Roman" w:hAnsi="Times New Roman"/>
                <w:sz w:val="14"/>
                <w:szCs w:val="14"/>
                <w:color w:val="auto"/>
              </w:rPr>
              <w:t>89</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1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6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20" w:type="dxa"/>
            <w:vAlign w:val="bottom"/>
            <w:gridSpan w:val="2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c>
          <w:tcPr>
            <w:tcW w:w="760" w:type="dxa"/>
            <w:vAlign w:val="bottom"/>
            <w:vMerge w:val="restart"/>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rPr>
              <w:t>Form</w:t>
            </w:r>
          </w:p>
        </w:tc>
        <w:tc>
          <w:tcPr>
            <w:tcW w:w="13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File</w:t>
            </w: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Date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153"/>
        </w:trPr>
        <w:tc>
          <w:tcPr>
            <w:tcW w:w="11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5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23"/>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Herewith</w:t>
            </w:r>
          </w:p>
        </w:tc>
        <w:tc>
          <w:tcPr>
            <w:tcW w:w="0" w:type="dxa"/>
            <w:vAlign w:val="bottom"/>
          </w:tcPr>
          <w:p>
            <w:pPr>
              <w:spacing w:after="0"/>
              <w:rPr>
                <w:sz w:val="1"/>
                <w:szCs w:val="1"/>
                <w:color w:val="auto"/>
              </w:rPr>
            </w:pPr>
          </w:p>
        </w:tc>
      </w:tr>
      <w:tr>
        <w:trPr>
          <w:trHeight w:val="143"/>
        </w:trPr>
        <w:tc>
          <w:tcPr>
            <w:tcW w:w="11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10.12†</w:t>
            </w:r>
          </w:p>
        </w:tc>
        <w:tc>
          <w:tcPr>
            <w:tcW w:w="4700" w:type="dxa"/>
            <w:vAlign w:val="bottom"/>
            <w:gridSpan w:val="28"/>
          </w:tcPr>
          <w:p>
            <w:pPr>
              <w:spacing w:after="0" w:line="143"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First Amendment to the Amended and Restated License Agreement among the</w:t>
              </w:r>
            </w:hyperlink>
          </w:p>
        </w:tc>
        <w:tc>
          <w:tcPr>
            <w:tcW w:w="760" w:type="dxa"/>
            <w:vAlign w:val="bottom"/>
          </w:tcPr>
          <w:p>
            <w:pPr>
              <w:jc w:val="center"/>
              <w:ind w:right="91"/>
              <w:spacing w:after="0" w:line="143" w:lineRule="exact"/>
              <w:rPr>
                <w:sz w:val="20"/>
                <w:szCs w:val="20"/>
                <w:color w:val="auto"/>
              </w:rPr>
            </w:pPr>
            <w:r>
              <w:rPr>
                <w:rFonts w:ascii="Times New Roman" w:cs="Times New Roman" w:eastAsia="Times New Roman" w:hAnsi="Times New Roman"/>
                <w:sz w:val="14"/>
                <w:szCs w:val="14"/>
                <w:color w:val="auto"/>
                <w:w w:val="97"/>
              </w:rPr>
              <w:t>10-K</w:t>
            </w:r>
          </w:p>
        </w:tc>
        <w:tc>
          <w:tcPr>
            <w:tcW w:w="13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w w:val="98"/>
              </w:rPr>
              <w:t>001-39567</w:t>
            </w:r>
          </w:p>
        </w:tc>
        <w:tc>
          <w:tcPr>
            <w:tcW w:w="12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rPr>
              <w:t>03/11/2021</w:t>
            </w:r>
          </w:p>
        </w:tc>
        <w:tc>
          <w:tcPr>
            <w:tcW w:w="10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rPr>
              <w:t>10.13</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46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Registrant, F. Hoffmann-La Roche Ltd and Hoffmann-La Roche Inc., dated</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140" w:type="dxa"/>
            <w:vAlign w:val="bottom"/>
            <w:tcBorders>
              <w:top w:val="single" w:sz="8" w:color="0000FF"/>
              <w:bottom w:val="single" w:sz="8" w:color="0000FF"/>
            </w:tcBorders>
            <w:gridSpan w:val="3"/>
          </w:tcPr>
          <w:p>
            <w:pPr>
              <w:spacing w:after="0" w:line="129"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November 12, 2020</w:t>
              </w:r>
            </w:hyperlink>
          </w:p>
        </w:tc>
        <w:tc>
          <w:tcPr>
            <w:tcW w:w="3140" w:type="dxa"/>
            <w:vAlign w:val="bottom"/>
            <w:tcBorders>
              <w:top w:val="single" w:sz="8" w:color="0000FF"/>
            </w:tcBorders>
            <w:gridSpan w:val="16"/>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10.13†</w:t>
            </w:r>
          </w:p>
        </w:tc>
        <w:tc>
          <w:tcPr>
            <w:tcW w:w="4700" w:type="dxa"/>
            <w:vAlign w:val="bottom"/>
            <w:gridSpan w:val="28"/>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Collaboration and License Agreement between the Registrant and Calico Life</w:t>
              </w:r>
            </w:hyperlink>
          </w:p>
        </w:tc>
        <w:tc>
          <w:tcPr>
            <w:tcW w:w="76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09/10/2020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212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Sciences LLC, dated March 13, 2017</w:t>
              </w:r>
            </w:hyperlink>
          </w:p>
        </w:tc>
        <w:tc>
          <w:tcPr>
            <w:tcW w:w="2280" w:type="dxa"/>
            <w:vAlign w:val="bottom"/>
            <w:tcBorders>
              <w:top w:val="single" w:sz="8" w:color="0000FF"/>
            </w:tcBorders>
            <w:gridSpan w:val="1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10.14</w:t>
            </w:r>
          </w:p>
        </w:tc>
        <w:tc>
          <w:tcPr>
            <w:tcW w:w="4700" w:type="dxa"/>
            <w:vAlign w:val="bottom"/>
            <w:gridSpan w:val="28"/>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Lease by 480 Arsenal Group LLC to the Registrant, dated July 5, 2017, as</w:t>
              </w:r>
            </w:hyperlink>
          </w:p>
        </w:tc>
        <w:tc>
          <w:tcPr>
            <w:tcW w:w="76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09/10/2020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10.14</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52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amended</w:t>
              </w:r>
            </w:hyperlink>
          </w:p>
        </w:tc>
        <w:tc>
          <w:tcPr>
            <w:tcW w:w="3680" w:type="dxa"/>
            <w:vAlign w:val="bottom"/>
            <w:tcBorders>
              <w:top w:val="single" w:sz="8" w:color="0000FF"/>
            </w:tcBorders>
            <w:gridSpan w:val="16"/>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10.15</w:t>
            </w:r>
          </w:p>
        </w:tc>
        <w:tc>
          <w:tcPr>
            <w:tcW w:w="4700" w:type="dxa"/>
            <w:vAlign w:val="bottom"/>
            <w:gridSpan w:val="28"/>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Third Amendment to Lease, dated November 24, 2021, by and between C4</w:t>
              </w:r>
            </w:hyperlink>
          </w:p>
        </w:tc>
        <w:tc>
          <w:tcPr>
            <w:tcW w:w="76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001-39567</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11/30/2021</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260" w:type="dxa"/>
            <w:vAlign w:val="bottom"/>
            <w:tcBorders>
              <w:top w:val="single" w:sz="8" w:color="0000FF"/>
              <w:bottom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Therapeutics, Inc. and Columbia Massachusetts Arsenal Office Properties,</w:t>
              </w:r>
            </w:hyperlink>
          </w:p>
        </w:tc>
        <w:tc>
          <w:tcPr>
            <w:tcW w:w="280" w:type="dxa"/>
            <w:vAlign w:val="bottom"/>
            <w:tcBorders>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LLC</w:t>
              </w:r>
            </w:hyperlink>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10.16†</w:t>
            </w:r>
          </w:p>
        </w:tc>
        <w:tc>
          <w:tcPr>
            <w:tcW w:w="4700" w:type="dxa"/>
            <w:vAlign w:val="bottom"/>
            <w:gridSpan w:val="28"/>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License and Collaboration Agreement, dated May 29, 2023, by and between C4</w:t>
              </w:r>
            </w:hyperlink>
          </w:p>
        </w:tc>
        <w:tc>
          <w:tcPr>
            <w:tcW w:w="76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001-39567</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05/30/2023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310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Therapeutics, Inc. and Betta Pharmaceuticals Co., Ltd.</w:t>
              </w:r>
            </w:hyperlink>
          </w:p>
        </w:tc>
        <w:tc>
          <w:tcPr>
            <w:tcW w:w="142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10.17†</w:t>
            </w:r>
          </w:p>
        </w:tc>
        <w:tc>
          <w:tcPr>
            <w:tcW w:w="382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Stock Purchase Agreement, dated May 29, 2023, by and among C4</w:t>
              </w:r>
            </w:hyperlink>
          </w:p>
        </w:tc>
        <w:tc>
          <w:tcPr>
            <w:tcW w:w="880" w:type="dxa"/>
            <w:vAlign w:val="bottom"/>
            <w:gridSpan w:val="17"/>
          </w:tcPr>
          <w:p>
            <w:pPr>
              <w:spacing w:after="0"/>
              <w:rPr>
                <w:sz w:val="21"/>
                <w:szCs w:val="21"/>
                <w:color w:val="auto"/>
              </w:rPr>
            </w:pPr>
          </w:p>
        </w:tc>
        <w:tc>
          <w:tcPr>
            <w:tcW w:w="76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001-39567</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05/30/2023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700" w:type="dxa"/>
            <w:vAlign w:val="bottom"/>
            <w:gridSpan w:val="28"/>
          </w:tcPr>
          <w:p>
            <w:pPr>
              <w:spacing w:after="0" w:line="118"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Therapeutics, Inc., Betta Pharmaceuticals Co., Ltd. and Betta Investment (Hong</w:t>
              </w:r>
            </w:hyperlink>
          </w:p>
        </w:tc>
        <w:tc>
          <w:tcPr>
            <w:tcW w:w="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540" w:type="dxa"/>
            <w:vAlign w:val="bottom"/>
            <w:tcBorders>
              <w:top w:val="single" w:sz="8" w:color="0000FF"/>
            </w:tcBorders>
            <w:gridSpan w:val="27"/>
          </w:tcPr>
          <w:p>
            <w:pPr>
              <w:spacing w:after="0" w:line="129" w:lineRule="exact"/>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Kong) Limited.</w:t>
              </w:r>
            </w:hyperlink>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10.18†</w:t>
            </w:r>
          </w:p>
        </w:tc>
        <w:tc>
          <w:tcPr>
            <w:tcW w:w="4700" w:type="dxa"/>
            <w:vAlign w:val="bottom"/>
            <w:gridSpan w:val="28"/>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License and Collaboration Agreement, dated December 11, 2023, by and</w:t>
              </w:r>
            </w:hyperlink>
          </w:p>
        </w:tc>
        <w:tc>
          <w:tcPr>
            <w:tcW w:w="76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001-39567</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02/24/2024</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10.18</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364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between C4 Therapeutics, Inc. and Merck Sharp &amp; Dohme LLC</w:t>
              </w:r>
            </w:hyperlink>
          </w:p>
        </w:tc>
        <w:tc>
          <w:tcPr>
            <w:tcW w:w="500" w:type="dxa"/>
            <w:vAlign w:val="bottom"/>
            <w:tcBorders>
              <w:top w:val="single" w:sz="8" w:color="0000FF"/>
            </w:tcBorders>
            <w:gridSpan w:val="5"/>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4"/>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200" w:type="dxa"/>
            <w:vAlign w:val="bottom"/>
            <w:gridSpan w:val="3"/>
          </w:tcPr>
          <w:p>
            <w:pPr>
              <w:spacing w:after="0"/>
              <w:rPr>
                <w:sz w:val="10"/>
                <w:szCs w:val="10"/>
                <w:color w:val="auto"/>
              </w:rPr>
            </w:pPr>
          </w:p>
        </w:tc>
        <w:tc>
          <w:tcPr>
            <w:tcW w:w="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10.19†</w:t>
            </w:r>
          </w:p>
        </w:tc>
        <w:tc>
          <w:tcPr>
            <w:tcW w:w="4700" w:type="dxa"/>
            <w:vAlign w:val="bottom"/>
            <w:gridSpan w:val="28"/>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Research Collaboration and License Agreement dated March 1, 2024, by and</w:t>
              </w:r>
            </w:hyperlink>
          </w:p>
        </w:tc>
        <w:tc>
          <w:tcPr>
            <w:tcW w:w="76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001-39567</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05/08/2024</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38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between C4 Therapeutics, Inc., and Merck KGaA, Darmstadt, Germany</w:t>
              </w:r>
            </w:hyperlink>
          </w:p>
        </w:tc>
        <w:tc>
          <w:tcPr>
            <w:tcW w:w="4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200" w:type="dxa"/>
            <w:vAlign w:val="bottom"/>
            <w:gridSpan w:val="3"/>
          </w:tcPr>
          <w:p>
            <w:pPr>
              <w:spacing w:after="0"/>
              <w:rPr>
                <w:sz w:val="10"/>
                <w:szCs w:val="10"/>
                <w:color w:val="auto"/>
              </w:rPr>
            </w:pPr>
          </w:p>
        </w:tc>
        <w:tc>
          <w:tcPr>
            <w:tcW w:w="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10.20</w:t>
            </w:r>
          </w:p>
        </w:tc>
        <w:tc>
          <w:tcPr>
            <w:tcW w:w="4700" w:type="dxa"/>
            <w:vAlign w:val="bottom"/>
            <w:gridSpan w:val="28"/>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Consulting Agreement dated as of October 15, 2024, between C4 Therapeutics,</w:t>
              </w:r>
            </w:hyperlink>
          </w:p>
        </w:tc>
        <w:tc>
          <w:tcPr>
            <w:tcW w:w="76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001-39567</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10/16/2024</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132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Inc. and Stewart Fisher</w:t>
              </w:r>
            </w:hyperlink>
          </w:p>
        </w:tc>
        <w:tc>
          <w:tcPr>
            <w:tcW w:w="3180" w:type="dxa"/>
            <w:vAlign w:val="bottom"/>
            <w:tcBorders>
              <w:top w:val="single" w:sz="8" w:color="0000FF"/>
            </w:tcBorders>
            <w:gridSpan w:val="21"/>
          </w:tcPr>
          <w:p>
            <w:pPr>
              <w:spacing w:after="0"/>
              <w:rPr>
                <w:sz w:val="10"/>
                <w:szCs w:val="10"/>
                <w:color w:val="auto"/>
              </w:rPr>
            </w:pPr>
          </w:p>
        </w:tc>
        <w:tc>
          <w:tcPr>
            <w:tcW w:w="200" w:type="dxa"/>
            <w:vAlign w:val="bottom"/>
            <w:gridSpan w:val="3"/>
          </w:tcPr>
          <w:p>
            <w:pPr>
              <w:spacing w:after="0"/>
              <w:rPr>
                <w:sz w:val="10"/>
                <w:szCs w:val="10"/>
                <w:color w:val="auto"/>
              </w:rPr>
            </w:pPr>
          </w:p>
        </w:tc>
        <w:tc>
          <w:tcPr>
            <w:tcW w:w="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10.21#</w:t>
            </w:r>
          </w:p>
        </w:tc>
        <w:tc>
          <w:tcPr>
            <w:tcW w:w="390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Form of Non-Qualified Stock Option Agreement Inducement Award</w:t>
              </w:r>
            </w:hyperlink>
          </w:p>
        </w:tc>
        <w:tc>
          <w:tcPr>
            <w:tcW w:w="800" w:type="dxa"/>
            <w:vAlign w:val="bottom"/>
            <w:gridSpan w:val="15"/>
          </w:tcPr>
          <w:p>
            <w:pPr>
              <w:spacing w:after="0"/>
              <w:rPr>
                <w:sz w:val="24"/>
                <w:szCs w:val="24"/>
                <w:color w:val="auto"/>
              </w:rPr>
            </w:pPr>
          </w:p>
        </w:tc>
        <w:tc>
          <w:tcPr>
            <w:tcW w:w="76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001-39567</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02/22/2024</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10.19</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19.0</w:t>
            </w:r>
          </w:p>
        </w:tc>
        <w:tc>
          <w:tcPr>
            <w:tcW w:w="470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Company Policy on Insider Trading and Disclosure, Special Trading</w:t>
            </w:r>
          </w:p>
        </w:tc>
        <w:tc>
          <w:tcPr>
            <w:tcW w:w="7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3500" w:type="dxa"/>
            <w:vAlign w:val="bottom"/>
            <w:tcBorders>
              <w:top w:val="single" w:sz="8" w:color="0000FF"/>
              <w:bottom w:val="single" w:sz="8" w:color="0000FF"/>
            </w:tcBorders>
            <w:gridSpan w:val="9"/>
          </w:tcPr>
          <w:p>
            <w:pPr>
              <w:spacing w:after="0" w:line="118" w:lineRule="exact"/>
              <w:rPr>
                <w:sz w:val="20"/>
                <w:szCs w:val="20"/>
                <w:color w:val="auto"/>
              </w:rPr>
            </w:pPr>
            <w:r>
              <w:rPr>
                <w:rFonts w:ascii="Times New Roman" w:cs="Times New Roman" w:eastAsia="Times New Roman" w:hAnsi="Times New Roman"/>
                <w:sz w:val="13"/>
                <w:szCs w:val="13"/>
                <w:color w:val="0000FF"/>
              </w:rPr>
              <w:t>Procedures for Insiders, and Rule 10b5-1 Trading Plan Policy</w:t>
            </w:r>
          </w:p>
        </w:tc>
        <w:tc>
          <w:tcPr>
            <w:tcW w:w="380" w:type="dxa"/>
            <w:vAlign w:val="bottom"/>
            <w:tcBorders>
              <w:top w:val="single" w:sz="8" w:color="0000FF"/>
            </w:tcBorders>
            <w:gridSpan w:val="3"/>
          </w:tcPr>
          <w:p>
            <w:pPr>
              <w:spacing w:after="0"/>
              <w:rPr>
                <w:sz w:val="10"/>
                <w:szCs w:val="10"/>
                <w:color w:val="auto"/>
              </w:rPr>
            </w:pPr>
          </w:p>
        </w:tc>
        <w:tc>
          <w:tcPr>
            <w:tcW w:w="280" w:type="dxa"/>
            <w:vAlign w:val="bottom"/>
            <w:gridSpan w:val="4"/>
          </w:tcPr>
          <w:p>
            <w:pPr>
              <w:spacing w:after="0"/>
              <w:rPr>
                <w:sz w:val="10"/>
                <w:szCs w:val="10"/>
                <w:color w:val="auto"/>
              </w:rPr>
            </w:pPr>
          </w:p>
        </w:tc>
        <w:tc>
          <w:tcPr>
            <w:tcW w:w="160" w:type="dxa"/>
            <w:vAlign w:val="bottom"/>
            <w:gridSpan w:val="4"/>
          </w:tcPr>
          <w:p>
            <w:pPr>
              <w:spacing w:after="0"/>
              <w:rPr>
                <w:sz w:val="10"/>
                <w:szCs w:val="10"/>
                <w:color w:val="auto"/>
              </w:rPr>
            </w:pPr>
          </w:p>
        </w:tc>
        <w:tc>
          <w:tcPr>
            <w:tcW w:w="100" w:type="dxa"/>
            <w:vAlign w:val="bottom"/>
            <w:gridSpan w:val="3"/>
          </w:tcPr>
          <w:p>
            <w:pPr>
              <w:spacing w:after="0"/>
              <w:rPr>
                <w:sz w:val="10"/>
                <w:szCs w:val="10"/>
                <w:color w:val="auto"/>
              </w:rPr>
            </w:pPr>
          </w:p>
        </w:tc>
        <w:tc>
          <w:tcPr>
            <w:tcW w:w="280" w:type="dxa"/>
            <w:vAlign w:val="bottom"/>
            <w:gridSpan w:val="5"/>
          </w:tcPr>
          <w:p>
            <w:pPr>
              <w:spacing w:after="0"/>
              <w:rPr>
                <w:sz w:val="10"/>
                <w:szCs w:val="10"/>
                <w:color w:val="auto"/>
              </w:rPr>
            </w:pPr>
          </w:p>
        </w:tc>
        <w:tc>
          <w:tcPr>
            <w:tcW w:w="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21.1</w:t>
            </w:r>
          </w:p>
        </w:tc>
        <w:tc>
          <w:tcPr>
            <w:tcW w:w="16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Subsidiaries of the Registrant</w:t>
            </w:r>
          </w:p>
        </w:tc>
        <w:tc>
          <w:tcPr>
            <w:tcW w:w="3020" w:type="dxa"/>
            <w:vAlign w:val="bottom"/>
            <w:gridSpan w:val="23"/>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3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23.1</w:t>
            </w:r>
          </w:p>
        </w:tc>
        <w:tc>
          <w:tcPr>
            <w:tcW w:w="41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Consent of KPMG LLP, Independent Registered Public Accounting Firm</w:t>
            </w:r>
          </w:p>
        </w:tc>
        <w:tc>
          <w:tcPr>
            <w:tcW w:w="540" w:type="dxa"/>
            <w:vAlign w:val="bottom"/>
            <w:gridSpan w:val="12"/>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3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470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w:t>
            </w: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320" w:type="dxa"/>
            <w:vAlign w:val="bottom"/>
            <w:tcBorders>
              <w:top w:val="single" w:sz="8" w:color="0000FF"/>
            </w:tcBorders>
            <w:gridSpan w:val="20"/>
          </w:tcPr>
          <w:p>
            <w:pPr>
              <w:spacing w:after="0" w:line="118" w:lineRule="exact"/>
              <w:rPr>
                <w:sz w:val="20"/>
                <w:szCs w:val="20"/>
                <w:color w:val="auto"/>
              </w:rPr>
            </w:pPr>
            <w:r>
              <w:rPr>
                <w:rFonts w:ascii="Times New Roman" w:cs="Times New Roman" w:eastAsia="Times New Roman" w:hAnsi="Times New Roman"/>
                <w:sz w:val="13"/>
                <w:szCs w:val="13"/>
                <w:color w:val="0000FF"/>
              </w:rPr>
              <w:t>15d-14(a) under the Securities Exchange Act of 1934, as Adopted Pursuant</w:t>
            </w:r>
          </w:p>
        </w:tc>
        <w:tc>
          <w:tcPr>
            <w:tcW w:w="380" w:type="dxa"/>
            <w:vAlign w:val="bottom"/>
            <w:gridSpan w:val="8"/>
          </w:tcPr>
          <w:p>
            <w:pPr>
              <w:spacing w:after="0" w:line="118" w:lineRule="exact"/>
              <w:rPr>
                <w:sz w:val="20"/>
                <w:szCs w:val="20"/>
                <w:color w:val="auto"/>
              </w:rPr>
            </w:pPr>
            <w:r>
              <w:rPr>
                <w:rFonts w:ascii="Times New Roman" w:cs="Times New Roman" w:eastAsia="Times New Roman" w:hAnsi="Times New Roman"/>
                <w:sz w:val="13"/>
                <w:szCs w:val="13"/>
                <w:color w:val="0000FF"/>
              </w:rPr>
              <w:t>to</w:t>
            </w:r>
          </w:p>
        </w:tc>
        <w:tc>
          <w:tcPr>
            <w:tcW w:w="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420" w:type="dxa"/>
            <w:vAlign w:val="bottom"/>
            <w:tcBorders>
              <w:top w:val="single" w:sz="8" w:color="0000FF"/>
            </w:tcBorders>
            <w:gridSpan w:val="23"/>
          </w:tcPr>
          <w:p>
            <w:pPr>
              <w:spacing w:after="0" w:line="129" w:lineRule="exact"/>
              <w:rPr>
                <w:sz w:val="20"/>
                <w:szCs w:val="20"/>
                <w:color w:val="auto"/>
              </w:rPr>
            </w:pPr>
            <w:r>
              <w:rPr>
                <w:rFonts w:ascii="Times New Roman" w:cs="Times New Roman" w:eastAsia="Times New Roman" w:hAnsi="Times New Roman"/>
                <w:sz w:val="14"/>
                <w:szCs w:val="14"/>
                <w:color w:val="0000FF"/>
              </w:rPr>
              <w:t>Section 302 of the Sarbanes-Oxley Act of 2002</w:t>
            </w:r>
          </w:p>
        </w:tc>
        <w:tc>
          <w:tcPr>
            <w:tcW w:w="280" w:type="dxa"/>
            <w:vAlign w:val="bottom"/>
            <w:gridSpan w:val="5"/>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80" w:type="dxa"/>
            <w:vAlign w:val="bottom"/>
            <w:gridSpan w:val="7"/>
            <w:shd w:val="clear" w:color="auto" w:fill="0000FF"/>
          </w:tcPr>
          <w:p>
            <w:pPr>
              <w:spacing w:after="0" w:line="20" w:lineRule="exact"/>
              <w:rPr>
                <w:sz w:val="1"/>
                <w:szCs w:val="1"/>
                <w:color w:val="auto"/>
              </w:rPr>
            </w:pPr>
          </w:p>
        </w:tc>
        <w:tc>
          <w:tcPr>
            <w:tcW w:w="2020" w:type="dxa"/>
            <w:vAlign w:val="bottom"/>
            <w:gridSpan w:val="2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4700" w:type="dxa"/>
            <w:vAlign w:val="bottom"/>
            <w:gridSpan w:val="28"/>
          </w:tcPr>
          <w:p>
            <w:pPr>
              <w:spacing w:after="0"/>
              <w:rPr>
                <w:sz w:val="20"/>
                <w:szCs w:val="20"/>
                <w:color w:val="auto"/>
              </w:rPr>
            </w:pPr>
            <w:r>
              <w:rPr>
                <w:rFonts w:ascii="Times New Roman" w:cs="Times New Roman" w:eastAsia="Times New Roman" w:hAnsi="Times New Roman"/>
                <w:sz w:val="14"/>
                <w:szCs w:val="14"/>
                <w:u w:val="single" w:color="auto"/>
                <w:color w:val="0000FF"/>
              </w:rPr>
              <w:t>Certification of Principal Financial Officer Pursuant to Rules 13a-14(a) and</w:t>
            </w: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bl>
    <w:p>
      <w:pPr>
        <w:ind w:left="1160"/>
        <w:spacing w:after="0" w:line="221" w:lineRule="auto"/>
        <w:rPr>
          <w:sz w:val="20"/>
          <w:szCs w:val="20"/>
          <w:color w:val="auto"/>
        </w:rPr>
      </w:pPr>
      <w:r>
        <w:rPr>
          <w:rFonts w:ascii="Times New Roman" w:cs="Times New Roman" w:eastAsia="Times New Roman" w:hAnsi="Times New Roman"/>
          <w:sz w:val="14"/>
          <w:szCs w:val="14"/>
          <w:u w:val="single" w:color="auto"/>
          <w:color w:val="0000FF"/>
        </w:rPr>
        <w:t>15d-14(a) under the Securities Exchange Act of 1934, as Adopted Pursuant to</w:t>
      </w:r>
    </w:p>
    <w:p>
      <w:pPr>
        <w:ind w:left="1160"/>
        <w:spacing w:after="0"/>
        <w:rPr>
          <w:sz w:val="20"/>
          <w:szCs w:val="20"/>
          <w:color w:val="auto"/>
        </w:rPr>
      </w:pPr>
      <w:r>
        <w:rPr>
          <w:rFonts w:ascii="Times New Roman" w:cs="Times New Roman" w:eastAsia="Times New Roman" w:hAnsi="Times New Roman"/>
          <w:sz w:val="14"/>
          <w:szCs w:val="14"/>
          <w:u w:val="single" w:color="auto"/>
          <w:color w:val="0000FF"/>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6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4680" w:type="dxa"/>
            <w:vAlign w:val="bottom"/>
            <w:gridSpan w:val="6"/>
            <w:vMerge w:val="restart"/>
          </w:tcPr>
          <w:p>
            <w:pPr>
              <w:ind w:left="174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File</w:t>
            </w:r>
          </w:p>
        </w:tc>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Date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153"/>
        </w:trPr>
        <w:tc>
          <w:tcPr>
            <w:tcW w:w="11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4680" w:type="dxa"/>
            <w:vAlign w:val="bottom"/>
            <w:tcBorders>
              <w:bottom w:val="single" w:sz="8" w:color="auto"/>
            </w:tcBorders>
            <w:gridSpan w:val="6"/>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Herewith</w:t>
            </w:r>
          </w:p>
        </w:tc>
        <w:tc>
          <w:tcPr>
            <w:tcW w:w="0" w:type="dxa"/>
            <w:vAlign w:val="bottom"/>
          </w:tcPr>
          <w:p>
            <w:pPr>
              <w:spacing w:after="0"/>
              <w:rPr>
                <w:sz w:val="1"/>
                <w:szCs w:val="1"/>
                <w:color w:val="auto"/>
              </w:rPr>
            </w:pPr>
          </w:p>
        </w:tc>
      </w:tr>
      <w:tr>
        <w:trPr>
          <w:trHeight w:val="143"/>
        </w:trPr>
        <w:tc>
          <w:tcPr>
            <w:tcW w:w="11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32.1*</w:t>
            </w:r>
          </w:p>
        </w:tc>
        <w:tc>
          <w:tcPr>
            <w:tcW w:w="4680" w:type="dxa"/>
            <w:vAlign w:val="bottom"/>
            <w:gridSpan w:val="6"/>
          </w:tcPr>
          <w:p>
            <w:pPr>
              <w:spacing w:after="0" w:line="143"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w:t>
            </w:r>
          </w:p>
        </w:tc>
        <w:tc>
          <w:tcPr>
            <w:tcW w:w="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160" w:type="dxa"/>
            <w:vAlign w:val="bottom"/>
          </w:tcPr>
          <w:p>
            <w:pPr>
              <w:spacing w:after="0"/>
              <w:rPr>
                <w:sz w:val="10"/>
                <w:szCs w:val="10"/>
                <w:color w:val="auto"/>
              </w:rPr>
            </w:pPr>
          </w:p>
        </w:tc>
        <w:tc>
          <w:tcPr>
            <w:tcW w:w="4400" w:type="dxa"/>
            <w:vAlign w:val="bottom"/>
            <w:tcBorders>
              <w:bottom w:val="single" w:sz="8" w:color="0000FF"/>
            </w:tcBorders>
            <w:gridSpan w:val="4"/>
          </w:tcPr>
          <w:p>
            <w:pPr>
              <w:spacing w:after="0" w:line="118" w:lineRule="exact"/>
              <w:rPr>
                <w:sz w:val="20"/>
                <w:szCs w:val="20"/>
                <w:color w:val="auto"/>
              </w:rPr>
            </w:pPr>
            <w:r>
              <w:rPr>
                <w:rFonts w:ascii="Times New Roman" w:cs="Times New Roman" w:eastAsia="Times New Roman" w:hAnsi="Times New Roman"/>
                <w:sz w:val="13"/>
                <w:szCs w:val="13"/>
                <w:color w:val="0000FF"/>
              </w:rPr>
              <w:t>1350, as Adopted Pursuant to Section 906 of the Sarbanes-Oxley Act of 2002</w:t>
            </w:r>
          </w:p>
        </w:tc>
        <w:tc>
          <w:tcPr>
            <w:tcW w:w="280" w:type="dxa"/>
            <w:vAlign w:val="bottom"/>
            <w:gridSpan w:val="2"/>
          </w:tcPr>
          <w:p>
            <w:pPr>
              <w:spacing w:after="0"/>
              <w:rPr>
                <w:sz w:val="10"/>
                <w:szCs w:val="10"/>
                <w:color w:val="auto"/>
              </w:rPr>
            </w:pPr>
          </w:p>
        </w:tc>
        <w:tc>
          <w:tcPr>
            <w:tcW w:w="8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468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 1350,</w:t>
            </w:r>
          </w:p>
        </w:tc>
        <w:tc>
          <w:tcPr>
            <w:tcW w:w="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040" w:type="dxa"/>
            <w:vAlign w:val="bottom"/>
            <w:tcBorders>
              <w:top w:val="single" w:sz="8" w:color="0000FF"/>
              <w:bottom w:val="single" w:sz="8" w:color="0000FF"/>
            </w:tcBorders>
            <w:gridSpan w:val="2"/>
          </w:tcPr>
          <w:p>
            <w:pPr>
              <w:spacing w:after="0" w:line="118" w:lineRule="exact"/>
              <w:rPr>
                <w:sz w:val="20"/>
                <w:szCs w:val="20"/>
                <w:color w:val="auto"/>
              </w:rPr>
            </w:pPr>
            <w:r>
              <w:rPr>
                <w:rFonts w:ascii="Times New Roman" w:cs="Times New Roman" w:eastAsia="Times New Roman" w:hAnsi="Times New Roman"/>
                <w:sz w:val="13"/>
                <w:szCs w:val="13"/>
                <w:color w:val="0000FF"/>
              </w:rPr>
              <w:t>as Adopted Pursuant to Section 906 of the Sarbanes-Oxley Act of 2002</w:t>
            </w:r>
          </w:p>
        </w:tc>
        <w:tc>
          <w:tcPr>
            <w:tcW w:w="460" w:type="dxa"/>
            <w:vAlign w:val="bottom"/>
            <w:tcBorders>
              <w:top w:val="single" w:sz="8" w:color="0000FF"/>
            </w:tcBorders>
            <w:gridSpan w:val="3"/>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97</w:t>
            </w:r>
          </w:p>
        </w:tc>
        <w:tc>
          <w:tcPr>
            <w:tcW w:w="2420" w:type="dxa"/>
            <w:vAlign w:val="bottom"/>
            <w:tcBorders>
              <w:bottom w:val="single" w:sz="8" w:color="0000FF"/>
            </w:tcBorders>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Executive Compensation Clawback Policy</w:t>
              </w:r>
            </w:hyperlink>
          </w:p>
        </w:tc>
        <w:tc>
          <w:tcPr>
            <w:tcW w:w="2260" w:type="dxa"/>
            <w:vAlign w:val="bottom"/>
            <w:gridSpan w:val="5"/>
          </w:tcPr>
          <w:p>
            <w:pPr>
              <w:spacing w:after="0"/>
              <w:rPr>
                <w:sz w:val="21"/>
                <w:szCs w:val="21"/>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001-39567</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02/22/2024</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97</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46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8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5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46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5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46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5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46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6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46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8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76"/>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46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8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1160" w:right="5860" w:hanging="1141"/>
        <w:spacing w:after="0" w:line="271" w:lineRule="auto"/>
        <w:tabs>
          <w:tab w:leader="none" w:pos="11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document and contained in Exhibit 101)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w:t>
      </w:r>
    </w:p>
    <w:p>
      <w:pPr>
        <w:spacing w:after="0" w:line="125" w:lineRule="exact"/>
        <w:rPr>
          <w:sz w:val="20"/>
          <w:szCs w:val="20"/>
          <w:color w:val="auto"/>
        </w:rPr>
      </w:pPr>
    </w:p>
    <w:p>
      <w:pPr>
        <w:ind w:left="360" w:hanging="341"/>
        <w:spacing w:after="0"/>
        <w:tabs>
          <w:tab w:leader="none" w:pos="3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any compensatory plan, contract or arrangement.</w:t>
      </w:r>
    </w:p>
    <w:p>
      <w:pPr>
        <w:spacing w:after="0" w:line="23" w:lineRule="exact"/>
        <w:rPr>
          <w:sz w:val="20"/>
          <w:szCs w:val="20"/>
          <w:color w:val="auto"/>
        </w:rPr>
      </w:pPr>
    </w:p>
    <w:p>
      <w:pPr>
        <w:ind w:left="360" w:hanging="341"/>
        <w:spacing w:after="0"/>
        <w:tabs>
          <w:tab w:leader="none" w:pos="3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(indicated by asterisks) will be omitted in accordance with the rules of the Securities and Exchange Commission.</w:t>
      </w:r>
    </w:p>
    <w:p>
      <w:pPr>
        <w:spacing w:after="0" w:line="19" w:lineRule="exact"/>
        <w:rPr>
          <w:sz w:val="20"/>
          <w:szCs w:val="20"/>
          <w:color w:val="auto"/>
        </w:rPr>
      </w:pPr>
    </w:p>
    <w:p>
      <w:pPr>
        <w:ind w:left="360" w:right="180" w:hanging="341"/>
        <w:spacing w:after="0" w:line="226" w:lineRule="auto"/>
        <w:tabs>
          <w:tab w:leader="none" w:pos="3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 32.1 and 32.2 are being furnished and shall not be deemed to be “filed” for purposes of Section 18 of the Exchange Act, or otherwise subject to the liability of that section, nor shall such exhibit be deemed to be incorporated by reference in any registration statement or other document filed under the Securities Act, or the Exchange Act, except as otherwise stated in such filing.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4"/>
          <w:szCs w:val="14"/>
          <w:b w:val="1"/>
          <w:bCs w:val="1"/>
          <w:color w:val="auto"/>
        </w:rPr>
        <w:t>.</w:t>
      </w:r>
    </w:p>
    <w:p>
      <w:pPr>
        <w:spacing w:after="0" w:line="8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C4 Therapeutics, Inc.</w:t>
      </w:r>
    </w:p>
    <w:p>
      <w:pPr>
        <w:spacing w:after="0" w:line="253" w:lineRule="exact"/>
        <w:rPr>
          <w:sz w:val="20"/>
          <w:szCs w:val="20"/>
          <w:color w:val="auto"/>
        </w:rPr>
      </w:pPr>
    </w:p>
    <w:p>
      <w:pPr>
        <w:ind w:left="20"/>
        <w:spacing w:after="0"/>
        <w:tabs>
          <w:tab w:leader="none" w:pos="5360" w:val="left"/>
          <w:tab w:leader="none" w:pos="8000" w:val="left"/>
        </w:tabs>
        <w:rPr>
          <w:sz w:val="20"/>
          <w:szCs w:val="20"/>
          <w:color w:val="auto"/>
        </w:rPr>
      </w:pPr>
      <w:r>
        <w:rPr>
          <w:rFonts w:ascii="Times New Roman" w:cs="Times New Roman" w:eastAsia="Times New Roman" w:hAnsi="Times New Roman"/>
          <w:sz w:val="14"/>
          <w:szCs w:val="14"/>
          <w:color w:val="auto"/>
        </w:rPr>
        <w:t>Date: February 27,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Andrew J.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21590</wp:posOffset>
            </wp:positionV>
            <wp:extent cx="339534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extLst>
                        <a:ext uri="{28A0092B-C50C-407E-A947-70E740481C1C}"/>
                      </a:extLst>
                    </a:blip>
                    <a:srcRect/>
                    <a:stretch>
                      <a:fillRect/>
                    </a:stretch>
                  </pic:blipFill>
                  <pic:spPr bwMode="auto">
                    <a:xfrm>
                      <a:off x="0" y="0"/>
                      <a:ext cx="3395345" cy="6985"/>
                    </a:xfrm>
                    <a:prstGeom prst="rect">
                      <a:avLst/>
                    </a:prstGeom>
                    <a:noFill/>
                  </pic:spPr>
                </pic:pic>
              </a:graphicData>
            </a:graphic>
          </wp:anchor>
        </w:drawing>
      </w:r>
    </w:p>
    <w:p>
      <w:pPr>
        <w:spacing w:after="0" w:line="29"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4"/>
          <w:szCs w:val="14"/>
          <w:b w:val="1"/>
          <w:bCs w:val="1"/>
          <w:color w:val="auto"/>
        </w:rPr>
        <w:t>Andrew J. Hirsch</w:t>
      </w:r>
    </w:p>
    <w:p>
      <w:pPr>
        <w:spacing w:after="0" w:line="41"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this Report has been signed below by the following persons on behalf of the Registrant in the capacities and on the dates indicated.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Name</w:t>
            </w:r>
          </w:p>
        </w:tc>
        <w:tc>
          <w:tcPr>
            <w:tcW w:w="80" w:type="dxa"/>
            <w:vAlign w:val="bottom"/>
          </w:tcPr>
          <w:p>
            <w:pPr>
              <w:spacing w:after="0"/>
              <w:rPr>
                <w:sz w:val="13"/>
                <w:szCs w:val="13"/>
                <w:color w:val="auto"/>
              </w:rPr>
            </w:pPr>
          </w:p>
        </w:tc>
        <w:tc>
          <w:tcPr>
            <w:tcW w:w="578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00" w:type="dxa"/>
            <w:vAlign w:val="bottom"/>
          </w:tcPr>
          <w:p>
            <w:pPr>
              <w:spacing w:after="0"/>
              <w:rPr>
                <w:sz w:val="13"/>
                <w:szCs w:val="13"/>
                <w:color w:val="auto"/>
              </w:rPr>
            </w:pPr>
          </w:p>
        </w:tc>
        <w:tc>
          <w:tcPr>
            <w:tcW w:w="19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286"/>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Andrew J. Hirsch</w:t>
            </w:r>
          </w:p>
        </w:tc>
        <w:tc>
          <w:tcPr>
            <w:tcW w:w="80" w:type="dxa"/>
            <w:vAlign w:val="bottom"/>
          </w:tcPr>
          <w:p>
            <w:pPr>
              <w:spacing w:after="0"/>
              <w:rPr>
                <w:sz w:val="24"/>
                <w:szCs w:val="24"/>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6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Andrew J. Hirsch</w:t>
            </w:r>
          </w:p>
        </w:tc>
        <w:tc>
          <w:tcPr>
            <w:tcW w:w="80" w:type="dxa"/>
            <w:vAlign w:val="bottom"/>
          </w:tcPr>
          <w:p>
            <w:pPr>
              <w:spacing w:after="0"/>
              <w:rPr>
                <w:sz w:val="14"/>
                <w:szCs w:val="14"/>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920" w:type="dxa"/>
            <w:vAlign w:val="bottom"/>
          </w:tcPr>
          <w:p>
            <w:pPr>
              <w:spacing w:after="0"/>
              <w:rPr>
                <w:sz w:val="14"/>
                <w:szCs w:val="14"/>
                <w:color w:val="auto"/>
              </w:rPr>
            </w:pPr>
          </w:p>
        </w:tc>
      </w:tr>
      <w:tr>
        <w:trPr>
          <w:trHeight w:val="18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Kendra R. Adams</w:t>
            </w:r>
          </w:p>
        </w:tc>
        <w:tc>
          <w:tcPr>
            <w:tcW w:w="80" w:type="dxa"/>
            <w:vAlign w:val="bottom"/>
          </w:tcPr>
          <w:p>
            <w:pPr>
              <w:spacing w:after="0"/>
              <w:rPr>
                <w:sz w:val="16"/>
                <w:szCs w:val="16"/>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Financial Officer and Treasurer</w:t>
            </w:r>
          </w:p>
        </w:tc>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6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Kendra R. Adams</w:t>
            </w:r>
          </w:p>
        </w:tc>
        <w:tc>
          <w:tcPr>
            <w:tcW w:w="80" w:type="dxa"/>
            <w:vAlign w:val="bottom"/>
          </w:tcPr>
          <w:p>
            <w:pPr>
              <w:spacing w:after="0"/>
              <w:rPr>
                <w:sz w:val="14"/>
                <w:szCs w:val="14"/>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920" w:type="dxa"/>
            <w:vAlign w:val="bottom"/>
          </w:tcPr>
          <w:p>
            <w:pPr>
              <w:spacing w:after="0"/>
              <w:rPr>
                <w:sz w:val="14"/>
                <w:szCs w:val="14"/>
                <w:color w:val="auto"/>
              </w:rPr>
            </w:pPr>
          </w:p>
        </w:tc>
      </w:tr>
      <w:tr>
        <w:trPr>
          <w:trHeight w:val="18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Mark Mossler</w:t>
            </w:r>
          </w:p>
        </w:tc>
        <w:tc>
          <w:tcPr>
            <w:tcW w:w="80" w:type="dxa"/>
            <w:vAlign w:val="bottom"/>
          </w:tcPr>
          <w:p>
            <w:pPr>
              <w:spacing w:after="0"/>
              <w:rPr>
                <w:sz w:val="16"/>
                <w:szCs w:val="16"/>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Accounting Officer</w:t>
            </w:r>
          </w:p>
        </w:tc>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6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 Mossler</w:t>
            </w:r>
          </w:p>
        </w:tc>
        <w:tc>
          <w:tcPr>
            <w:tcW w:w="80" w:type="dxa"/>
            <w:vAlign w:val="bottom"/>
          </w:tcPr>
          <w:p>
            <w:pPr>
              <w:spacing w:after="0"/>
              <w:rPr>
                <w:sz w:val="14"/>
                <w:szCs w:val="14"/>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920" w:type="dxa"/>
            <w:vAlign w:val="bottom"/>
          </w:tcPr>
          <w:p>
            <w:pPr>
              <w:spacing w:after="0"/>
              <w:rPr>
                <w:sz w:val="14"/>
                <w:szCs w:val="14"/>
                <w:color w:val="auto"/>
              </w:rPr>
            </w:pPr>
          </w:p>
        </w:tc>
      </w:tr>
      <w:tr>
        <w:trPr>
          <w:trHeight w:val="18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Ronald Cooper</w:t>
            </w:r>
          </w:p>
        </w:tc>
        <w:tc>
          <w:tcPr>
            <w:tcW w:w="80" w:type="dxa"/>
            <w:vAlign w:val="bottom"/>
          </w:tcPr>
          <w:p>
            <w:pPr>
              <w:spacing w:after="0"/>
              <w:rPr>
                <w:sz w:val="16"/>
                <w:szCs w:val="16"/>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Chairman and Director</w:t>
            </w:r>
          </w:p>
        </w:tc>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6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Ronald Cooper</w:t>
            </w:r>
          </w:p>
        </w:tc>
        <w:tc>
          <w:tcPr>
            <w:tcW w:w="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Kenneth C. Anderson, M.D.</w:t>
            </w:r>
          </w:p>
        </w:tc>
        <w:tc>
          <w:tcPr>
            <w:tcW w:w="80" w:type="dxa"/>
            <w:vAlign w:val="bottom"/>
          </w:tcPr>
          <w:p>
            <w:pPr>
              <w:spacing w:after="0"/>
              <w:rPr>
                <w:sz w:val="16"/>
                <w:szCs w:val="16"/>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6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Kenneth C. Anderson, M.D.</w:t>
            </w:r>
          </w:p>
        </w:tc>
        <w:tc>
          <w:tcPr>
            <w:tcW w:w="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Laura Bessen, M.D.</w:t>
            </w:r>
          </w:p>
        </w:tc>
        <w:tc>
          <w:tcPr>
            <w:tcW w:w="80" w:type="dxa"/>
            <w:vAlign w:val="bottom"/>
          </w:tcPr>
          <w:p>
            <w:pPr>
              <w:spacing w:after="0"/>
              <w:rPr>
                <w:sz w:val="16"/>
                <w:szCs w:val="16"/>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6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Laura Bessen, M.D.</w:t>
            </w:r>
          </w:p>
        </w:tc>
        <w:tc>
          <w:tcPr>
            <w:tcW w:w="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Bruce Downey</w:t>
            </w:r>
          </w:p>
        </w:tc>
        <w:tc>
          <w:tcPr>
            <w:tcW w:w="80" w:type="dxa"/>
            <w:vAlign w:val="bottom"/>
          </w:tcPr>
          <w:p>
            <w:pPr>
              <w:spacing w:after="0"/>
              <w:rPr>
                <w:sz w:val="16"/>
                <w:szCs w:val="16"/>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6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Bruce Downey</w:t>
            </w:r>
          </w:p>
        </w:tc>
        <w:tc>
          <w:tcPr>
            <w:tcW w:w="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Stephen Fawell, Ph.D</w:t>
            </w:r>
          </w:p>
        </w:tc>
        <w:tc>
          <w:tcPr>
            <w:tcW w:w="80" w:type="dxa"/>
            <w:vAlign w:val="bottom"/>
          </w:tcPr>
          <w:p>
            <w:pPr>
              <w:spacing w:after="0"/>
              <w:rPr>
                <w:sz w:val="16"/>
                <w:szCs w:val="16"/>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6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Stephen Fawell, Ph.D</w:t>
            </w:r>
          </w:p>
        </w:tc>
        <w:tc>
          <w:tcPr>
            <w:tcW w:w="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Donna Grogan, M.D.</w:t>
            </w:r>
          </w:p>
        </w:tc>
        <w:tc>
          <w:tcPr>
            <w:tcW w:w="80" w:type="dxa"/>
            <w:vAlign w:val="bottom"/>
          </w:tcPr>
          <w:p>
            <w:pPr>
              <w:spacing w:after="0"/>
              <w:rPr>
                <w:sz w:val="16"/>
                <w:szCs w:val="16"/>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6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Donna Grogan, M.D.</w:t>
            </w:r>
          </w:p>
        </w:tc>
        <w:tc>
          <w:tcPr>
            <w:tcW w:w="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Utpal Koppikar</w:t>
            </w:r>
          </w:p>
        </w:tc>
        <w:tc>
          <w:tcPr>
            <w:tcW w:w="80" w:type="dxa"/>
            <w:vAlign w:val="bottom"/>
          </w:tcPr>
          <w:p>
            <w:pPr>
              <w:spacing w:after="0"/>
              <w:rPr>
                <w:sz w:val="16"/>
                <w:szCs w:val="16"/>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6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Utpal Koppikar</w:t>
            </w:r>
          </w:p>
        </w:tc>
        <w:tc>
          <w:tcPr>
            <w:tcW w:w="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Stephen L. Hoerter</w:t>
            </w:r>
          </w:p>
        </w:tc>
        <w:tc>
          <w:tcPr>
            <w:tcW w:w="80" w:type="dxa"/>
            <w:vAlign w:val="bottom"/>
          </w:tcPr>
          <w:p>
            <w:pPr>
              <w:spacing w:after="0"/>
              <w:rPr>
                <w:sz w:val="16"/>
                <w:szCs w:val="16"/>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6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Stephen L. Hoerter</w:t>
            </w:r>
          </w:p>
        </w:tc>
        <w:tc>
          <w:tcPr>
            <w:tcW w:w="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Owen Hughes</w:t>
            </w:r>
          </w:p>
        </w:tc>
        <w:tc>
          <w:tcPr>
            <w:tcW w:w="80" w:type="dxa"/>
            <w:vAlign w:val="bottom"/>
          </w:tcPr>
          <w:p>
            <w:pPr>
              <w:spacing w:after="0"/>
              <w:rPr>
                <w:sz w:val="16"/>
                <w:szCs w:val="16"/>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7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Owen Hughes</w:t>
            </w:r>
          </w:p>
        </w:tc>
        <w:tc>
          <w:tcPr>
            <w:tcW w:w="8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705"/>
        </w:trPr>
        <w:tc>
          <w:tcPr>
            <w:tcW w:w="3400" w:type="dxa"/>
            <w:vAlign w:val="bottom"/>
          </w:tcPr>
          <w:p>
            <w:pPr>
              <w:spacing w:after="0"/>
              <w:rPr>
                <w:sz w:val="24"/>
                <w:szCs w:val="24"/>
                <w:color w:val="auto"/>
              </w:rPr>
            </w:pPr>
          </w:p>
        </w:tc>
        <w:tc>
          <w:tcPr>
            <w:tcW w:w="5860" w:type="dxa"/>
            <w:vAlign w:val="bottom"/>
            <w:gridSpan w:val="2"/>
          </w:tcPr>
          <w:p>
            <w:pPr>
              <w:jc w:val="right"/>
              <w:ind w:right="3470"/>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76"/>
        </w:trPr>
        <w:tc>
          <w:tcPr>
            <w:tcW w:w="34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7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61"/>
        </w:trPr>
        <w:tc>
          <w:tcPr>
            <w:tcW w:w="374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7540" w:type="dxa"/>
            <w:vAlign w:val="bottom"/>
          </w:tcPr>
          <w:p>
            <w:pPr>
              <w:spacing w:after="0"/>
              <w:rPr>
                <w:sz w:val="13"/>
                <w:szCs w:val="13"/>
                <w:color w:val="auto"/>
              </w:rPr>
            </w:pPr>
          </w:p>
        </w:tc>
      </w:tr>
      <w:tr>
        <w:trPr>
          <w:trHeight w:val="818"/>
        </w:trPr>
        <w:tc>
          <w:tcPr>
            <w:tcW w:w="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r>
      <w:tr>
        <w:trPr>
          <w:trHeight w:val="255"/>
        </w:trPr>
        <w:tc>
          <w:tcPr>
            <w:tcW w:w="20" w:type="dxa"/>
            <w:vAlign w:val="bottom"/>
          </w:tcPr>
          <w:p>
            <w:pPr>
              <w:spacing w:after="0"/>
              <w:rPr>
                <w:sz w:val="22"/>
                <w:szCs w:val="22"/>
                <w:color w:val="auto"/>
              </w:rPr>
            </w:pPr>
          </w:p>
        </w:tc>
        <w:tc>
          <w:tcPr>
            <w:tcW w:w="3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w:t>
            </w:r>
          </w:p>
        </w:tc>
        <w:tc>
          <w:tcPr>
            <w:tcW w:w="400" w:type="dxa"/>
            <w:vAlign w:val="bottom"/>
            <w:gridSpan w:val="2"/>
          </w:tcPr>
          <w:p>
            <w:pPr>
              <w:spacing w:after="0"/>
              <w:rPr>
                <w:sz w:val="22"/>
                <w:szCs w:val="22"/>
                <w:color w:val="auto"/>
              </w:rPr>
            </w:pPr>
          </w:p>
        </w:tc>
        <w:tc>
          <w:tcPr>
            <w:tcW w:w="7540" w:type="dxa"/>
            <w:vAlign w:val="bottom"/>
          </w:tcPr>
          <w:p>
            <w:pPr>
              <w:ind w:left="7340"/>
              <w:spacing w:after="0"/>
              <w:rPr>
                <w:sz w:val="20"/>
                <w:szCs w:val="20"/>
                <w:color w:val="auto"/>
              </w:rPr>
            </w:pPr>
            <w:r>
              <w:rPr>
                <w:rFonts w:ascii="Times New Roman" w:cs="Times New Roman" w:eastAsia="Times New Roman" w:hAnsi="Times New Roman"/>
                <w:sz w:val="14"/>
                <w:szCs w:val="14"/>
                <w:color w:val="auto"/>
                <w:w w:val="92"/>
              </w:rPr>
              <w:t>F-2</w:t>
            </w:r>
          </w:p>
        </w:tc>
      </w:tr>
      <w:tr>
        <w:trPr>
          <w:trHeight w:val="288"/>
        </w:trPr>
        <w:tc>
          <w:tcPr>
            <w:tcW w:w="2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7540" w:type="dxa"/>
            <w:vAlign w:val="bottom"/>
          </w:tcPr>
          <w:p>
            <w:pPr>
              <w:ind w:left="7340"/>
              <w:spacing w:after="0"/>
              <w:rPr>
                <w:sz w:val="20"/>
                <w:szCs w:val="20"/>
                <w:color w:val="auto"/>
              </w:rPr>
            </w:pPr>
            <w:r>
              <w:rPr>
                <w:rFonts w:ascii="Times New Roman" w:cs="Times New Roman" w:eastAsia="Times New Roman" w:hAnsi="Times New Roman"/>
                <w:sz w:val="14"/>
                <w:szCs w:val="14"/>
                <w:color w:val="auto"/>
                <w:w w:val="92"/>
              </w:rPr>
              <w:t>F-4</w:t>
            </w:r>
          </w:p>
        </w:tc>
      </w:tr>
      <w:tr>
        <w:trPr>
          <w:trHeight w:val="20"/>
        </w:trPr>
        <w:tc>
          <w:tcPr>
            <w:tcW w:w="2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36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Operations and Comprehensive Loss</w:t>
            </w:r>
          </w:p>
        </w:tc>
        <w:tc>
          <w:tcPr>
            <w:tcW w:w="40" w:type="dxa"/>
            <w:vAlign w:val="bottom"/>
          </w:tcPr>
          <w:p>
            <w:pPr>
              <w:spacing w:after="0"/>
              <w:rPr>
                <w:sz w:val="24"/>
                <w:szCs w:val="24"/>
                <w:color w:val="auto"/>
              </w:rPr>
            </w:pPr>
          </w:p>
        </w:tc>
        <w:tc>
          <w:tcPr>
            <w:tcW w:w="7540" w:type="dxa"/>
            <w:vAlign w:val="bottom"/>
          </w:tcPr>
          <w:p>
            <w:pPr>
              <w:ind w:left="7340"/>
              <w:spacing w:after="0"/>
              <w:rPr>
                <w:sz w:val="20"/>
                <w:szCs w:val="20"/>
                <w:color w:val="auto"/>
              </w:rPr>
            </w:pPr>
            <w:r>
              <w:rPr>
                <w:rFonts w:ascii="Times New Roman" w:cs="Times New Roman" w:eastAsia="Times New Roman" w:hAnsi="Times New Roman"/>
                <w:sz w:val="14"/>
                <w:szCs w:val="14"/>
                <w:color w:val="auto"/>
                <w:w w:val="92"/>
              </w:rPr>
              <w:t>F-5</w:t>
            </w:r>
          </w:p>
        </w:tc>
      </w:tr>
      <w:tr>
        <w:trPr>
          <w:trHeight w:val="288"/>
        </w:trPr>
        <w:tc>
          <w:tcPr>
            <w:tcW w:w="2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w:t>
            </w:r>
          </w:p>
        </w:tc>
        <w:tc>
          <w:tcPr>
            <w:tcW w:w="7540" w:type="dxa"/>
            <w:vAlign w:val="bottom"/>
          </w:tcPr>
          <w:p>
            <w:pPr>
              <w:ind w:left="7340"/>
              <w:spacing w:after="0"/>
              <w:rPr>
                <w:sz w:val="20"/>
                <w:szCs w:val="20"/>
                <w:color w:val="auto"/>
              </w:rPr>
            </w:pPr>
            <w:r>
              <w:rPr>
                <w:rFonts w:ascii="Times New Roman" w:cs="Times New Roman" w:eastAsia="Times New Roman" w:hAnsi="Times New Roman"/>
                <w:sz w:val="14"/>
                <w:szCs w:val="14"/>
                <w:color w:val="auto"/>
                <w:w w:val="92"/>
              </w:rPr>
              <w:t>F-6</w:t>
            </w:r>
          </w:p>
        </w:tc>
      </w:tr>
      <w:tr>
        <w:trPr>
          <w:trHeight w:val="288"/>
        </w:trPr>
        <w:tc>
          <w:tcPr>
            <w:tcW w:w="20" w:type="dxa"/>
            <w:vAlign w:val="bottom"/>
          </w:tcPr>
          <w:p>
            <w:pPr>
              <w:spacing w:after="0"/>
              <w:rPr>
                <w:sz w:val="24"/>
                <w:szCs w:val="24"/>
                <w:color w:val="auto"/>
              </w:rPr>
            </w:pPr>
          </w:p>
        </w:tc>
        <w:tc>
          <w:tcPr>
            <w:tcW w:w="22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520" w:type="dxa"/>
            <w:vAlign w:val="bottom"/>
            <w:tcBorders>
              <w:top w:val="single" w:sz="8" w:color="0000FF"/>
            </w:tcBorders>
            <w:gridSpan w:val="2"/>
          </w:tcPr>
          <w:p>
            <w:pPr>
              <w:spacing w:after="0"/>
              <w:rPr>
                <w:sz w:val="24"/>
                <w:szCs w:val="24"/>
                <w:color w:val="auto"/>
              </w:rPr>
            </w:pPr>
          </w:p>
        </w:tc>
        <w:tc>
          <w:tcPr>
            <w:tcW w:w="940" w:type="dxa"/>
            <w:vAlign w:val="bottom"/>
            <w:gridSpan w:val="3"/>
          </w:tcPr>
          <w:p>
            <w:pPr>
              <w:spacing w:after="0"/>
              <w:rPr>
                <w:sz w:val="24"/>
                <w:szCs w:val="24"/>
                <w:color w:val="auto"/>
              </w:rPr>
            </w:pPr>
          </w:p>
        </w:tc>
        <w:tc>
          <w:tcPr>
            <w:tcW w:w="7540" w:type="dxa"/>
            <w:vAlign w:val="bottom"/>
          </w:tcPr>
          <w:p>
            <w:pPr>
              <w:ind w:left="7340"/>
              <w:spacing w:after="0"/>
              <w:rPr>
                <w:sz w:val="20"/>
                <w:szCs w:val="20"/>
                <w:color w:val="auto"/>
              </w:rPr>
            </w:pPr>
            <w:r>
              <w:rPr>
                <w:rFonts w:ascii="Times New Roman" w:cs="Times New Roman" w:eastAsia="Times New Roman" w:hAnsi="Times New Roman"/>
                <w:sz w:val="14"/>
                <w:szCs w:val="14"/>
                <w:color w:val="auto"/>
                <w:w w:val="92"/>
              </w:rPr>
              <w:t>F-7</w:t>
            </w:r>
          </w:p>
        </w:tc>
      </w:tr>
      <w:tr>
        <w:trPr>
          <w:trHeight w:val="288"/>
        </w:trPr>
        <w:tc>
          <w:tcPr>
            <w:tcW w:w="2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7540" w:type="dxa"/>
            <w:vAlign w:val="bottom"/>
          </w:tcPr>
          <w:p>
            <w:pPr>
              <w:ind w:left="7340"/>
              <w:spacing w:after="0"/>
              <w:rPr>
                <w:sz w:val="20"/>
                <w:szCs w:val="20"/>
                <w:color w:val="auto"/>
              </w:rPr>
            </w:pPr>
            <w:r>
              <w:rPr>
                <w:rFonts w:ascii="Times New Roman" w:cs="Times New Roman" w:eastAsia="Times New Roman" w:hAnsi="Times New Roman"/>
                <w:sz w:val="14"/>
                <w:szCs w:val="14"/>
                <w:color w:val="auto"/>
                <w:w w:val="92"/>
              </w:rPr>
              <w:t>F-9</w:t>
            </w:r>
          </w:p>
        </w:tc>
      </w:tr>
      <w:tr>
        <w:trPr>
          <w:trHeight w:val="722"/>
        </w:trPr>
        <w:tc>
          <w:tcPr>
            <w:tcW w:w="20" w:type="dxa"/>
            <w:vAlign w:val="bottom"/>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tcPr>
          <w:p>
            <w:pPr>
              <w:ind w:left="1800"/>
              <w:spacing w:after="0"/>
              <w:rPr>
                <w:sz w:val="20"/>
                <w:szCs w:val="20"/>
                <w:color w:val="auto"/>
              </w:rPr>
            </w:pPr>
            <w:r>
              <w:rPr>
                <w:rFonts w:ascii="Times New Roman" w:cs="Times New Roman" w:eastAsia="Times New Roman" w:hAnsi="Times New Roman"/>
                <w:sz w:val="14"/>
                <w:szCs w:val="14"/>
                <w:color w:val="auto"/>
              </w:rPr>
              <w:t>F-1</w:t>
            </w:r>
          </w:p>
        </w:tc>
      </w:tr>
      <w:tr>
        <w:trPr>
          <w:trHeight w:val="87"/>
        </w:trPr>
        <w:tc>
          <w:tcPr>
            <w:tcW w:w="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75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Board of Directors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C4 Therapeutics, Inc.: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 on the Consolidated Financial Statements</w:t>
      </w:r>
    </w:p>
    <w:p>
      <w:pPr>
        <w:spacing w:after="0" w:line="96"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C4 Therapeutics, Inc. and subsidiary (the Company) as of December 31, 2024 and 2023, the related consolidated statements of operations and comprehensive loss, stockholders’ equity, and cash flows for each of the years in the two-year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two-year period ended December 31, 2024, in conformity with U.S. generally accepted accounting principles.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9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w:t>
      </w:r>
    </w:p>
    <w:p>
      <w:pPr>
        <w:spacing w:after="0" w:line="9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recognition for certain research and development services</w:t>
      </w:r>
    </w:p>
    <w:p>
      <w:pPr>
        <w:spacing w:after="0" w:line="9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As discussed in Notes 2 and 8 to the consolidated financial statements, the Company is party to collaboration agreements which have various performance obligations, including the promise to perform research and development (R&amp;D) services for or on behalf of the customer. For certain collaboration agreements, the Company recognizes revenue for the transaction price allocated to each of the R&amp;D performance obligations as the R&amp;D services are provided, using an input method, according to costs incurred as related to the research and development target and the total costs incurred and expected to be incurred in the future to satisfy that individual performance obligation. Amounts received by the Company prior to satisfying the revenue recognition criteria are recorded as deferred revenue. For the year ended December 31, 2024, the Company recognized revenue from collaboration agreements of $35.6 million, a portion of which related to R&amp;D services performed. In addition, as of December 31, 2024, a portion of the Company’s current and net of current deferred revenue related to R&amp;D services to be performed.</w:t>
      </w:r>
    </w:p>
    <w:p>
      <w:pPr>
        <w:spacing w:after="0" w:line="6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We identified the evaluation of revenue recognition for certain R&amp;D services as a critical audit matter. Specifically, evaluating the estimate of costs expected to be incurred in satisfying certain R&amp;D performance obligations, including the assessment of the nature of the R&amp;D services to be performed, involved especially challenging auditor judgment.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For a selection of R&amp;D performance obligations, we evaluated the estimate of total contract costs expected to be incurred by:</w:t>
      </w:r>
    </w:p>
    <w:p>
      <w:pPr>
        <w:spacing w:after="0" w:line="39" w:lineRule="exact"/>
        <w:rPr>
          <w:sz w:val="20"/>
          <w:szCs w:val="20"/>
          <w:color w:val="auto"/>
        </w:rPr>
      </w:pPr>
    </w:p>
    <w:p>
      <w:pPr>
        <w:ind w:left="640" w:hanging="317"/>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inspecting the underlying contract with the customer to gain an understanding of the nature of the R&amp;D services to be performed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comparing the Company’s prior period estimates to actual R&amp;D service costs incurred to assess the Company’s ability to estimate accurately</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inspecting underlying documentation and third-party evidence and comparing it to management’s estimate of total R&amp;D service costs incurred and expected to be incurred</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inquiring of R&amp;D personnel of the Company to evaluate factors related to the nature of the R&amp;D services to be performed and their impact on the total R&amp;D service costs to be incurred, including progress to date and the estimate of remaining R&amp;D service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3135630</wp:posOffset>
            </wp:positionH>
            <wp:positionV relativeFrom="paragraph">
              <wp:posOffset>34290</wp:posOffset>
            </wp:positionV>
            <wp:extent cx="895985"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895985" cy="18859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2016.</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2025</w:t>
      </w: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23" w:right="4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34"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5224145</wp:posOffset>
            </wp:positionH>
            <wp:positionV relativeFrom="paragraph">
              <wp:posOffset>26035</wp:posOffset>
            </wp:positionV>
            <wp:extent cx="194056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34" w:lineRule="exact"/>
        <w:rPr>
          <w:sz w:val="20"/>
          <w:szCs w:val="20"/>
          <w:color w:val="auto"/>
        </w:rPr>
      </w:pPr>
    </w:p>
    <w:p>
      <w:pPr>
        <w:jc w:val="both"/>
        <w:ind w:left="8860"/>
        <w:spacing w:after="0"/>
        <w:tabs>
          <w:tab w:leader="none" w:pos="10400" w:val="left"/>
        </w:tabs>
        <w:rPr>
          <w:sz w:val="20"/>
          <w:szCs w:val="20"/>
          <w:color w:val="auto"/>
        </w:rPr>
      </w:pPr>
      <w:r>
        <w:rPr>
          <w:rFonts w:ascii="Times New Roman" w:cs="Times New Roman" w:eastAsia="Times New Roman" w:hAnsi="Times New Roman"/>
          <w:sz w:val="11"/>
          <w:szCs w:val="11"/>
          <w:b w:val="1"/>
          <w:bCs w:val="1"/>
          <w:color w:val="auto"/>
        </w:rPr>
        <w:t>2024</w:t>
      </w:r>
      <w:r>
        <w:rPr>
          <w:sz w:val="20"/>
          <w:szCs w:val="20"/>
          <w:color w:val="auto"/>
        </w:rPr>
        <w:tab/>
      </w:r>
      <w:r>
        <w:rPr>
          <w:rFonts w:ascii="Times New Roman" w:cs="Times New Roman" w:eastAsia="Times New Roman" w:hAnsi="Times New Roman"/>
          <w:sz w:val="11"/>
          <w:szCs w:val="11"/>
          <w:b w:val="1"/>
          <w:bCs w:val="1"/>
          <w:color w:val="auto"/>
        </w:rPr>
        <w:t>2023</w:t>
      </w:r>
    </w:p>
    <w:p>
      <w:pPr>
        <w:sectPr>
          <w:pgSz w:w="11900" w:h="16838" w:orient="portrait"/>
          <w:cols w:equalWidth="0" w:num="1">
            <w:col w:w="11280"/>
          </w:cols>
          <w:pgMar w:left="300" w:top="123" w:right="319" w:bottom="1440" w:gutter="0" w:footer="0" w:header="0"/>
        </w:sectPr>
      </w:pP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61530" cy="1143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282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6" w:lineRule="exact"/>
        <w:rPr>
          <w:sz w:val="20"/>
          <w:szCs w:val="20"/>
          <w:color w:val="auto"/>
        </w:rPr>
      </w:pPr>
    </w:p>
    <w:p>
      <w:pPr>
        <w:ind w:left="220"/>
        <w:spacing w:after="0"/>
        <w:tabs>
          <w:tab w:leader="none" w:pos="8220" w:val="left"/>
        </w:tabs>
        <w:rPr>
          <w:sz w:val="20"/>
          <w:szCs w:val="20"/>
          <w:color w:val="auto"/>
        </w:rPr>
      </w:pPr>
      <w:r>
        <w:rPr>
          <w:rFonts w:ascii="Times New Roman" w:cs="Times New Roman" w:eastAsia="Times New Roman" w:hAnsi="Times New Roman"/>
          <w:sz w:val="14"/>
          <w:szCs w:val="14"/>
          <w:color w:val="auto"/>
        </w:rPr>
        <w:t>Cash and cash equivalents</w:t>
      </w:r>
      <w:r>
        <w:rPr>
          <w:sz w:val="20"/>
          <w:szCs w:val="20"/>
          <w:color w:val="auto"/>
        </w:rPr>
        <w:tab/>
      </w:r>
      <w:r>
        <w:rPr>
          <w:rFonts w:ascii="Times New Roman" w:cs="Times New Roman" w:eastAsia="Times New Roman" w:hAnsi="Times New Roman"/>
          <w:sz w:val="14"/>
          <w:szCs w:val="14"/>
          <w:color w:val="auto"/>
        </w:rPr>
        <w:t>$</w:t>
      </w:r>
    </w:p>
    <w:p>
      <w:pPr>
        <w:spacing w:after="0" w:line="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Marketable securities,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82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Accounts receivable</w:t>
      </w:r>
    </w:p>
    <w:p>
      <w:pPr>
        <w:spacing w:after="0" w:line="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34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current assets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Marketable securities,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82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Right-of-use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82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Restricted cash</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47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7161530" cy="147955"/>
                    </a:xfrm>
                    <a:prstGeom prst="rect">
                      <a:avLst/>
                    </a:prstGeom>
                    <a:noFill/>
                  </pic:spPr>
                </pic:pic>
              </a:graphicData>
            </a:graphic>
          </wp:anchor>
        </w:drawing>
      </w:r>
    </w:p>
    <w:p>
      <w:pPr>
        <w:spacing w:after="0" w:line="21" w:lineRule="exact"/>
        <w:rPr>
          <w:sz w:val="20"/>
          <w:szCs w:val="20"/>
          <w:color w:val="auto"/>
        </w:rPr>
      </w:pPr>
    </w:p>
    <w:p>
      <w:pPr>
        <w:ind w:left="20"/>
        <w:spacing w:after="0"/>
        <w:tabs>
          <w:tab w:leader="none" w:pos="8220" w:val="left"/>
        </w:tabs>
        <w:rPr>
          <w:sz w:val="20"/>
          <w:szCs w:val="20"/>
          <w:color w:val="auto"/>
        </w:rPr>
      </w:pPr>
      <w:r>
        <w:rPr>
          <w:rFonts w:ascii="Times New Roman" w:cs="Times New Roman" w:eastAsia="Times New Roman" w:hAnsi="Times New Roman"/>
          <w:sz w:val="14"/>
          <w:szCs w:val="14"/>
          <w:color w:val="auto"/>
        </w:rPr>
        <w:t>Total assets</w:t>
      </w:r>
      <w:r>
        <w:rPr>
          <w:sz w:val="20"/>
          <w:szCs w:val="20"/>
          <w:color w:val="auto"/>
        </w:rPr>
        <w:tab/>
      </w:r>
      <w:r>
        <w:rPr>
          <w:rFonts w:ascii="Times New Roman" w:cs="Times New Roman" w:eastAsia="Times New Roman" w:hAnsi="Times New Roman"/>
          <w:sz w:val="24"/>
          <w:szCs w:val="24"/>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161530" cy="1282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82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10" w:lineRule="exact"/>
        <w:rPr>
          <w:sz w:val="20"/>
          <w:szCs w:val="20"/>
          <w:color w:val="auto"/>
        </w:rPr>
      </w:pPr>
    </w:p>
    <w:p>
      <w:pPr>
        <w:ind w:left="220"/>
        <w:spacing w:after="0"/>
        <w:tabs>
          <w:tab w:leader="none" w:pos="8220" w:val="left"/>
        </w:tabs>
        <w:rPr>
          <w:sz w:val="20"/>
          <w:szCs w:val="20"/>
          <w:color w:val="auto"/>
        </w:rPr>
      </w:pPr>
      <w:r>
        <w:rPr>
          <w:rFonts w:ascii="Times New Roman" w:cs="Times New Roman" w:eastAsia="Times New Roman" w:hAnsi="Times New Roman"/>
          <w:sz w:val="14"/>
          <w:szCs w:val="14"/>
          <w:color w:val="auto"/>
        </w:rPr>
        <w:t>Accounts payable</w:t>
      </w:r>
      <w:r>
        <w:rPr>
          <w:sz w:val="20"/>
          <w:szCs w:val="20"/>
          <w:color w:val="auto"/>
        </w:rPr>
        <w:tab/>
      </w:r>
      <w:r>
        <w:rPr>
          <w:rFonts w:ascii="Times New Roman" w:cs="Times New Roman" w:eastAsia="Times New Roman" w:hAnsi="Times New Roman"/>
          <w:sz w:val="14"/>
          <w:szCs w:val="14"/>
          <w:color w:val="auto"/>
        </w:rPr>
        <w:t>$</w:t>
      </w:r>
    </w:p>
    <w:p>
      <w:pPr>
        <w:spacing w:after="0" w:line="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82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Deferred revenue, current</w:t>
      </w:r>
    </w:p>
    <w:p>
      <w:pPr>
        <w:spacing w:after="0" w:line="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Operating lease liability,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34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Deferred revenue, net of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82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Operating lease liability, net of current</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liabilities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Commitments and contingencies (See Note 6 and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2292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7161530" cy="229235"/>
                    </a:xfrm>
                    <a:prstGeom prst="rect">
                      <a:avLst/>
                    </a:prstGeom>
                    <a:noFill/>
                  </pic:spPr>
                </pic:pic>
              </a:graphicData>
            </a:graphic>
          </wp:anchor>
        </w:drawing>
      </w:r>
    </w:p>
    <w:p>
      <w:pPr>
        <w:spacing w:after="0" w:line="10" w:lineRule="exact"/>
        <w:rPr>
          <w:sz w:val="20"/>
          <w:szCs w:val="20"/>
          <w:color w:val="auto"/>
        </w:rPr>
      </w:pPr>
    </w:p>
    <w:p>
      <w:pPr>
        <w:ind w:left="220" w:right="300"/>
        <w:spacing w:after="0" w:line="268" w:lineRule="auto"/>
        <w:rPr>
          <w:sz w:val="20"/>
          <w:szCs w:val="20"/>
          <w:color w:val="auto"/>
        </w:rPr>
      </w:pPr>
      <w:r>
        <w:rPr>
          <w:rFonts w:ascii="Times New Roman" w:cs="Times New Roman" w:eastAsia="Times New Roman" w:hAnsi="Times New Roman"/>
          <w:sz w:val="14"/>
          <w:szCs w:val="14"/>
          <w:color w:val="auto"/>
        </w:rPr>
        <w:t>Preferred stock, par value of $0.0001 per share; 10,000,000 shares authorized, and no shares issued or outstanding as of December 31, 2024 and 2023, respectively</w:t>
      </w:r>
    </w:p>
    <w:p>
      <w:pPr>
        <w:spacing w:after="0" w:line="1" w:lineRule="exact"/>
        <w:rPr>
          <w:sz w:val="20"/>
          <w:szCs w:val="20"/>
          <w:color w:val="auto"/>
        </w:rPr>
      </w:pPr>
    </w:p>
    <w:p>
      <w:pPr>
        <w:ind w:left="220" w:right="880"/>
        <w:spacing w:after="0" w:line="271" w:lineRule="auto"/>
        <w:rPr>
          <w:sz w:val="20"/>
          <w:szCs w:val="20"/>
          <w:color w:val="auto"/>
        </w:rPr>
      </w:pPr>
      <w:r>
        <w:rPr>
          <w:rFonts w:ascii="Times New Roman" w:cs="Times New Roman" w:eastAsia="Times New Roman" w:hAnsi="Times New Roman"/>
          <w:sz w:val="14"/>
          <w:szCs w:val="14"/>
          <w:color w:val="auto"/>
        </w:rPr>
        <w:t>Common stock, par value of $0.0001 per share; 150,000,000 shares authorized, and 70,625,899 and 60,467,188 shares issued and outstanding as of December 31,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1282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4"/>
          <w:szCs w:val="14"/>
          <w:color w:val="auto"/>
        </w:rPr>
        <w:t>Additional paid-in capital</w:t>
      </w:r>
    </w:p>
    <w:p>
      <w:pPr>
        <w:spacing w:after="0" w:line="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82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Accumulated deficit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184"/>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55,499</w:t>
            </w: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126,590</w:t>
            </w:r>
          </w:p>
        </w:tc>
      </w:tr>
      <w:tr>
        <w:trPr>
          <w:trHeight w:val="20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189,405</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127,091</w:t>
            </w:r>
          </w:p>
        </w:tc>
      </w:tr>
      <w:tr>
        <w:trPr>
          <w:trHeight w:val="20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3,102</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11,799</w:t>
            </w:r>
          </w:p>
        </w:tc>
      </w:tr>
      <w:tr>
        <w:trPr>
          <w:trHeight w:val="207"/>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9,761</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5,709</w:t>
            </w:r>
          </w:p>
        </w:tc>
      </w:tr>
      <w:tr>
        <w:trPr>
          <w:trHeight w:val="187"/>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257,767</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271,189</w:t>
            </w:r>
          </w:p>
        </w:tc>
      </w:tr>
      <w:tr>
        <w:trPr>
          <w:trHeight w:val="20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22,359</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28,008</w:t>
            </w:r>
          </w:p>
        </w:tc>
      </w:tr>
      <w:tr>
        <w:trPr>
          <w:trHeight w:val="20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5,842</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7,132</w:t>
            </w:r>
          </w:p>
        </w:tc>
      </w:tr>
      <w:tr>
        <w:trPr>
          <w:trHeight w:val="20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57,536</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63,956</w:t>
            </w:r>
          </w:p>
        </w:tc>
      </w:tr>
      <w:tr>
        <w:trPr>
          <w:trHeight w:val="20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3,443</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3,443</w:t>
            </w:r>
          </w:p>
        </w:tc>
      </w:tr>
      <w:tr>
        <w:trPr>
          <w:trHeight w:val="207"/>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2,655</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2,723</w:t>
            </w:r>
          </w:p>
        </w:tc>
      </w:tr>
      <w:tr>
        <w:trPr>
          <w:trHeight w:val="19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349,602</w:t>
            </w: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376,451</w:t>
            </w:r>
          </w:p>
        </w:tc>
      </w:tr>
      <w:tr>
        <w:trPr>
          <w:trHeight w:val="20"/>
        </w:trPr>
        <w:tc>
          <w:tcPr>
            <w:tcW w:w="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83"/>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1,328</w:t>
            </w: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r>
      <w:tr>
        <w:trPr>
          <w:trHeight w:val="20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19,363</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20,630</w:t>
            </w:r>
          </w:p>
        </w:tc>
      </w:tr>
      <w:tr>
        <w:trPr>
          <w:trHeight w:val="20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18,712</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15,471</w:t>
            </w:r>
          </w:p>
        </w:tc>
      </w:tr>
      <w:tr>
        <w:trPr>
          <w:trHeight w:val="207"/>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5,774</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5,219</w:t>
            </w:r>
          </w:p>
        </w:tc>
      </w:tr>
      <w:tr>
        <w:trPr>
          <w:trHeight w:val="187"/>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45,177</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42,766</w:t>
            </w:r>
          </w:p>
        </w:tc>
      </w:tr>
      <w:tr>
        <w:trPr>
          <w:trHeight w:val="20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28,457</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21,814</w:t>
            </w:r>
          </w:p>
        </w:tc>
      </w:tr>
      <w:tr>
        <w:trPr>
          <w:trHeight w:val="207"/>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59,982</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65,757</w:t>
            </w:r>
          </w:p>
        </w:tc>
      </w:tr>
      <w:tr>
        <w:trPr>
          <w:trHeight w:val="187"/>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133,616</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130,337</w:t>
            </w:r>
          </w:p>
        </w:tc>
      </w:tr>
      <w:tr>
        <w:trPr>
          <w:trHeight w:val="743"/>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61"/>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w:t>
            </w: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849,625</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774,618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-955675</wp:posOffset>
            </wp:positionV>
            <wp:extent cx="94297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942975" cy="698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-2249170</wp:posOffset>
            </wp:positionV>
            <wp:extent cx="94297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942975" cy="6985"/>
                    </a:xfrm>
                    <a:prstGeom prst="rect">
                      <a:avLst/>
                    </a:prstGeom>
                    <a:noFill/>
                  </pic:spPr>
                </pic:pic>
              </a:graphicData>
            </a:graphic>
          </wp:anchor>
        </w:drawing>
      </w:r>
    </w:p>
    <w:p>
      <w:pPr>
        <w:ind w:left="1820" w:hanging="1445"/>
        <w:spacing w:after="0"/>
        <w:tabs>
          <w:tab w:leader="none" w:pos="18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(127)</w:t>
      </w:r>
    </w:p>
    <w:p>
      <w:pPr>
        <w:spacing w:after="0" w:line="40"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(633,699)(528,383)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21590</wp:posOffset>
            </wp:positionV>
            <wp:extent cx="194056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8420" w:space="720"/>
            <w:col w:w="2140"/>
          </w:cols>
          <w:pgMar w:left="300" w:top="123" w:right="31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215,986</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246,114</w:t>
            </w:r>
          </w:p>
        </w:tc>
      </w:tr>
      <w:tr>
        <w:trPr>
          <w:trHeight w:val="21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349,602</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376,451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Loss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23" w:lineRule="exact"/>
        <w:rPr>
          <w:sz w:val="20"/>
          <w:szCs w:val="20"/>
          <w:color w:val="auto"/>
        </w:rPr>
      </w:pPr>
    </w:p>
    <w:tbl>
      <w:tblPr>
        <w:tblLayout w:type="fixed"/>
        <w:tblInd w:w="200" w:type="dxa"/>
        <w:tblCellMar>
          <w:top w:w="0" w:type="dxa"/>
          <w:left w:w="0" w:type="dxa"/>
          <w:bottom w:w="0" w:type="dxa"/>
          <w:right w:w="0" w:type="dxa"/>
        </w:tblCellMar>
      </w:tblPr>
      <w:tr>
        <w:trPr>
          <w:trHeight w:val="158"/>
        </w:trPr>
        <w:tc>
          <w:tcPr>
            <w:tcW w:w="78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60" w:type="dxa"/>
            <w:vAlign w:val="bottom"/>
            <w:tcBorders>
              <w:bottom w:val="single" w:sz="8" w:color="auto"/>
            </w:tcBorders>
          </w:tcPr>
          <w:p>
            <w:pPr>
              <w:spacing w:after="0"/>
              <w:rPr>
                <w:sz w:val="13"/>
                <w:szCs w:val="13"/>
                <w:color w:val="auto"/>
              </w:rPr>
            </w:pPr>
          </w:p>
        </w:tc>
      </w:tr>
      <w:tr>
        <w:trPr>
          <w:trHeight w:val="154"/>
        </w:trPr>
        <w:tc>
          <w:tcPr>
            <w:tcW w:w="78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7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from collaboration agreements</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35,584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20,756</w:t>
            </w: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110,637</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117,706</w:t>
            </w:r>
          </w:p>
        </w:tc>
      </w:tr>
      <w:tr>
        <w:trPr>
          <w:trHeight w:val="180"/>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42,124</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42,081</w:t>
            </w:r>
          </w:p>
        </w:tc>
      </w:tr>
      <w:tr>
        <w:trPr>
          <w:trHeight w:val="18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Restructuring</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155,198</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159,787</w:t>
            </w:r>
          </w:p>
        </w:tc>
      </w:tr>
      <w:tr>
        <w:trPr>
          <w:trHeight w:val="17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(119,614)</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(139,031)</w:t>
            </w: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 and amortization of long-term debt—related party</w:t>
            </w:r>
          </w:p>
        </w:tc>
        <w:tc>
          <w:tcPr>
            <w:tcW w:w="3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w:t>
            </w:r>
          </w:p>
        </w:tc>
      </w:tr>
      <w:tr>
        <w:trPr>
          <w:trHeight w:val="180"/>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36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w:t>
            </w:r>
          </w:p>
        </w:tc>
      </w:tr>
      <w:tr>
        <w:trPr>
          <w:trHeight w:val="18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14,429</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9,812</w:t>
            </w:r>
          </w:p>
        </w:tc>
      </w:tr>
      <w:tr>
        <w:trPr>
          <w:trHeight w:val="171"/>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other income, net</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14,429</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7,818</w:t>
            </w:r>
          </w:p>
        </w:tc>
      </w:tr>
      <w:tr>
        <w:trPr>
          <w:trHeight w:val="17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(105,185)</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(131,213)</w:t>
            </w:r>
          </w:p>
        </w:tc>
      </w:tr>
      <w:tr>
        <w:trPr>
          <w:trHeight w:val="180"/>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Income tax expense</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(1,280)</w:t>
            </w:r>
          </w:p>
        </w:tc>
      </w:tr>
      <w:tr>
        <w:trPr>
          <w:trHeight w:val="196"/>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(105,316)</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(132,493)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782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Net loss per share - basic and diluted</w:t>
            </w:r>
          </w:p>
        </w:tc>
        <w:tc>
          <w:tcPr>
            <w:tcW w:w="360" w:type="dxa"/>
            <w:vAlign w:val="bottom"/>
            <w:tcBorders>
              <w:bottom w:val="single" w:sz="8" w:color="auto"/>
            </w:tcBorders>
          </w:tcPr>
          <w:p>
            <w:pPr>
              <w:jc w:val="right"/>
              <w:ind w:right="18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(1.52)</w:t>
            </w:r>
          </w:p>
        </w:tc>
        <w:tc>
          <w:tcPr>
            <w:tcW w:w="80" w:type="dxa"/>
            <w:vAlign w:val="bottom"/>
          </w:tcPr>
          <w:p>
            <w:pPr>
              <w:spacing w:after="0"/>
              <w:rPr>
                <w:sz w:val="12"/>
                <w:szCs w:val="12"/>
                <w:color w:val="auto"/>
              </w:rPr>
            </w:pPr>
          </w:p>
        </w:tc>
        <w:tc>
          <w:tcPr>
            <w:tcW w:w="620" w:type="dxa"/>
            <w:vAlign w:val="bottom"/>
            <w:tcBorders>
              <w:bottom w:val="single" w:sz="8" w:color="auto"/>
            </w:tcBorders>
          </w:tcPr>
          <w:p>
            <w:pPr>
              <w:jc w:val="right"/>
              <w:ind w:right="4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(2.67)</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number of shares - basic and diluted</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69,372,993</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49,640,505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4,010</w:t>
            </w:r>
          </w:p>
        </w:tc>
      </w:tr>
      <w:tr>
        <w:trPr>
          <w:trHeight w:val="196"/>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(105,136)</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(128,483)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300" w:top="123" w:right="5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40" w:type="dxa"/>
            <w:vAlign w:val="bottom"/>
          </w:tcPr>
          <w:p>
            <w:pPr>
              <w:spacing w:after="0"/>
              <w:rPr>
                <w:sz w:val="11"/>
                <w:szCs w:val="11"/>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5"/>
        </w:trPr>
        <w:tc>
          <w:tcPr>
            <w:tcW w:w="4340" w:type="dxa"/>
            <w:vAlign w:val="bottom"/>
          </w:tcPr>
          <w:p>
            <w:pPr>
              <w:spacing w:after="0"/>
              <w:rPr>
                <w:sz w:val="9"/>
                <w:szCs w:val="9"/>
                <w:color w:val="auto"/>
              </w:rPr>
            </w:pPr>
          </w:p>
        </w:tc>
        <w:tc>
          <w:tcPr>
            <w:tcW w:w="2000" w:type="dxa"/>
            <w:vAlign w:val="bottom"/>
            <w:gridSpan w:val="3"/>
            <w:vMerge w:val="restart"/>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4340" w:type="dxa"/>
            <w:vAlign w:val="bottom"/>
          </w:tcPr>
          <w:p>
            <w:pPr>
              <w:spacing w:after="0"/>
              <w:rPr>
                <w:sz w:val="8"/>
                <w:szCs w:val="8"/>
                <w:color w:val="auto"/>
              </w:rPr>
            </w:pPr>
          </w:p>
        </w:tc>
        <w:tc>
          <w:tcPr>
            <w:tcW w:w="2000" w:type="dxa"/>
            <w:vAlign w:val="bottom"/>
            <w:tcBorders>
              <w:bottom w:val="single" w:sz="8" w:color="auto"/>
            </w:tcBorders>
            <w:gridSpan w:val="3"/>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2"/>
          </w:tcPr>
          <w:p>
            <w:pPr>
              <w:jc w:val="center"/>
              <w:ind w:right="240"/>
              <w:spacing w:after="0" w:line="97" w:lineRule="exact"/>
              <w:rPr>
                <w:sz w:val="20"/>
                <w:szCs w:val="20"/>
                <w:color w:val="auto"/>
              </w:rPr>
            </w:pPr>
            <w:r>
              <w:rPr>
                <w:rFonts w:ascii="Times New Roman" w:cs="Times New Roman" w:eastAsia="Times New Roman" w:hAnsi="Times New Roman"/>
                <w:sz w:val="11"/>
                <w:szCs w:val="11"/>
                <w:b w:val="1"/>
                <w:bCs w:val="1"/>
                <w:color w:val="auto"/>
              </w:rPr>
              <w:t>Paid-In</w:t>
            </w:r>
          </w:p>
        </w:tc>
        <w:tc>
          <w:tcPr>
            <w:tcW w:w="140" w:type="dxa"/>
            <w:vAlign w:val="bottom"/>
          </w:tcPr>
          <w:p>
            <w:pPr>
              <w:spacing w:after="0"/>
              <w:rPr>
                <w:sz w:val="8"/>
                <w:szCs w:val="8"/>
                <w:color w:val="auto"/>
              </w:rPr>
            </w:pPr>
          </w:p>
        </w:tc>
        <w:tc>
          <w:tcPr>
            <w:tcW w:w="1040" w:type="dxa"/>
            <w:vAlign w:val="bottom"/>
            <w:gridSpan w:val="2"/>
          </w:tcPr>
          <w:p>
            <w:pPr>
              <w:jc w:val="center"/>
              <w:ind w:right="200"/>
              <w:spacing w:after="0" w:line="97"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60" w:type="dxa"/>
            <w:vAlign w:val="bottom"/>
          </w:tcPr>
          <w:p>
            <w:pPr>
              <w:spacing w:after="0"/>
              <w:rPr>
                <w:sz w:val="8"/>
                <w:szCs w:val="8"/>
                <w:color w:val="auto"/>
              </w:rPr>
            </w:pPr>
          </w:p>
        </w:tc>
        <w:tc>
          <w:tcPr>
            <w:tcW w:w="1000" w:type="dxa"/>
            <w:vAlign w:val="bottom"/>
            <w:gridSpan w:val="2"/>
          </w:tcPr>
          <w:p>
            <w:pPr>
              <w:jc w:val="center"/>
              <w:ind w:right="240"/>
              <w:spacing w:after="0" w:line="97"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8"/>
                <w:szCs w:val="8"/>
                <w:color w:val="auto"/>
              </w:rPr>
            </w:pPr>
          </w:p>
        </w:tc>
        <w:tc>
          <w:tcPr>
            <w:tcW w:w="940" w:type="dxa"/>
            <w:vAlign w:val="bottom"/>
          </w:tcPr>
          <w:p>
            <w:pPr>
              <w:jc w:val="center"/>
              <w:ind w:right="91"/>
              <w:spacing w:after="0" w:line="97"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55"/>
        </w:trPr>
        <w:tc>
          <w:tcPr>
            <w:tcW w:w="4340" w:type="dxa"/>
            <w:vAlign w:val="bottom"/>
          </w:tcPr>
          <w:p>
            <w:pPr>
              <w:spacing w:after="0"/>
              <w:rPr>
                <w:sz w:val="13"/>
                <w:szCs w:val="13"/>
                <w:color w:val="auto"/>
              </w:rPr>
            </w:pP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4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16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60" w:type="dxa"/>
            <w:vAlign w:val="bottom"/>
          </w:tcPr>
          <w:p>
            <w:pPr>
              <w:spacing w:after="0"/>
              <w:rPr>
                <w:sz w:val="13"/>
                <w:szCs w:val="13"/>
                <w:color w:val="auto"/>
              </w:rPr>
            </w:pPr>
          </w:p>
        </w:tc>
        <w:tc>
          <w:tcPr>
            <w:tcW w:w="940" w:type="dxa"/>
            <w:vAlign w:val="bottom"/>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200"/>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48,966,216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689,256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(395,890)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289,234</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40"/>
              <w:spacing w:after="0" w:line="119" w:lineRule="exact"/>
              <w:rPr>
                <w:sz w:val="20"/>
                <w:szCs w:val="20"/>
                <w:color w:val="auto"/>
              </w:rPr>
            </w:pPr>
            <w:r>
              <w:rPr>
                <w:rFonts w:ascii="Times New Roman" w:cs="Times New Roman" w:eastAsia="Times New Roman" w:hAnsi="Times New Roman"/>
                <w:sz w:val="13"/>
                <w:szCs w:val="13"/>
                <w:color w:val="auto"/>
              </w:rPr>
              <w:t>Issuance of common stock pursuant to the at-the-market equity</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43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program, net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11,186,142</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57,672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57,673</w:t>
            </w:r>
          </w:p>
        </w:tc>
        <w:tc>
          <w:tcPr>
            <w:tcW w:w="0" w:type="dxa"/>
            <w:vAlign w:val="bottom"/>
          </w:tcPr>
          <w:p>
            <w:pPr>
              <w:spacing w:after="0"/>
              <w:rPr>
                <w:sz w:val="1"/>
                <w:szCs w:val="1"/>
                <w:color w:val="auto"/>
              </w:rPr>
            </w:pPr>
          </w:p>
        </w:tc>
      </w:tr>
      <w:tr>
        <w:trPr>
          <w:trHeight w:val="181"/>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Exercise of stock options and release of stock units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13,096</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38"/>
        </w:trPr>
        <w:tc>
          <w:tcPr>
            <w:tcW w:w="4340" w:type="dxa"/>
            <w:vAlign w:val="bottom"/>
          </w:tcPr>
          <w:p>
            <w:pPr>
              <w:ind w:left="240"/>
              <w:spacing w:after="0" w:line="138" w:lineRule="exact"/>
              <w:rPr>
                <w:sz w:val="20"/>
                <w:szCs w:val="20"/>
                <w:color w:val="auto"/>
              </w:rPr>
            </w:pPr>
            <w:r>
              <w:rPr>
                <w:rFonts w:ascii="Times New Roman" w:cs="Times New Roman" w:eastAsia="Times New Roman" w:hAnsi="Times New Roman"/>
                <w:sz w:val="14"/>
                <w:szCs w:val="14"/>
                <w:color w:val="auto"/>
              </w:rPr>
              <w:t>Issuance of common stock upon vesting of restricted stock units, net of</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shares repurchased for tax withholding</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117,745</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81"/>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Issuance of common stock under the 2020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133,784</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180"/>
        </w:trPr>
        <w:tc>
          <w:tcPr>
            <w:tcW w:w="4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27,235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27,235</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4,010</w:t>
            </w:r>
          </w:p>
        </w:tc>
        <w:tc>
          <w:tcPr>
            <w:tcW w:w="0" w:type="dxa"/>
            <w:vAlign w:val="bottom"/>
          </w:tcPr>
          <w:p>
            <w:pPr>
              <w:spacing w:after="0"/>
              <w:rPr>
                <w:sz w:val="1"/>
                <w:szCs w:val="1"/>
                <w:color w:val="auto"/>
              </w:rPr>
            </w:pPr>
          </w:p>
        </w:tc>
      </w:tr>
      <w:tr>
        <w:trPr>
          <w:trHeight w:val="180"/>
        </w:trPr>
        <w:tc>
          <w:tcPr>
            <w:tcW w:w="4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(132,493)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(132,493)</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50,205</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60,467,188</w:t>
            </w:r>
          </w:p>
        </w:tc>
        <w:tc>
          <w:tcPr>
            <w:tcW w:w="80" w:type="dxa"/>
            <w:vAlign w:val="bottom"/>
          </w:tcPr>
          <w:p>
            <w:pPr>
              <w:spacing w:after="0"/>
              <w:rPr>
                <w:sz w:val="14"/>
                <w:szCs w:val="14"/>
                <w:color w:val="auto"/>
              </w:rPr>
            </w:pPr>
          </w:p>
        </w:tc>
        <w:tc>
          <w:tcPr>
            <w:tcW w:w="820" w:type="dxa"/>
            <w:vAlign w:val="bottom"/>
            <w:tcBorders>
              <w:top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774,618</w:t>
            </w:r>
          </w:p>
        </w:tc>
        <w:tc>
          <w:tcPr>
            <w:tcW w:w="6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(528,383)</w:t>
            </w:r>
          </w:p>
        </w:tc>
        <w:tc>
          <w:tcPr>
            <w:tcW w:w="6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246,114</w:t>
            </w:r>
          </w:p>
        </w:tc>
        <w:tc>
          <w:tcPr>
            <w:tcW w:w="0" w:type="dxa"/>
            <w:vAlign w:val="bottom"/>
          </w:tcPr>
          <w:p>
            <w:pPr>
              <w:spacing w:after="0"/>
              <w:rPr>
                <w:sz w:val="1"/>
                <w:szCs w:val="1"/>
                <w:color w:val="auto"/>
              </w:rPr>
            </w:pPr>
          </w:p>
        </w:tc>
      </w:tr>
      <w:tr>
        <w:trPr>
          <w:trHeight w:val="138"/>
        </w:trPr>
        <w:tc>
          <w:tcPr>
            <w:tcW w:w="4340" w:type="dxa"/>
            <w:vAlign w:val="bottom"/>
            <w:shd w:val="clear" w:color="auto" w:fill="CCEEFF"/>
          </w:tcPr>
          <w:p>
            <w:pPr>
              <w:ind w:left="240"/>
              <w:spacing w:after="0" w:line="138" w:lineRule="exact"/>
              <w:rPr>
                <w:sz w:val="20"/>
                <w:szCs w:val="20"/>
                <w:color w:val="auto"/>
              </w:rPr>
            </w:pPr>
            <w:r>
              <w:rPr>
                <w:rFonts w:ascii="Times New Roman" w:cs="Times New Roman" w:eastAsia="Times New Roman" w:hAnsi="Times New Roman"/>
                <w:sz w:val="14"/>
                <w:szCs w:val="14"/>
                <w:color w:val="auto"/>
              </w:rPr>
              <w:t>Issuance of common stock pursuant to the Betta Pharma Stock Purchase</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Agreement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5,567,928</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19,999</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0" w:type="dxa"/>
            <w:vAlign w:val="bottom"/>
          </w:tcPr>
          <w:p>
            <w:pPr>
              <w:spacing w:after="0"/>
              <w:rPr>
                <w:sz w:val="1"/>
                <w:szCs w:val="1"/>
                <w:color w:val="auto"/>
              </w:rPr>
            </w:pPr>
          </w:p>
        </w:tc>
      </w:tr>
      <w:tr>
        <w:trPr>
          <w:trHeight w:val="138"/>
        </w:trPr>
        <w:tc>
          <w:tcPr>
            <w:tcW w:w="4340" w:type="dxa"/>
            <w:vAlign w:val="bottom"/>
          </w:tcPr>
          <w:p>
            <w:pPr>
              <w:ind w:left="240"/>
              <w:spacing w:after="0" w:line="138" w:lineRule="exact"/>
              <w:rPr>
                <w:sz w:val="20"/>
                <w:szCs w:val="20"/>
                <w:color w:val="auto"/>
              </w:rPr>
            </w:pPr>
            <w:r>
              <w:rPr>
                <w:rFonts w:ascii="Times New Roman" w:cs="Times New Roman" w:eastAsia="Times New Roman" w:hAnsi="Times New Roman"/>
                <w:sz w:val="14"/>
                <w:szCs w:val="14"/>
                <w:color w:val="auto"/>
              </w:rPr>
              <w:t>Issuance of common stock pursuant to the at-the-market equity</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program, net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4,132,122</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24,370</w:t>
            </w:r>
          </w:p>
        </w:tc>
        <w:tc>
          <w:tcPr>
            <w:tcW w:w="0" w:type="dxa"/>
            <w:vAlign w:val="bottom"/>
          </w:tcPr>
          <w:p>
            <w:pPr>
              <w:spacing w:after="0"/>
              <w:rPr>
                <w:sz w:val="1"/>
                <w:szCs w:val="1"/>
                <w:color w:val="auto"/>
              </w:rPr>
            </w:pPr>
          </w:p>
        </w:tc>
      </w:tr>
      <w:tr>
        <w:trPr>
          <w:trHeight w:val="181"/>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Exercise of stock options and release of stock units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149,818</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0" w:type="dxa"/>
            <w:vAlign w:val="bottom"/>
          </w:tcPr>
          <w:p>
            <w:pPr>
              <w:spacing w:after="0"/>
              <w:rPr>
                <w:sz w:val="1"/>
                <w:szCs w:val="1"/>
                <w:color w:val="auto"/>
              </w:rPr>
            </w:pPr>
          </w:p>
        </w:tc>
      </w:tr>
      <w:tr>
        <w:trPr>
          <w:trHeight w:val="138"/>
        </w:trPr>
        <w:tc>
          <w:tcPr>
            <w:tcW w:w="4340" w:type="dxa"/>
            <w:vAlign w:val="bottom"/>
          </w:tcPr>
          <w:p>
            <w:pPr>
              <w:ind w:left="240"/>
              <w:spacing w:after="0" w:line="138" w:lineRule="exact"/>
              <w:rPr>
                <w:sz w:val="20"/>
                <w:szCs w:val="20"/>
                <w:color w:val="auto"/>
              </w:rPr>
            </w:pPr>
            <w:r>
              <w:rPr>
                <w:rFonts w:ascii="Times New Roman" w:cs="Times New Roman" w:eastAsia="Times New Roman" w:hAnsi="Times New Roman"/>
                <w:sz w:val="14"/>
                <w:szCs w:val="14"/>
                <w:color w:val="auto"/>
              </w:rPr>
              <w:t>Issuance of common stock upon vesting of restricted stock units, net of</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shares repurchased for tax withholding</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176,819</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81"/>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Issuance of common stock under the 2020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110,895</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180"/>
        </w:trPr>
        <w:tc>
          <w:tcPr>
            <w:tcW w:w="4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29,662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29,662</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80"/>
        </w:trPr>
        <w:tc>
          <w:tcPr>
            <w:tcW w:w="4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(105,316)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(105,316)</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21,129</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70,625,899</w:t>
            </w:r>
          </w:p>
        </w:tc>
        <w:tc>
          <w:tcPr>
            <w:tcW w:w="8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849,625</w:t>
            </w: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(633,699)</w:t>
            </w: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215,986</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0" w:lineRule="exact"/>
        <w:rPr>
          <w:sz w:val="20"/>
          <w:szCs w:val="20"/>
          <w:color w:val="auto"/>
        </w:rPr>
      </w:pP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81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80" w:type="dxa"/>
            <w:vAlign w:val="bottom"/>
            <w:tcBorders>
              <w:bottom w:val="single" w:sz="8" w:color="auto"/>
            </w:tcBorders>
          </w:tcPr>
          <w:p>
            <w:pPr>
              <w:spacing w:after="0"/>
              <w:rPr>
                <w:sz w:val="13"/>
                <w:szCs w:val="13"/>
                <w:color w:val="auto"/>
              </w:rPr>
            </w:pPr>
          </w:p>
        </w:tc>
      </w:tr>
      <w:tr>
        <w:trPr>
          <w:trHeight w:val="154"/>
        </w:trPr>
        <w:tc>
          <w:tcPr>
            <w:tcW w:w="81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6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used in operating activities:</w:t>
            </w:r>
          </w:p>
        </w:tc>
        <w:tc>
          <w:tcPr>
            <w:tcW w:w="8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0"/>
        </w:trPr>
        <w:tc>
          <w:tcPr>
            <w:tcW w:w="8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(105,316)</w:t>
            </w:r>
          </w:p>
        </w:tc>
        <w:tc>
          <w:tcPr>
            <w:tcW w:w="80" w:type="dxa"/>
            <w:vAlign w:val="bottom"/>
          </w:tcPr>
          <w:p>
            <w:pPr>
              <w:spacing w:after="0"/>
              <w:rPr>
                <w:sz w:val="15"/>
                <w:szCs w:val="15"/>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(132,493)</w:t>
            </w:r>
          </w:p>
        </w:tc>
      </w:tr>
      <w:tr>
        <w:trPr>
          <w:trHeight w:val="180"/>
        </w:trPr>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Adjustments to reconcile net loss to cash used in operating activities:</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8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29,662</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27,235</w:t>
            </w:r>
          </w:p>
        </w:tc>
      </w:tr>
      <w:tr>
        <w:trPr>
          <w:trHeight w:val="180"/>
        </w:trPr>
        <w:tc>
          <w:tcPr>
            <w:tcW w:w="81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w:t>
            </w:r>
          </w:p>
        </w:tc>
      </w:tr>
      <w:tr>
        <w:trPr>
          <w:trHeight w:val="180"/>
        </w:trPr>
        <w:tc>
          <w:tcPr>
            <w:tcW w:w="8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Reduction in carrying amount of right-of-use asset</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6,159</w:t>
            </w:r>
          </w:p>
        </w:tc>
      </w:tr>
      <w:tr>
        <w:trPr>
          <w:trHeight w:val="180"/>
        </w:trPr>
        <w:tc>
          <w:tcPr>
            <w:tcW w:w="81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Accretion of premium on marketable securities</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(5,396)</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w:t>
            </w:r>
          </w:p>
        </w:tc>
      </w:tr>
      <w:tr>
        <w:trPr>
          <w:trHeight w:val="180"/>
        </w:trPr>
        <w:tc>
          <w:tcPr>
            <w:tcW w:w="8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Amortization of debt discount—related party</w:t>
            </w:r>
          </w:p>
        </w:tc>
        <w:tc>
          <w:tcPr>
            <w:tcW w:w="8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r>
      <w:tr>
        <w:trPr>
          <w:trHeight w:val="18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8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r>
      <w:tr>
        <w:trPr>
          <w:trHeight w:val="180"/>
        </w:trPr>
        <w:tc>
          <w:tcPr>
            <w:tcW w:w="8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Other</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80"/>
        </w:trPr>
        <w:tc>
          <w:tcPr>
            <w:tcW w:w="8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81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8,697</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(10,327)</w:t>
            </w:r>
          </w:p>
        </w:tc>
      </w:tr>
      <w:tr>
        <w:trPr>
          <w:trHeight w:val="18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and long-term assets</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2,723</w:t>
            </w:r>
          </w:p>
        </w:tc>
      </w:tr>
      <w:tr>
        <w:trPr>
          <w:trHeight w:val="180"/>
        </w:trPr>
        <w:tc>
          <w:tcPr>
            <w:tcW w:w="81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r>
      <w:tr>
        <w:trPr>
          <w:trHeight w:val="18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w:t>
            </w:r>
          </w:p>
        </w:tc>
      </w:tr>
      <w:tr>
        <w:trPr>
          <w:trHeight w:val="180"/>
        </w:trPr>
        <w:tc>
          <w:tcPr>
            <w:tcW w:w="81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(5,219)</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(4,695)</w:t>
            </w:r>
          </w:p>
        </w:tc>
      </w:tr>
      <w:tr>
        <w:trPr>
          <w:trHeight w:val="18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8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9,884</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3,772</w:t>
            </w:r>
          </w:p>
        </w:tc>
      </w:tr>
      <w:tr>
        <w:trPr>
          <w:trHeight w:val="171"/>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(65,157)</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(106,838)</w:t>
            </w:r>
          </w:p>
        </w:tc>
      </w:tr>
      <w:tr>
        <w:trPr>
          <w:trHeight w:val="17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provided by investing activities:</w:t>
            </w:r>
          </w:p>
        </w:tc>
        <w:tc>
          <w:tcPr>
            <w:tcW w:w="8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0"/>
        </w:trPr>
        <w:tc>
          <w:tcPr>
            <w:tcW w:w="8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233,231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289,955</w:t>
            </w:r>
          </w:p>
        </w:tc>
      </w:tr>
      <w:tr>
        <w:trPr>
          <w:trHeight w:val="180"/>
        </w:trPr>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Purchase of marketable securities</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(284,321)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(129,898)</w:t>
            </w:r>
          </w:p>
        </w:tc>
      </w:tr>
      <w:tr>
        <w:trPr>
          <w:trHeight w:val="180"/>
        </w:trPr>
        <w:tc>
          <w:tcPr>
            <w:tcW w:w="8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(1,708)</w:t>
            </w:r>
          </w:p>
        </w:tc>
      </w:tr>
      <w:tr>
        <w:trPr>
          <w:trHeight w:val="17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8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(51,270)</w:t>
            </w: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158,349</w:t>
            </w:r>
          </w:p>
        </w:tc>
      </w:tr>
      <w:tr>
        <w:trPr>
          <w:trHeight w:val="17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provided by financing activities:</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1"/>
        </w:trPr>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Proceeds from issuance of common stock pursuant to the at-the-market equity program, net</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24,370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57,673</w:t>
            </w:r>
          </w:p>
        </w:tc>
      </w:tr>
      <w:tr>
        <w:trPr>
          <w:trHeight w:val="180"/>
        </w:trPr>
        <w:tc>
          <w:tcPr>
            <w:tcW w:w="8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common stock pursuant to the Betta Pharma Stock Purchase Agreement</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Payment of long-term debt − related party</w:t>
            </w:r>
          </w:p>
        </w:tc>
        <w:tc>
          <w:tcPr>
            <w:tcW w:w="8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w:t>
            </w:r>
          </w:p>
        </w:tc>
      </w:tr>
      <w:tr>
        <w:trPr>
          <w:trHeight w:val="180"/>
        </w:trPr>
        <w:tc>
          <w:tcPr>
            <w:tcW w:w="8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exercises of stock options</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0"/>
        </w:trPr>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Payments for repurchase of common stock for tax withholding</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180"/>
        </w:trPr>
        <w:tc>
          <w:tcPr>
            <w:tcW w:w="8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8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w:t>
            </w:r>
          </w:p>
        </w:tc>
      </w:tr>
      <w:tr>
        <w:trPr>
          <w:trHeight w:val="17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45,336</w:t>
            </w: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45,489</w:t>
            </w:r>
          </w:p>
        </w:tc>
      </w:tr>
      <w:tr>
        <w:trPr>
          <w:trHeight w:val="192"/>
        </w:trPr>
        <w:tc>
          <w:tcPr>
            <w:tcW w:w="8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(71,091)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97,000</w:t>
            </w:r>
          </w:p>
        </w:tc>
      </w:tr>
      <w:tr>
        <w:trPr>
          <w:trHeight w:val="18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8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130,033</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33,033</w:t>
            </w:r>
          </w:p>
        </w:tc>
      </w:tr>
      <w:tr>
        <w:trPr>
          <w:trHeight w:val="196"/>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86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58,942</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130,033</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Reconciliation of cash, cash equivalents and restricted cash:</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8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cash equivalents and restricted cash at end of year</w:t>
            </w:r>
          </w:p>
        </w:tc>
        <w:tc>
          <w:tcPr>
            <w:tcW w:w="860" w:type="dxa"/>
            <w:vAlign w:val="bottom"/>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58,942</w:t>
            </w:r>
          </w:p>
        </w:tc>
        <w:tc>
          <w:tcPr>
            <w:tcW w:w="80" w:type="dxa"/>
            <w:vAlign w:val="bottom"/>
          </w:tcPr>
          <w:p>
            <w:pPr>
              <w:spacing w:after="0"/>
              <w:rPr>
                <w:sz w:val="15"/>
                <w:szCs w:val="15"/>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130,033</w:t>
            </w:r>
          </w:p>
        </w:tc>
      </w:tr>
      <w:tr>
        <w:trPr>
          <w:trHeight w:val="180"/>
        </w:trPr>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Less: restricted cash</w:t>
            </w:r>
          </w:p>
        </w:tc>
        <w:tc>
          <w:tcPr>
            <w:tcW w:w="8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(3,443)</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(3,443)</w:t>
            </w:r>
          </w:p>
        </w:tc>
      </w:tr>
      <w:tr>
        <w:trPr>
          <w:trHeight w:val="171"/>
        </w:trPr>
        <w:tc>
          <w:tcPr>
            <w:tcW w:w="8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and cash equivalents at end of the year</w:t>
            </w:r>
          </w:p>
        </w:tc>
        <w:tc>
          <w:tcPr>
            <w:tcW w:w="86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55,499</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126,590</w:t>
            </w:r>
          </w:p>
        </w:tc>
      </w:tr>
      <w:tr>
        <w:trPr>
          <w:trHeight w:val="20"/>
        </w:trPr>
        <w:tc>
          <w:tcPr>
            <w:tcW w:w="8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 Continued</w:t>
      </w:r>
    </w:p>
    <w:p>
      <w:pPr>
        <w:spacing w:after="0" w:line="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0" w:lineRule="exact"/>
        <w:rPr>
          <w:sz w:val="20"/>
          <w:szCs w:val="20"/>
          <w:color w:val="auto"/>
        </w:rPr>
      </w:pP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158"/>
        </w:trPr>
        <w:tc>
          <w:tcPr>
            <w:tcW w:w="78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60" w:type="dxa"/>
            <w:vAlign w:val="bottom"/>
            <w:tcBorders>
              <w:bottom w:val="single" w:sz="8" w:color="auto"/>
            </w:tcBorders>
          </w:tcPr>
          <w:p>
            <w:pPr>
              <w:spacing w:after="0"/>
              <w:rPr>
                <w:sz w:val="13"/>
                <w:szCs w:val="13"/>
                <w:color w:val="auto"/>
              </w:rPr>
            </w:pPr>
          </w:p>
        </w:tc>
      </w:tr>
      <w:tr>
        <w:trPr>
          <w:trHeight w:val="154"/>
        </w:trPr>
        <w:tc>
          <w:tcPr>
            <w:tcW w:w="78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6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0"/>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revenue in accounts receivable</w:t>
            </w:r>
          </w:p>
        </w:tc>
        <w:tc>
          <w:tcPr>
            <w:tcW w:w="880" w:type="dxa"/>
            <w:vAlign w:val="bottom"/>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88"/>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paid for interest - related party</w:t>
            </w:r>
          </w:p>
        </w:tc>
        <w:tc>
          <w:tcPr>
            <w:tcW w:w="88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r>
        <w:trPr>
          <w:trHeight w:val="143"/>
        </w:trPr>
        <w:tc>
          <w:tcPr>
            <w:tcW w:w="7820" w:type="dxa"/>
            <w:vAlign w:val="bottom"/>
          </w:tcPr>
          <w:p>
            <w:pPr>
              <w:ind w:left="220"/>
              <w:spacing w:after="0" w:line="143" w:lineRule="exact"/>
              <w:rPr>
                <w:sz w:val="20"/>
                <w:szCs w:val="20"/>
                <w:color w:val="auto"/>
              </w:rPr>
            </w:pPr>
            <w:r>
              <w:rPr>
                <w:rFonts w:ascii="Times New Roman" w:cs="Times New Roman" w:eastAsia="Times New Roman" w:hAnsi="Times New Roman"/>
                <w:sz w:val="14"/>
                <w:szCs w:val="14"/>
                <w:color w:val="auto"/>
              </w:rPr>
              <w:t>Cash paid for income taxes</w:t>
            </w:r>
          </w:p>
        </w:tc>
        <w:tc>
          <w:tcPr>
            <w:tcW w:w="880" w:type="dxa"/>
            <w:vAlign w:val="bottom"/>
            <w:tcBorders>
              <w:top w:val="single" w:sz="8" w:color="auto"/>
              <w:bottom w:val="single" w:sz="8" w:color="auto"/>
            </w:tcBorders>
          </w:tcPr>
          <w:p>
            <w:pPr>
              <w:jc w:val="right"/>
              <w:ind w:right="712"/>
              <w:spacing w:after="0" w:line="143"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ind w:left="420"/>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4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1,003</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3"/>
        </w:trPr>
        <w:tc>
          <w:tcPr>
            <w:tcW w:w="78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disclosures of non-cash investing and financing activities:</w:t>
            </w: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Capital expenditures in accounts payable and accrued expenses</w:t>
            </w:r>
          </w:p>
        </w:tc>
        <w:tc>
          <w:tcPr>
            <w:tcW w:w="88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300" w:top="123" w:right="5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Nature of the business</w:t>
      </w:r>
    </w:p>
    <w:p>
      <w:pPr>
        <w:spacing w:after="0" w:line="16"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4"/>
          <w:szCs w:val="14"/>
          <w:color w:val="auto"/>
        </w:rPr>
        <w:t>C4 Therapeutics, Inc., or, together with its subsidiary, the Company, is a clinical-stage biopharmaceutical company dedicated to delivering on the promise of targeted protein degradation science to create a new generation of medicines that transforms patients’ lives. The Company is progressing targeted oncology programs through clinical studies and leveraging its TORPEDO platform to efficiently design and optimize small-molecule medicines to address difficult-to-treat diseases. The Company's degrader medicines are designed to harness the body’s natural protein recycling system to rapidly degrade disease-causing proteins, offering the potential to overcome drug resistance, drug undruggable targets and improve patient outcomes. The Company was incorporated in Delaware on October 7, 2015 and has its principal office in Watertown, Massachusetts.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 and capital resources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Since its inception, the Company’s primary activities have been focused on performing research and development activities, building the Company’s intellectual property, recruiting personnel, and raising capital to support these activities. To date, the Company has funded its operations primarily with proceeds received from the sales of redeemable convertible preferred stock, public offerings of the Company’s common stock, equity issuances, through its collaboration agreements, and debt financing.</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has incurred recurring losses since its inception, including net losses of $105.3 million and $132.5 million for the years ended December 31, 2024 and 2023, respectively. In addition, as of December 31, 2024, the Company had an accumulated deficit of $633.7 million. To date, the Company has not generated any revenue from product sales as none of its product candidates has been approved for commercialization. The Company expects to continue to generate operating losses for the foreseeable future.</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expects that its cash, cash equivalents, and marketable securities of $267.3 million as of December 31, 2024 will be sufficient to fund its operations for at least the next twelve months from the date of issuance of these consolidated financial statements. Accordingly, the consolidated financial statements have been prepared on a basis that assumes the Company will continue as a going concern and contemplates the realization of assets and satisfaction of liabilities and commitments in the ordinary course of business.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and uncertainties</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 is subject to risks common to other life science companies in the early development stage including, but not limited to, uncertainty of ability to raise additional financing, product development and commercialization, development by its competitors of new technological innovations, dependence on key personnel, market acceptance of products, lack of marketing and sales history, product liability, protection of proprietary technology and intellectual property, and compliance with the Food and Drug Administration, or the FDA, and other government regulations. If the Company does not successfully advance its programs into and through human clinical trials and commercialize any of its product candidates either directly or through collaborations with other companies, the Company may be unable to produce product revenue or achieve profitability. There can be no assurance that the Company’s research and development efforts will be successful, adequate protection for the Company’s intellectual property will be obtained, any products developed will obtain necessary government regulatory approval, or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Summary of significant accounting policies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has prepared the accompanying consolidated financial statements in conformity with generally accepted accounting principles in the United States of America, or U.S. GAAP. Any reference in these notes to applicable guidance is meant to refer to the authoritative U.S. GAAP as found in the Accounting Standards Codification, or ASC, and Accounting Standards Update, or ASU, of the Financial Accounting Standards Board, or FASB.</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consolidated financial statements include the accounts of C4 Therapeutics, Inc. and its wholly owned subsidiary, C4T Securities Corporation, a Massachusetts securities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significant intercompany balances and transactions have been eliminated in consolidation.</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preparation of the consolidated financial statements in conformity with U.S. GAAP requires management to make estimates and assumptions that affect the reported amounts of assets and liabilities and disclosures of contingent assets and liabilities as of the date of the consolidated financial statements and the reported amounts of revenues and expenses during the reporting period. The Company bases its estimates and assumptions on historical experience when available and on various factors that it believes to be reasonable under the circumstances. This process may result in actual results differing materially from those estimated amounts used in the preparation of the consolidated financial statements if these results differ from historical experience or other assumptions do not turn out to be substantially accurate, even if such assumptions are reasonable when made. Areas where management uses subjective judgement include, but are not limited to, amounts and timing of revenues recognized under the Company’s research and development collaboration arrangements, prepaid and accrued research and development expense, estimates of the useful lives of long-lived assets, assessments of the impairment of long-lived assets, measurement of right-of-use assets and lease liabilities, incremental borrowing rate used in the measurement of lease liability, and valuation and recognition of share-based compensation expense. The Company assesses estimates on an ongoing basis, and bases its estimates on historical experience, known trends and various other assumptions that are believed to be reasonable, the results of which form the basis for making judgements about the carrying values of assets and liabilities. Actual results could materially differ from those estimates.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Operating segments are defined as components of an enterprise for which separate and discrete information is available for evaluation by the chief operating decision-maker in deciding how to allocate resources and assess performance. The Company has one operating segment. The Company’s chief operating decision maker, its Chief Executive Officer, manages the Company’s operations on a consolidated basis for the purpose of allocating resources. All of the Company’s long-lived assets are held in the United States.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equivalents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considers all highly liquid investments with a maturity of three months or less when purchased to be cash equivalents. The Company’s cash equivalents are measured at fair value on a recurring basis.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Restricted cash consists of cash placed in a separate restricted bank account as required under the terms of the Company’s lease agreement for its Watertown, Massachusetts facilities, as further described within Note 6,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Marketable securities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classifies marketable securities with a remaining maturity of greater than three months at the date of purchase as available-for-sale. Marketable securities with a remaining maturity date greater than one year are classified as non-current assets. Available-for-sale securities are carried at fair value with the unrealized gains and losses included in accumulated other comprehensive (loss) income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other income (expense).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credit risk</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significant concentration of credit risk consist primarily of cash, cash equivalents, marketable securities, and restricted cash. The Company may maintain deposits in financial institutions in excess of government insured limits. The Company believes that it is not exposed to significant credit risk as its deposits are held at financial institutions that management believes to be of high credit quality, and the Company has not experienced any losses on these deposits. Additionally, the Company has established guidelines relative to credit ratings and maturities intended to safeguard principal balances and maintain liquidity. The Company maintains its funds in accordance with its investment policy, which defines allowable investments, specifies credit quality standards and is designed to limit credit exposure to any single issuer.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ASC Topic 820,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or ASC 820, establishes a fair value hierarchy for instruments measured at fair value that distinguishes between assumptions based on market data (observable inputs) and the Company’s own assumptions (unobservable inputs). Observable inputs are those that market participants would use in pricing the asset 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value hierarchy that distinguishes between the following:</w:t>
      </w:r>
    </w:p>
    <w:p>
      <w:pPr>
        <w:spacing w:after="0" w:line="56" w:lineRule="exact"/>
        <w:rPr>
          <w:sz w:val="20"/>
          <w:szCs w:val="20"/>
          <w:color w:val="auto"/>
        </w:rPr>
      </w:pPr>
    </w:p>
    <w:p>
      <w:pPr>
        <w:ind w:left="640" w:hanging="317"/>
        <w:spacing w:after="0"/>
        <w:tabs>
          <w:tab w:leader="none" w:pos="6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1—Observable inputs that reflect quoted market prices in active markets for identical assets or liabilities in active markets.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2—Inputs other than Level 1 inputs that are either directly or indirectly observable in the marketplace.</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3—Unobservable inputs, which are supported by little or no market activity, and may be developed using estimates of assumptions developed by the Company, which reflect those that a market participant may use.</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 The Company evaluates transfers between levels at the end of each reporting period.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Property and equipment are recorded at cost, less accumulated depreciation. Expenditures for repairs and maintenance are expensed as incurred. When assets are retired or disposed of, the assets and related accumulated depreciation are derecognized from the accounts, and any resulting gain or loss is included in the determination of net loss.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on equipment is calculated using the straight-line method over the estimated useful lives of the assets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Asset category</w:t>
            </w:r>
          </w:p>
        </w:tc>
        <w:tc>
          <w:tcPr>
            <w:tcW w:w="80" w:type="dxa"/>
            <w:vAlign w:val="bottom"/>
            <w:tcBorders>
              <w:bottom w:val="single" w:sz="8" w:color="CFF0FC"/>
            </w:tcBorders>
          </w:tcPr>
          <w:p>
            <w:pPr>
              <w:spacing w:after="0"/>
              <w:rPr>
                <w:sz w:val="13"/>
                <w:szCs w:val="13"/>
                <w:color w:val="auto"/>
              </w:rPr>
            </w:pP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Estimated useful life</w:t>
            </w:r>
          </w:p>
        </w:tc>
      </w:tr>
      <w:tr>
        <w:trPr>
          <w:trHeight w:val="202"/>
        </w:trPr>
        <w:tc>
          <w:tcPr>
            <w:tcW w:w="5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Laboratory equipment</w:t>
            </w:r>
          </w:p>
        </w:tc>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5 years</w:t>
            </w:r>
          </w:p>
        </w:tc>
      </w:tr>
      <w:tr>
        <w:trPr>
          <w:trHeight w:val="196"/>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Computer equipment</w:t>
            </w:r>
          </w:p>
        </w:tc>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 years</w:t>
            </w:r>
          </w:p>
        </w:tc>
      </w:tr>
      <w:tr>
        <w:trPr>
          <w:trHeight w:val="207"/>
        </w:trPr>
        <w:tc>
          <w:tcPr>
            <w:tcW w:w="5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Office equipment, furniture and fixtures</w:t>
            </w:r>
          </w:p>
        </w:tc>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5 years</w:t>
            </w:r>
          </w:p>
        </w:tc>
      </w:tr>
      <w:tr>
        <w:trPr>
          <w:trHeight w:val="191"/>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Lesser of useful life or remaining lease term</w:t>
            </w: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The Company accounts for leases in accordance with ASC Topic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or ASC 842. At the inception of an arrangement, the Company determines whether the arrangement is or contains a lease based on specific facts and circumstances present, the existence of an identified asset(s), if any, and the Company’s control over the use of the identified asset(s), if applicable. As provided by ASC 842, the Company elected to combine lease and non-lease components as a single component for all leases. Operating lease liabilities and their corresponding right-of-use assets are recorded based on the present value of future lease payments over the expected lease term. Certain adjustments to the right-of-use asset may be required for items such as incentives received. The Company typically only includes an initial lease term in its assessment of a lease arrangement; options to renew a lease are not included in the assessment unless there is reasonable certainty that the Company will renew. The interest rate implicit in lease contracts is typically not readily determinable. As such, in calculating the lease liability, the Company utilizes its incremental borrowing rate, which is the rate incurred to borrow on a collateralized basis over a similar term an amount equal to the lease payments in a similar economic environment. Lease expense is recognized over the expected lease term on a straight-line basis.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evaluates its long-lived assets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 the fair value of the assets. Assets to be disposed of are reported at the lower of the carrying amount or fair value less costs to sell.</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Commitments and contingencies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The Company recognizes revenue in accordance with ASC Topic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or ASC 606. This standard applies to all contracts with customers, except for contracts that are within the scope of other standards. Under ASC 606, an entity recognizes revenue when its customer obtains control of promised goods or services, in an amount that reflects the consideration which the entity expects to receive in exchange for those goods or services.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enters into collaboration and licensing agreements with strategic partners, which are within the scope of ASC 606, under which it may exclusively license rights to research, develop, manufacture, and commercialize its product candidates to third parties. The terms of these arrangements typically include payment to the Company of one or more of the following: (1) non-refundable, upfront license fees; (2) reimbursement of certain costs; (3) customer option fees for additional goods or services; (4) development milestone payments; (5) regulatory and commercial milestone payments; and (6) royalties on net sales of licensed products.</w:t>
      </w:r>
    </w:p>
    <w:p>
      <w:pPr>
        <w:spacing w:after="0" w:line="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w:t>
      </w:r>
    </w:p>
    <w:p>
      <w:pPr>
        <w:spacing w:after="0" w:line="1" w:lineRule="exact"/>
        <w:rPr>
          <w:sz w:val="20"/>
          <w:szCs w:val="20"/>
          <w:color w:val="auto"/>
        </w:rPr>
      </w:pPr>
    </w:p>
    <w:p>
      <w:pPr>
        <w:jc w:val="both"/>
        <w:ind w:firstLine="5"/>
        <w:spacing w:after="0" w:line="255" w:lineRule="auto"/>
        <w:tabs>
          <w:tab w:leader="none" w:pos="259"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its judgment to determine: (a) the number of performance obligations based on the determination under step (ii) above; (b) the transaction price under step (iii) above; (c) the stand-alone selling price for each performance obligation identified in the contract for the allocation of transaction price in step (iv) above; and (d) the contract term and pattern of satisfaction of the performance obligations under step (v) above. The Company uses judgment to determine whether milestones or other variable consideration, except for royalties,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w:t>
      </w:r>
    </w:p>
    <w:p>
      <w:pPr>
        <w:spacing w:after="0" w:line="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Amounts due to the Company for satisfying the revenue recognition criteria or that are contractually due based upon the terms of the collaboration agreements are recorded as accounts receivable in the Company’s consolidated balance sheet. Amounts received prior to satisfying the revenue recognition criteria are recorded as deferred revenue in the Company’s consolidated balance sheets.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net of current portion.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Upfront license fees</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If the license to the Company’s intellectual property is determined to be distinct from the other promises or performance obligations identified in the arrangement, the Company recognizes revenue from non-refundable, upfront fees allocated to the license when the license is transferred to the customer and the customer is able to use and benefit from the license. In assessing whether a promise or performance obligation is distinct from the other promises, the Company considers factors such as the research, manufacturing, and commercialization capabilities of the customer; the retention of any key rights by the Company; and the availability of the associated expertise in the general marketplace. In addition, the Company considers whether the customer can benefit from a promise for its intended purpose without the receipt of the remaining promises, whether the value of the promise is dependent on the unsatisfied promise, whether there are other vendors that could provide the remaining promise and whether it is separately identifiable from the remaining promise. For licenses that are combined with other promises, the Company exercises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Customer options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If an option is not exercised and the target is terminated, the Company will accelerate and recognize all remaining revenue related to the material right performance obligation.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services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promises under the Company’s collaboration agreements may include research and development services to be performed by the Company for or on behalf of the customer. Payments or reimbursements resulting from the Company’s research and development efforts are recognized as the services are performed and presented on a gross basis because the Company is the principal for such efforts. Reimbursements from and payments to the customer that are the result of a collaborative relationship with the customer, instead of a customer relationship, such as co-development activities, are recorded as a reduction to research and development expense.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Milestone payments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At the inception of each arrangement that includes development milestone 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further discussion of accounting for collaboration revenues, see </w:t>
      </w:r>
      <w:r>
        <w:rPr>
          <w:rFonts w:ascii="Times New Roman" w:cs="Times New Roman" w:eastAsia="Times New Roman" w:hAnsi="Times New Roman"/>
          <w:sz w:val="14"/>
          <w:szCs w:val="14"/>
          <w:i w:val="1"/>
          <w:iCs w:val="1"/>
          <w:color w:val="auto"/>
        </w:rPr>
        <w:t>Note 8. Collaboration and license agreements.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Research and development costs are expensed as incurred and consist of the costs associated with conducting preclinical studies and clinical trials, which primarily include salaries, stock-based compensation and other employee benefit expenses, lab related supplies and other operational costs related to the Company’s research and development activities, including allocated facility-related expenses and external costs of outside vendors engaged to conduct research and development activities.</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Clinical trial costs are a significant component of the Company's research and development expenses. The Company historically has contracted with third parties that perform various clinical trial activities on behalf of the Company in the ongoing development of the Company's product candidates. As part of the process of preparing the consolidated financial statements, the Company is required to estimate their accrued research and development expenses. The Company makes estimates of the accrued expenses as of each balance sheet date in the consolidated financial statements based on facts and circumstances known at that time, and include reviewing open contracts and purchase orders, communicating with its personnel to identify services that have been performed on its behalf and estimating the level of service performed and the associated costs incurred for the services when the Company has not yet been invoiced or otherwise notified of the actual costs. If contracted amounts with third parties are modified (for instance, as a result of changes in the clinical trial protocol or scope of work to be performed), the Company will modify the related accruals accordingly on a prospective basis. Revisions in the scope of a contract are charged to expense in the period in which the facts that give rise to the revision become reasonably certain.</w:t>
      </w:r>
    </w:p>
    <w:p>
      <w:pPr>
        <w:spacing w:after="0" w:line="6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addition, there may be instances in which payments made to the Company’s vendors will exceed the level of services provided and result in a prepayment of the expense, in which case such amounts are reflected as prepaid expenses and other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current assets. In accruing service fees, the Company estimates the time period over which services will be performed and the level of effort to be expended in each period. If the actual timing of the performance of services or the level of effort varies from the estimate, the Company adjusts the accrual or the amount of prepaid expenses accordingly. Nonrefundable advance payments for goods or services to be received in the future for use in research and development activities are deferred and capitalized in prepaid expenses and other current assets. The capitalized amounts are expensed as the related goods are delivered or the services are performed.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The Company applies ASC Topic 718, </w:t>
      </w:r>
      <w:r>
        <w:rPr>
          <w:rFonts w:ascii="Times New Roman" w:cs="Times New Roman" w:eastAsia="Times New Roman" w:hAnsi="Times New Roman"/>
          <w:sz w:val="14"/>
          <w:szCs w:val="14"/>
          <w:i w:val="1"/>
          <w:iCs w:val="1"/>
          <w:color w:val="auto"/>
        </w:rPr>
        <w:t>Compensation - Stock Compensation</w:t>
      </w:r>
      <w:r>
        <w:rPr>
          <w:rFonts w:ascii="Times New Roman" w:cs="Times New Roman" w:eastAsia="Times New Roman" w:hAnsi="Times New Roman"/>
          <w:sz w:val="14"/>
          <w:szCs w:val="14"/>
          <w:color w:val="auto"/>
        </w:rPr>
        <w:t>, or ASC 718, to account for its stock-based payments. In accordance with the ASC 718, the Company determines whether an award should be classified and accounted for as a liability award or an equity award. All of the Company's grants of stock-based awards to employees were classified as equity awards and are recognized in the Company's financial statements based on the grant date fair value measured using the Black-Scholes option pricing model. The Black-Scholes option pricing model estimates the fair value of the equity award using the expected term, expected volatility, risk-free interest rate, dividend rate, and the fair value of the common stock underlying the stock-based award.</w:t>
      </w:r>
    </w:p>
    <w:p>
      <w:pPr>
        <w:spacing w:after="0" w:line="55" w:lineRule="exact"/>
        <w:rPr>
          <w:sz w:val="20"/>
          <w:szCs w:val="20"/>
          <w:color w:val="auto"/>
        </w:rPr>
      </w:pPr>
    </w:p>
    <w:p>
      <w:pPr>
        <w:ind w:left="640" w:hanging="317"/>
        <w:spacing w:after="0" w:line="287" w:lineRule="auto"/>
        <w:tabs>
          <w:tab w:leader="none" w:pos="636"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estimates the expected term using the “simplified” method, whereby, the expected term equals the arithmetic average of the vesting term and the contractual term of the option.</w:t>
      </w:r>
    </w:p>
    <w:p>
      <w:pPr>
        <w:spacing w:after="0" w:line="39"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lack of sufficient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risk-free interest rates for periods within the expected life of the option were based on the U.S. Treasury yield curve in effect during the period the options were granted.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dividend yield is assumed to be zero as the Company has never paid dividends and currently has no plans to pay any dividends on its common stock.</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common stock underlying shared based awards is the quoted market price of the Company’s common stock on the date of the grant.</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recognizes forfeitures as they occur.</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fair value of the awards are recognized as stock-based compensation expense on a straight-line basis over the requisite service period of the awards, which is generally the vesting period. For awards subject to both performance and service-based vesting conditions, we recognize stock-based compensation expense over the remaining service period if the performance condition is considered probable of achievement using management’s best estimates. Stock-based compensation expense is classified in the consolidated statement of operations and comprehensive loss in the same manner in which the award recipients’ payroll costs are classified or in which the award recipients’ service payments are classified.</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 change in any of the terms or conditions of an equity award is accounted for as a modification of the award. Incremental compensation cost is measured as the excess, if any, of the fair value of the modified award over the fair value of the original award immediately before its terms are modified, measured based on the fair value of the awards and other pertinent factors at the modification date. For vested awards, the Company recognizes incremental compensation cost in the period the modification occurs. For unvested awards, the Company recognizes the expense over the remaining requisite service period, the sum of the incremental compensation cost and the remaining unrecognized compensation cost for the original award on the modification date. If the fair value of the modified award is lower than the fair value of the original award immediately before modification, the minimum compensation cost the Company recognizes is the cost of the original award.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accounts for income taxes using the asset and liability method, which requires the recognition of deferred tax assets and liabilities for the expected future tax consequence of events that have been recognized in the consolidated financial statements or the Company’s tax returns. Under this method, deferred tax assets and liabilities are determined based on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The Company evaluates its uncertain tax positions using the provisions of ASC Topic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or ASC 740, which prescribes a recognition threshold that a tax position is required to meet before being recognized in the consolidated financial statements by using a "more-likely-than-not" criteria for financial statement recognition and measurement of a tax position taken or expected to be taken in a tax return. The provision for income taxes includes the effects of any resulting tax reserves, or unrecognized tax benefits, which are considered appropriate as well as the related net interest and penalties.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Comprehensive loss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Comprehensive loss is defined as the change in equity of a business enterprise during a period from transactions and other events and circumstances from non-owner sources. Comprehensive loss includes net loss as well as other changes in stockholders’ equity which includes certain changes in equity that are excluded from net loss. The Company’s only element of other comprehensive income is unrealized gains and losses on marketable securities.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Basic and diluted net loss per share are computed using the weighted-average number of shares of common stock outstanding for the period. The Company computes diluted (loss) earnings per share after giving consideration to the dilutive effect of stock options and unvested restricted stock that are outstanding during the period, except where such securities would be anti-dilutive.</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Common stock equivalent shares are excluded from the computation of diluted net loss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Going concern</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At each reporting period, the Company evaluates whether there are conditions or events that raise substantial doubt about the Company’s ability to continue as a going concern within one year after the date that the consolidated financial statements are issued. The Company is required to make certain additional disclosures if it concludes substantial doubt exists and it is not alleviated by the Company’s plans or when its plans alleviate substantial doubt about the Company’s ability to continue as a going concern. The Company’s evaluation entails analyzing prospective operating budgets and forecasts for expectations of the Company’s cash needs and comparing those needs to the current cash, cash equivalent, and marketable securities balances.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standards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November 2023, the FASB issued ASU 2023-07, Segment Reporting (Topic 280): Improvements to Reportable Segment Disclosures, or ASU 2023-07. ASU 2023-07 requires enhanced disclosures about significant segment expenses, enhanced interim disclosure requirements, clarifies circumstances in which an entity can disclose multiple segment measures of profit or loss, provides new segment disclosure requirements for entities with a single reportable segment, and contains other disclosure requirements. ASU 2023-07 is effective for the Company’s annual reporting period beginning after December 15, 2023, and subsequent interim periods, with early adoption permitted. ASU 2023-07 requires retrospective application to all prior periods presented in the financial statements. See Note 16 for a discussion of the Company's adoption of ASU 2023-07.</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standards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or ASU 2023-09. ASU 2023-09 requires a company's annual financial statements to include consistent categories and greater disaggregation of information in the rate reconciliation, and income taxes paid disaggregated by jurisdiction. ASU 2023-09 is effective for the Company’s annual reporting periods beginning after December 15, 2025. Adoption is either with a prospective method or a fully retrospective method of transition. Early adoption is permitted. The Company is currently evaluating the effect that adoption of ASU 2023-09 will have on its consolidated financial statements.</w:t>
      </w:r>
    </w:p>
    <w:p>
      <w:pPr>
        <w:spacing w:after="0" w:line="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Statement—Reporting Comprehensive Income—Expense Disaggregation Disclosures (Subtopic 220-40): Disaggregation of Income Statement Expenses, or ASU 2024-03. ASU 2024-03 requires enhanced disclosures of disaggregated income statement expenses. Disclosure within the notes of the financial statements for each annual and interim period should include: employee compensation, depreciation, and intangible asset amortization, included in each relevant expense caption; certain amounts that are already required to be disclosed under current GAAP in the same disclosure as the other disaggregation requirement; a qualitative description of the amounts remaining in relevant expense captions that are not separately disaggregated quantitatively; and the total amount of selling expenses and, in annual reporting periods, an entity’s definition of selling expenses. ASU 2024-03 is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effective for fiscal years beginning after December 15, 2026, and interim periods within fiscal years beginning December 15, 2027. Early adoption is permitted. The Company is currently evaluating the effect that adoption of ASU 2024-03 will have on its consolidated financial statements.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Fair value measurements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tables present information about the Company’s financial assets measured at fair value on a recurring basis and indicates the level of the fair value hierarchy utilized to determine such fair values as of December 31, 2024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20" w:type="dxa"/>
            <w:vAlign w:val="bottom"/>
          </w:tcPr>
          <w:p>
            <w:pPr>
              <w:spacing w:after="0"/>
              <w:rPr>
                <w:sz w:val="13"/>
                <w:szCs w:val="13"/>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340" w:type="dxa"/>
            <w:vAlign w:val="bottom"/>
          </w:tcPr>
          <w:p>
            <w:pPr>
              <w:spacing w:after="0"/>
              <w:rPr>
                <w:sz w:val="13"/>
                <w:szCs w:val="13"/>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Pr>
          <w:p>
            <w:pPr>
              <w:spacing w:after="0"/>
              <w:rPr>
                <w:sz w:val="13"/>
                <w:szCs w:val="13"/>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91"/>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equivalents:</w:t>
            </w:r>
          </w:p>
        </w:tc>
        <w:tc>
          <w:tcPr>
            <w:tcW w:w="3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r>
      <w:tr>
        <w:trPr>
          <w:trHeight w:val="19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Money market funds</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46,219</w:t>
            </w:r>
          </w:p>
        </w:tc>
        <w:tc>
          <w:tcPr>
            <w:tcW w:w="8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46,219</w:t>
            </w:r>
          </w:p>
        </w:tc>
        <w:tc>
          <w:tcPr>
            <w:tcW w:w="80" w:type="dxa"/>
            <w:vAlign w:val="bottom"/>
          </w:tcPr>
          <w:p>
            <w:pPr>
              <w:spacing w:after="0"/>
              <w:rPr>
                <w:sz w:val="17"/>
                <w:szCs w:val="17"/>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Treasury securities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7"/>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Treasury securities</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government debt securities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equivalents and marketable securities</w:t>
            </w: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267,026</w:t>
            </w: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46,219</w:t>
            </w:r>
          </w:p>
        </w:tc>
        <w:tc>
          <w:tcPr>
            <w:tcW w:w="8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220,807</w:t>
            </w: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fair value of the Company’s financial assets by level within the fair value hierarchy at December 31, 2023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20" w:type="dxa"/>
            <w:vAlign w:val="bottom"/>
          </w:tcPr>
          <w:p>
            <w:pPr>
              <w:spacing w:after="0"/>
              <w:rPr>
                <w:sz w:val="13"/>
                <w:szCs w:val="13"/>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340" w:type="dxa"/>
            <w:vAlign w:val="bottom"/>
          </w:tcPr>
          <w:p>
            <w:pPr>
              <w:spacing w:after="0"/>
              <w:rPr>
                <w:sz w:val="13"/>
                <w:szCs w:val="13"/>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Pr>
          <w:p>
            <w:pPr>
              <w:spacing w:after="0"/>
              <w:rPr>
                <w:sz w:val="13"/>
                <w:szCs w:val="13"/>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91"/>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equivalents:</w:t>
            </w:r>
          </w:p>
        </w:tc>
        <w:tc>
          <w:tcPr>
            <w:tcW w:w="3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r>
      <w:tr>
        <w:trPr>
          <w:trHeight w:val="19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Money market funds</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103,864</w:t>
            </w:r>
          </w:p>
        </w:tc>
        <w:tc>
          <w:tcPr>
            <w:tcW w:w="8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103,864</w:t>
            </w:r>
          </w:p>
        </w:tc>
        <w:tc>
          <w:tcPr>
            <w:tcW w:w="80" w:type="dxa"/>
            <w:vAlign w:val="bottom"/>
          </w:tcPr>
          <w:p>
            <w:pPr>
              <w:spacing w:after="0"/>
              <w:rPr>
                <w:sz w:val="17"/>
                <w:szCs w:val="17"/>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Treasury securities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128,705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128,705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government debt securities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Treasury securities</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217"/>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equivalents and marketable securities</w:t>
            </w: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177,659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classifies its money market funds, which are valued based on quoted market prices in active markets, with no valuation adjustment, as Level 1 assets within the fair value hierarchy.</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Marketable securities consist of U.S. Treasury securities, U.S. government debt securities, and corporate debt securities, all of which are classified as available-for-sale pursuant to ASC 320, </w:t>
      </w:r>
      <w:r>
        <w:rPr>
          <w:rFonts w:ascii="Times New Roman" w:cs="Times New Roman" w:eastAsia="Times New Roman" w:hAnsi="Times New Roman"/>
          <w:sz w:val="14"/>
          <w:szCs w:val="14"/>
          <w:i w:val="1"/>
          <w:iCs w:val="1"/>
          <w:color w:val="auto"/>
        </w:rPr>
        <w:t>Investments – Debt and Equity Securities</w:t>
      </w:r>
      <w:r>
        <w:rPr>
          <w:rFonts w:ascii="Times New Roman" w:cs="Times New Roman" w:eastAsia="Times New Roman" w:hAnsi="Times New Roman"/>
          <w:sz w:val="14"/>
          <w:szCs w:val="14"/>
          <w:color w:val="auto"/>
        </w:rPr>
        <w:t>. Marketable securities are classified within Level 2 of the fair value hierarchy because pricing inputs are other than quoted prices in active markets,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either directly or indirectly observable as of the reporting date, and fair value is determined using models or other valuation methodologies on a recurring basis.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Marketable securities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Marketable securities at December 31, 2024 consisted of the following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280" w:type="dxa"/>
            <w:vAlign w:val="bottom"/>
          </w:tcPr>
          <w:p>
            <w:pPr>
              <w:spacing w:after="0"/>
              <w:rPr>
                <w:sz w:val="11"/>
                <w:szCs w:val="11"/>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280" w:type="dxa"/>
            <w:vAlign w:val="bottom"/>
          </w:tcPr>
          <w:p>
            <w:pPr>
              <w:spacing w:after="0"/>
              <w:rPr>
                <w:sz w:val="11"/>
                <w:szCs w:val="11"/>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280" w:type="dxa"/>
            <w:vAlign w:val="bottom"/>
          </w:tcPr>
          <w:p>
            <w:pPr>
              <w:spacing w:after="0"/>
              <w:rPr>
                <w:sz w:val="11"/>
                <w:szCs w:val="11"/>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340" w:type="dxa"/>
            <w:vAlign w:val="bottom"/>
          </w:tcPr>
          <w:p>
            <w:pPr>
              <w:spacing w:after="0"/>
              <w:rPr>
                <w:sz w:val="11"/>
                <w:szCs w:val="11"/>
                <w:color w:val="auto"/>
              </w:rPr>
            </w:pPr>
          </w:p>
        </w:tc>
        <w:tc>
          <w:tcPr>
            <w:tcW w:w="1140" w:type="dxa"/>
            <w:vAlign w:val="bottom"/>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8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Gains</w:t>
            </w:r>
          </w:p>
        </w:tc>
        <w:tc>
          <w:tcPr>
            <w:tcW w:w="28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340" w:type="dxa"/>
            <w:vAlign w:val="bottom"/>
          </w:tcPr>
          <w:p>
            <w:pPr>
              <w:spacing w:after="0"/>
              <w:rPr>
                <w:sz w:val="14"/>
                <w:szCs w:val="14"/>
                <w:color w:val="auto"/>
              </w:rPr>
            </w:pPr>
          </w:p>
        </w:tc>
        <w:tc>
          <w:tcPr>
            <w:tcW w:w="1140" w:type="dxa"/>
            <w:vAlign w:val="bottom"/>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91"/>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 current:</w:t>
            </w:r>
          </w:p>
        </w:tc>
        <w:tc>
          <w:tcPr>
            <w:tcW w:w="3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164,469</w:t>
            </w:r>
          </w:p>
        </w:tc>
        <w:tc>
          <w:tcPr>
            <w:tcW w:w="8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7"/>
                <w:szCs w:val="17"/>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164,573</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Treasury securities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18,302</w:t>
            </w:r>
          </w:p>
        </w:tc>
        <w:tc>
          <w:tcPr>
            <w:tcW w:w="0" w:type="dxa"/>
            <w:vAlign w:val="bottom"/>
          </w:tcPr>
          <w:p>
            <w:pPr>
              <w:spacing w:after="0"/>
              <w:rPr>
                <w:sz w:val="1"/>
                <w:szCs w:val="1"/>
                <w:color w:val="auto"/>
              </w:rPr>
            </w:pPr>
          </w:p>
        </w:tc>
      </w:tr>
      <w:tr>
        <w:trPr>
          <w:trHeight w:val="196"/>
        </w:trPr>
        <w:tc>
          <w:tcPr>
            <w:tcW w:w="5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government debt securities</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6,531</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 non-current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22,424</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22,358</w:t>
            </w:r>
          </w:p>
        </w:tc>
        <w:tc>
          <w:tcPr>
            <w:tcW w:w="0" w:type="dxa"/>
            <w:vAlign w:val="bottom"/>
          </w:tcPr>
          <w:p>
            <w:pPr>
              <w:spacing w:after="0"/>
              <w:rPr>
                <w:sz w:val="1"/>
                <w:szCs w:val="1"/>
                <w:color w:val="auto"/>
              </w:rPr>
            </w:pPr>
          </w:p>
        </w:tc>
      </w:tr>
      <w:tr>
        <w:trPr>
          <w:trHeight w:val="217"/>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marketable securities, current and non-current</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211,711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211,764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Marketable securities at December 31, 2023 consisted of the following (in thousands):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5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280" w:type="dxa"/>
            <w:vAlign w:val="bottom"/>
          </w:tcPr>
          <w:p>
            <w:pPr>
              <w:spacing w:after="0"/>
              <w:rPr>
                <w:sz w:val="22"/>
                <w:szCs w:val="22"/>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5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280" w:type="dxa"/>
            <w:vAlign w:val="bottom"/>
          </w:tcPr>
          <w:p>
            <w:pPr>
              <w:spacing w:after="0"/>
              <w:rPr>
                <w:sz w:val="11"/>
                <w:szCs w:val="11"/>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280" w:type="dxa"/>
            <w:vAlign w:val="bottom"/>
          </w:tcPr>
          <w:p>
            <w:pPr>
              <w:spacing w:after="0"/>
              <w:rPr>
                <w:sz w:val="11"/>
                <w:szCs w:val="11"/>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340" w:type="dxa"/>
            <w:vAlign w:val="bottom"/>
          </w:tcPr>
          <w:p>
            <w:pPr>
              <w:spacing w:after="0"/>
              <w:rPr>
                <w:sz w:val="11"/>
                <w:szCs w:val="11"/>
                <w:color w:val="auto"/>
              </w:rPr>
            </w:pPr>
          </w:p>
        </w:tc>
        <w:tc>
          <w:tcPr>
            <w:tcW w:w="1140" w:type="dxa"/>
            <w:vAlign w:val="bottom"/>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8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Gains</w:t>
            </w:r>
          </w:p>
        </w:tc>
        <w:tc>
          <w:tcPr>
            <w:tcW w:w="280" w:type="dxa"/>
            <w:vAlign w:val="bottom"/>
          </w:tcPr>
          <w:p>
            <w:pPr>
              <w:spacing w:after="0"/>
              <w:rPr>
                <w:sz w:val="12"/>
                <w:szCs w:val="12"/>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340" w:type="dxa"/>
            <w:vAlign w:val="bottom"/>
          </w:tcPr>
          <w:p>
            <w:pPr>
              <w:spacing w:after="0"/>
              <w:rPr>
                <w:sz w:val="12"/>
                <w:szCs w:val="12"/>
                <w:color w:val="auto"/>
              </w:rPr>
            </w:pPr>
          </w:p>
        </w:tc>
        <w:tc>
          <w:tcPr>
            <w:tcW w:w="1140" w:type="dxa"/>
            <w:vAlign w:val="bottom"/>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30"/>
        </w:trPr>
        <w:tc>
          <w:tcPr>
            <w:tcW w:w="5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 current:</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100,903</w:t>
            </w:r>
          </w:p>
        </w:tc>
        <w:tc>
          <w:tcPr>
            <w:tcW w:w="8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7"/>
                <w:szCs w:val="17"/>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100,698</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government debt securities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20,428</w:t>
            </w:r>
          </w:p>
        </w:tc>
        <w:tc>
          <w:tcPr>
            <w:tcW w:w="0" w:type="dxa"/>
            <w:vAlign w:val="bottom"/>
          </w:tcPr>
          <w:p>
            <w:pPr>
              <w:spacing w:after="0"/>
              <w:rPr>
                <w:sz w:val="1"/>
                <w:szCs w:val="1"/>
                <w:color w:val="auto"/>
              </w:rPr>
            </w:pPr>
          </w:p>
        </w:tc>
      </w:tr>
      <w:tr>
        <w:trPr>
          <w:trHeight w:val="19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Treasury securities</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5,966</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 non-current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27,901</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28,007</w:t>
            </w:r>
          </w:p>
        </w:tc>
        <w:tc>
          <w:tcPr>
            <w:tcW w:w="0" w:type="dxa"/>
            <w:vAlign w:val="bottom"/>
          </w:tcPr>
          <w:p>
            <w:pPr>
              <w:spacing w:after="0"/>
              <w:rPr>
                <w:sz w:val="1"/>
                <w:szCs w:val="1"/>
                <w:color w:val="auto"/>
              </w:rPr>
            </w:pPr>
          </w:p>
        </w:tc>
      </w:tr>
      <w:tr>
        <w:trPr>
          <w:trHeight w:val="217"/>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marketable securities, current and non-current</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155,226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155,099</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Marketable securities classified as current have maturities of less than one year. Marketable securities classified as non-current are those that: (i) have a maturity of greater than one year, and (ii) we do not intend to liquidate within the next twelve months, although these funds are available for use and, therefore, are classified as available-for-sale. No available-for-sale debt securities held as of December 31, 2024 or December 31, 2023 had remaining maturities greater than five years.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Marketable securities in unrealized loss positions as of December 31, 2024 consisted of the following (in thousands, except number of securities):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60" w:type="dxa"/>
            <w:vAlign w:val="bottom"/>
          </w:tcPr>
          <w:p>
            <w:pPr>
              <w:spacing w:after="0"/>
              <w:rPr>
                <w:sz w:val="11"/>
                <w:szCs w:val="11"/>
                <w:color w:val="auto"/>
              </w:rPr>
            </w:pPr>
          </w:p>
        </w:tc>
        <w:tc>
          <w:tcPr>
            <w:tcW w:w="1160" w:type="dxa"/>
            <w:vAlign w:val="bottom"/>
            <w:vMerge w:val="restart"/>
          </w:tcPr>
          <w:p>
            <w:pPr>
              <w:jc w:val="center"/>
              <w:ind w:left="263"/>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Fair</w:t>
            </w:r>
          </w:p>
        </w:tc>
        <w:tc>
          <w:tcPr>
            <w:tcW w:w="280" w:type="dxa"/>
            <w:vAlign w:val="bottom"/>
          </w:tcPr>
          <w:p>
            <w:pPr>
              <w:spacing w:after="0"/>
              <w:rPr>
                <w:sz w:val="11"/>
                <w:szCs w:val="11"/>
                <w:color w:val="auto"/>
              </w:rPr>
            </w:pPr>
          </w:p>
        </w:tc>
        <w:tc>
          <w:tcPr>
            <w:tcW w:w="1200" w:type="dxa"/>
            <w:vAlign w:val="bottom"/>
          </w:tcPr>
          <w:p>
            <w:pPr>
              <w:jc w:val="center"/>
              <w:ind w:right="215"/>
              <w:spacing w:after="0"/>
              <w:rPr>
                <w:sz w:val="20"/>
                <w:szCs w:val="20"/>
                <w:color w:val="auto"/>
              </w:rPr>
            </w:pPr>
            <w:r>
              <w:rPr>
                <w:rFonts w:ascii="Times New Roman" w:cs="Times New Roman" w:eastAsia="Times New Roman" w:hAnsi="Times New Roman"/>
                <w:sz w:val="11"/>
                <w:szCs w:val="11"/>
                <w:b w:val="1"/>
                <w:bCs w:val="1"/>
                <w:color w:val="auto"/>
              </w:rPr>
              <w:t>Gross</w:t>
            </w:r>
          </w:p>
        </w:tc>
        <w:tc>
          <w:tcPr>
            <w:tcW w:w="0" w:type="dxa"/>
            <w:vAlign w:val="bottom"/>
          </w:tcPr>
          <w:p>
            <w:pPr>
              <w:spacing w:after="0"/>
              <w:rPr>
                <w:sz w:val="1"/>
                <w:szCs w:val="1"/>
                <w:color w:val="auto"/>
              </w:rPr>
            </w:pPr>
          </w:p>
        </w:tc>
      </w:tr>
      <w:tr>
        <w:trPr>
          <w:trHeight w:val="127"/>
        </w:trPr>
        <w:tc>
          <w:tcPr>
            <w:tcW w:w="66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15"/>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0" w:type="dxa"/>
            <w:vAlign w:val="bottom"/>
          </w:tcPr>
          <w:p>
            <w:pPr>
              <w:spacing w:after="0"/>
              <w:rPr>
                <w:sz w:val="1"/>
                <w:szCs w:val="1"/>
                <w:color w:val="auto"/>
              </w:rPr>
            </w:pPr>
          </w:p>
        </w:tc>
      </w:tr>
      <w:tr>
        <w:trPr>
          <w:trHeight w:val="158"/>
        </w:trPr>
        <w:tc>
          <w:tcPr>
            <w:tcW w:w="6660" w:type="dxa"/>
            <w:vAlign w:val="bottom"/>
          </w:tcPr>
          <w:p>
            <w:pPr>
              <w:spacing w:after="0"/>
              <w:rPr>
                <w:sz w:val="13"/>
                <w:szCs w:val="13"/>
                <w:color w:val="auto"/>
              </w:rPr>
            </w:pPr>
          </w:p>
        </w:tc>
        <w:tc>
          <w:tcPr>
            <w:tcW w:w="1160" w:type="dxa"/>
            <w:vAlign w:val="bottom"/>
          </w:tcPr>
          <w:p>
            <w:pPr>
              <w:jc w:val="center"/>
              <w:ind w:left="263"/>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280" w:type="dxa"/>
            <w:vAlign w:val="bottom"/>
          </w:tcPr>
          <w:p>
            <w:pPr>
              <w:spacing w:after="0"/>
              <w:rPr>
                <w:sz w:val="13"/>
                <w:szCs w:val="13"/>
                <w:color w:val="auto"/>
              </w:rPr>
            </w:pPr>
          </w:p>
        </w:tc>
        <w:tc>
          <w:tcPr>
            <w:tcW w:w="1200" w:type="dxa"/>
            <w:vAlign w:val="bottom"/>
          </w:tcPr>
          <w:p>
            <w:pPr>
              <w:jc w:val="center"/>
              <w:ind w:right="215"/>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0" w:type="dxa"/>
            <w:vAlign w:val="bottom"/>
          </w:tcPr>
          <w:p>
            <w:pPr>
              <w:spacing w:after="0"/>
              <w:rPr>
                <w:sz w:val="1"/>
                <w:szCs w:val="1"/>
                <w:color w:val="auto"/>
              </w:rPr>
            </w:pPr>
          </w:p>
        </w:tc>
      </w:tr>
      <w:tr>
        <w:trPr>
          <w:trHeight w:val="191"/>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 in continuous unrealized loss position for less than 12 months:</w:t>
            </w:r>
          </w:p>
        </w:tc>
        <w:tc>
          <w:tcPr>
            <w:tcW w:w="11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8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62,447</w:t>
            </w:r>
          </w:p>
        </w:tc>
        <w:tc>
          <w:tcPr>
            <w:tcW w:w="8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207"/>
        </w:trPr>
        <w:tc>
          <w:tcPr>
            <w:tcW w:w="7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Treasury securities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6"/>
        </w:trPr>
        <w:tc>
          <w:tcPr>
            <w:tcW w:w="78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U.S. government debt securities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7"/>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marketable securities in unrealized loss position</w:t>
            </w: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67,414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8"/>
        </w:trPr>
        <w:tc>
          <w:tcPr>
            <w:tcW w:w="7820" w:type="dxa"/>
            <w:vAlign w:val="bottom"/>
            <w:gridSpan w:val="2"/>
          </w:tcPr>
          <w:p>
            <w:pPr>
              <w:ind w:left="5520"/>
              <w:spacing w:after="0"/>
              <w:rPr>
                <w:sz w:val="20"/>
                <w:szCs w:val="20"/>
                <w:color w:val="auto"/>
              </w:rPr>
            </w:pPr>
            <w:r>
              <w:rPr>
                <w:rFonts w:ascii="Times New Roman" w:cs="Times New Roman" w:eastAsia="Times New Roman" w:hAnsi="Times New Roman"/>
                <w:sz w:val="14"/>
                <w:szCs w:val="14"/>
                <w:color w:val="auto"/>
              </w:rPr>
              <w:t>F-17</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66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Marketable securities in unrealized loss positions as of December 31, 2023 consisted of the following (in thousands, except number of securities):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15"/>
              <w:spacing w:after="0"/>
              <w:rPr>
                <w:sz w:val="20"/>
                <w:szCs w:val="20"/>
                <w:color w:val="auto"/>
              </w:rPr>
            </w:pPr>
            <w:r>
              <w:rPr>
                <w:rFonts w:ascii="Times New Roman" w:cs="Times New Roman" w:eastAsia="Times New Roman" w:hAnsi="Times New Roman"/>
                <w:sz w:val="11"/>
                <w:szCs w:val="11"/>
                <w:b w:val="1"/>
                <w:bCs w:val="1"/>
                <w:color w:val="auto"/>
              </w:rPr>
              <w:t>Gross</w:t>
            </w:r>
          </w:p>
        </w:tc>
      </w:tr>
      <w:tr>
        <w:trPr>
          <w:trHeight w:val="127"/>
        </w:trPr>
        <w:tc>
          <w:tcPr>
            <w:tcW w:w="6660" w:type="dxa"/>
            <w:vAlign w:val="bottom"/>
          </w:tcPr>
          <w:p>
            <w:pPr>
              <w:spacing w:after="0"/>
              <w:rPr>
                <w:sz w:val="11"/>
                <w:szCs w:val="11"/>
                <w:color w:val="auto"/>
              </w:rPr>
            </w:pPr>
          </w:p>
        </w:tc>
        <w:tc>
          <w:tcPr>
            <w:tcW w:w="1160" w:type="dxa"/>
            <w:vAlign w:val="bottom"/>
          </w:tcPr>
          <w:p>
            <w:pPr>
              <w:jc w:val="center"/>
              <w:ind w:left="263"/>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Fair</w:t>
            </w:r>
          </w:p>
        </w:tc>
        <w:tc>
          <w:tcPr>
            <w:tcW w:w="280" w:type="dxa"/>
            <w:vAlign w:val="bottom"/>
          </w:tcPr>
          <w:p>
            <w:pPr>
              <w:spacing w:after="0"/>
              <w:rPr>
                <w:sz w:val="11"/>
                <w:szCs w:val="11"/>
                <w:color w:val="auto"/>
              </w:rPr>
            </w:pPr>
          </w:p>
        </w:tc>
        <w:tc>
          <w:tcPr>
            <w:tcW w:w="1200" w:type="dxa"/>
            <w:vAlign w:val="bottom"/>
          </w:tcPr>
          <w:p>
            <w:pPr>
              <w:jc w:val="center"/>
              <w:ind w:right="215"/>
              <w:spacing w:after="0"/>
              <w:rPr>
                <w:sz w:val="20"/>
                <w:szCs w:val="20"/>
                <w:color w:val="auto"/>
              </w:rPr>
            </w:pPr>
            <w:r>
              <w:rPr>
                <w:rFonts w:ascii="Times New Roman" w:cs="Times New Roman" w:eastAsia="Times New Roman" w:hAnsi="Times New Roman"/>
                <w:sz w:val="11"/>
                <w:szCs w:val="11"/>
                <w:b w:val="1"/>
                <w:bCs w:val="1"/>
                <w:color w:val="auto"/>
              </w:rPr>
              <w:t>Unrealized</w:t>
            </w:r>
          </w:p>
        </w:tc>
      </w:tr>
      <w:tr>
        <w:trPr>
          <w:trHeight w:val="169"/>
        </w:trPr>
        <w:tc>
          <w:tcPr>
            <w:tcW w:w="6660" w:type="dxa"/>
            <w:vAlign w:val="bottom"/>
          </w:tcPr>
          <w:p>
            <w:pPr>
              <w:spacing w:after="0"/>
              <w:rPr>
                <w:sz w:val="14"/>
                <w:szCs w:val="14"/>
                <w:color w:val="auto"/>
              </w:rPr>
            </w:pPr>
          </w:p>
        </w:tc>
        <w:tc>
          <w:tcPr>
            <w:tcW w:w="1160" w:type="dxa"/>
            <w:vAlign w:val="bottom"/>
          </w:tcPr>
          <w:p>
            <w:pPr>
              <w:jc w:val="center"/>
              <w:ind w:left="263"/>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280" w:type="dxa"/>
            <w:vAlign w:val="bottom"/>
          </w:tcPr>
          <w:p>
            <w:pPr>
              <w:spacing w:after="0"/>
              <w:rPr>
                <w:sz w:val="14"/>
                <w:szCs w:val="14"/>
                <w:color w:val="auto"/>
              </w:rPr>
            </w:pPr>
          </w:p>
        </w:tc>
        <w:tc>
          <w:tcPr>
            <w:tcW w:w="1200" w:type="dxa"/>
            <w:vAlign w:val="bottom"/>
          </w:tcPr>
          <w:p>
            <w:pPr>
              <w:jc w:val="center"/>
              <w:ind w:right="215"/>
              <w:spacing w:after="0"/>
              <w:rPr>
                <w:sz w:val="20"/>
                <w:szCs w:val="20"/>
                <w:color w:val="auto"/>
              </w:rPr>
            </w:pPr>
            <w:r>
              <w:rPr>
                <w:rFonts w:ascii="Times New Roman" w:cs="Times New Roman" w:eastAsia="Times New Roman" w:hAnsi="Times New Roman"/>
                <w:sz w:val="11"/>
                <w:szCs w:val="11"/>
                <w:b w:val="1"/>
                <w:bCs w:val="1"/>
                <w:color w:val="auto"/>
              </w:rPr>
              <w:t>Losses</w:t>
            </w:r>
          </w:p>
        </w:tc>
      </w:tr>
      <w:tr>
        <w:trPr>
          <w:trHeight w:val="191"/>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 in continuous unrealized loss position for less than 12 months:</w:t>
            </w:r>
          </w:p>
        </w:tc>
        <w:tc>
          <w:tcPr>
            <w:tcW w:w="11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r>
      <w:tr>
        <w:trPr>
          <w:trHeight w:val="196"/>
        </w:trPr>
        <w:tc>
          <w:tcPr>
            <w:tcW w:w="78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68,563</w:t>
            </w:r>
          </w:p>
        </w:tc>
        <w:tc>
          <w:tcPr>
            <w:tcW w:w="8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207"/>
        </w:trPr>
        <w:tc>
          <w:tcPr>
            <w:tcW w:w="7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government debt securities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96"/>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Marketable securities in continuous unrealized loss position for greater than 12 months:</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7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96"/>
        </w:trPr>
        <w:tc>
          <w:tcPr>
            <w:tcW w:w="78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U.S. government debt securities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17"/>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marketable securities in unrealized loss position</w:t>
            </w: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108,594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Based on factors such as historical experience, market data, issuer-specific factors, and current economic conditions, the Company did not record an allowance for credit losses at December 31, 2024 and 2023, related to these securities.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Property and equipment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Property and equipment consisted of the following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2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w:t>
            </w: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Laboratory equipment</w:t>
            </w:r>
          </w:p>
        </w:tc>
        <w:tc>
          <w:tcPr>
            <w:tcW w:w="880" w:type="dxa"/>
            <w:vAlign w:val="bottom"/>
          </w:tcPr>
          <w:p>
            <w:pPr>
              <w:jc w:val="right"/>
              <w:ind w:right="715"/>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8,212</w:t>
            </w:r>
          </w:p>
        </w:tc>
        <w:tc>
          <w:tcPr>
            <w:tcW w:w="80" w:type="dxa"/>
            <w:vAlign w:val="bottom"/>
          </w:tcPr>
          <w:p>
            <w:pPr>
              <w:spacing w:after="0"/>
              <w:rPr>
                <w:sz w:val="17"/>
                <w:szCs w:val="17"/>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8,042</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Leasehold improvements</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4,712</w:t>
            </w:r>
          </w:p>
        </w:tc>
        <w:tc>
          <w:tcPr>
            <w:tcW w:w="0" w:type="dxa"/>
            <w:vAlign w:val="bottom"/>
          </w:tcPr>
          <w:p>
            <w:pPr>
              <w:spacing w:after="0"/>
              <w:rPr>
                <w:sz w:val="1"/>
                <w:szCs w:val="1"/>
                <w:color w:val="auto"/>
              </w:rPr>
            </w:pPr>
          </w:p>
        </w:tc>
      </w:tr>
      <w:tr>
        <w:trPr>
          <w:trHeight w:val="196"/>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Furniture and fixtures</w:t>
            </w:r>
          </w:p>
        </w:tc>
        <w:tc>
          <w:tcPr>
            <w:tcW w:w="8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Office equipment</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Computer equipment</w:t>
            </w:r>
          </w:p>
        </w:tc>
        <w:tc>
          <w:tcPr>
            <w:tcW w:w="8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property and equipment</w:t>
            </w:r>
          </w:p>
        </w:tc>
        <w:tc>
          <w:tcPr>
            <w:tcW w:w="8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15,078</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14,895</w:t>
            </w:r>
          </w:p>
        </w:tc>
        <w:tc>
          <w:tcPr>
            <w:tcW w:w="0" w:type="dxa"/>
            <w:vAlign w:val="bottom"/>
          </w:tcPr>
          <w:p>
            <w:pPr>
              <w:spacing w:after="0"/>
              <w:rPr>
                <w:sz w:val="1"/>
                <w:szCs w:val="1"/>
                <w:color w:val="auto"/>
              </w:rPr>
            </w:pPr>
          </w:p>
        </w:tc>
      </w:tr>
      <w:tr>
        <w:trPr>
          <w:trHeight w:val="187"/>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8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(9,236)</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(7,763)</w:t>
            </w:r>
          </w:p>
        </w:tc>
        <w:tc>
          <w:tcPr>
            <w:tcW w:w="0" w:type="dxa"/>
            <w:vAlign w:val="bottom"/>
          </w:tcPr>
          <w:p>
            <w:pPr>
              <w:spacing w:after="0"/>
              <w:rPr>
                <w:sz w:val="1"/>
                <w:szCs w:val="1"/>
                <w:color w:val="auto"/>
              </w:rPr>
            </w:pPr>
          </w:p>
        </w:tc>
      </w:tr>
      <w:tr>
        <w:trPr>
          <w:trHeight w:val="22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88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5,842</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Depreciation expense related to property and equipment was as follows (in thousands):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82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8220" w:type="dxa"/>
            <w:vAlign w:val="bottom"/>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82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expense</w:t>
            </w:r>
          </w:p>
        </w:tc>
        <w:tc>
          <w:tcPr>
            <w:tcW w:w="88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Leases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July 2017, the Company entered into a lease of office and laboratory space for its headquarters in Watertown, Massachusetts, or the Watertown Lease. The Watertown Lease had a non-cancelable term of ten years with an option to extend for one additional five-year period and is subject to rent escalation throughout the term. Additionally, the Watertown Lease required the Company to provide collateral, which was recorded as restricted cash on the consolidated balance sheets. The Watertown Lease commenced in April 2018. The Watertown Lease was classified as an operating lease and, upon the commencement in April 2018, the Company recorded a lease liability of $15.1 million and a right-of-use asset of $16.7 million, which is inclusive of $1.5 million of construction costs funded by the Company. In initially calculating the lease liability and the right-of-use asset, the Company did not include the additional five-year period option as management did not believe there was reasonable certainty that the Company would exercise the option. In addition to rent, the Company is also responsible for paying its pro rata share of costs incurred for common area maintenance, real estate taxes and property insurance related to the leased space, which are accounted for as variable lease costs.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November 2021, the Company entered into an amendment to the Watertown Lease, or the Amended Lease. The Amended Lease serves to extend the lease term of the Company’s existing leased space, or the Existing Leased Space, and provides additional office and laboratory space, or the Newly Leased Space. The Amended Lease commenced in January 2022 and the Company’s obligation to pay rent on the Newly Leased Space commenced in March 2022, with the amount of this new rent obligation added to the Company’s continuing obligation to pay rent on the Existing Leased Space. The Amended Lease terminates in March 2032, which is 10 years from the rent commencement date for the Newly Leased Space. The Amended Lease is subject to fixed rate rent escalations, provides for up to $2.6 million in tenant improvements, and provides an option for the Company to extend the lease term of the Amended Lease for one additional five-year period. Upon executing the Amended Lease, the Company increased its collateral to $3.3 million, which is recorded as restricted cash on the accompanying consolidated balance sheets as of December 31, 2024 and 2023. In addition to rent, under the terms of the Amended Lease, the Company is also responsible for paying its pro rata share of costs incurred for common area maintenance, real estate taxes and property insurance related to the leased space, including both the Existing Leased Space and, as of January 2022, the Newly Leased Space, which amounts are accounted for as variable lease costs.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for the amended lease</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the Amended Lease extends the term of the Existing Leased Space and provides access to the Newly Leased Space, in accordance with the provisions of ASC 842, the Company accounted for the Amended Lease as two separate contracts: 1) modification of the existing lease agreement to extend the lease term of the Existing Leased Space, and 2) new lease agreement for the right-of-use of the Newly Leased Space.</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the Company maintained control of the Existing Leased Space upon execution of the Amended Lease, the Company recorded an increase in right-of-use asset and lease liability of $20.1 million related to the new rental payments during the extended term and current incremental borrowing rate of the Existing Leased Space upon execution of the Amended Lease. The calculation of the lease liability and the right-of-use asset of the Existing Leased Space does not include the additional five-year period option as the Company does not believe there is reasonable certainty that the option will be exercised.</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noted above, the lease for the Newly Leased Space commenced in January 2022. As a result, the Company recorded a right-of-use asset of $44.4 million, and a corresponding lease liability of $44.1 million for the Newly Leased Space. The calculation of the lease liability and the right-of-use asset of the Newly Leased Space does not include the additional five-year period option provided under the Amended Lease as the Company does not believe there is reasonable certainty that the option will be exercised. As stated above, the Amended Lease provides for up to $2.6 million of tenant improvement allowance which was used in full in the year ended December 31, 2023.</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May 2022, the Company entered into a sublease agreement with a third party, or the Sublease, for a portion of the office and laboratory space in Suite 200 at 490 Arsenal Way, Watertown, Massachusetts. The term of the Sublease ends in June 2025.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elements of lease costs were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5"/>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cost:</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Operating lease cost</w:t>
            </w:r>
          </w:p>
        </w:tc>
        <w:tc>
          <w:tcPr>
            <w:tcW w:w="860" w:type="dxa"/>
            <w:vAlign w:val="bottom"/>
          </w:tcPr>
          <w:p>
            <w:pPr>
              <w:jc w:val="right"/>
              <w:ind w:right="69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75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10,030</w:t>
            </w:r>
          </w:p>
        </w:tc>
        <w:tc>
          <w:tcPr>
            <w:tcW w:w="0" w:type="dxa"/>
            <w:vAlign w:val="bottom"/>
          </w:tcPr>
          <w:p>
            <w:pPr>
              <w:spacing w:after="0"/>
              <w:rPr>
                <w:sz w:val="1"/>
                <w:szCs w:val="1"/>
                <w:color w:val="auto"/>
              </w:rPr>
            </w:pPr>
          </w:p>
        </w:tc>
      </w:tr>
      <w:tr>
        <w:trPr>
          <w:trHeight w:val="207"/>
        </w:trPr>
        <w:tc>
          <w:tcPr>
            <w:tcW w:w="8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Variable lease cost</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1,979</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Sublease income</w:t>
            </w:r>
          </w:p>
        </w:tc>
        <w:tc>
          <w:tcPr>
            <w:tcW w:w="8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(2,626)</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(2,577)</w:t>
            </w:r>
          </w:p>
        </w:tc>
        <w:tc>
          <w:tcPr>
            <w:tcW w:w="0" w:type="dxa"/>
            <w:vAlign w:val="bottom"/>
          </w:tcPr>
          <w:p>
            <w:pPr>
              <w:spacing w:after="0"/>
              <w:rPr>
                <w:sz w:val="1"/>
                <w:szCs w:val="1"/>
                <w:color w:val="auto"/>
              </w:rPr>
            </w:pPr>
          </w:p>
        </w:tc>
      </w:tr>
      <w:tr>
        <w:trPr>
          <w:trHeight w:val="217"/>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86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9,247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The following table summarizes the lease term and incremental borrowing rate applied in arriving at the lease liability:</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822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80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5"/>
          </w:tcPr>
          <w:p>
            <w:pPr>
              <w:jc w:val="right"/>
              <w:ind w:right="516"/>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5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80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Remaining lease term</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8"/>
              </w:rPr>
              <w:t>7.1 years</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 years</w:t>
            </w:r>
          </w:p>
        </w:tc>
        <w:tc>
          <w:tcPr>
            <w:tcW w:w="0" w:type="dxa"/>
            <w:vAlign w:val="bottom"/>
          </w:tcPr>
          <w:p>
            <w:pPr>
              <w:spacing w:after="0"/>
              <w:rPr>
                <w:sz w:val="1"/>
                <w:szCs w:val="1"/>
                <w:color w:val="auto"/>
              </w:rPr>
            </w:pP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Incremental borrowing rate</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0" w:type="dxa"/>
            <w:vAlign w:val="bottom"/>
          </w:tcPr>
          <w:p>
            <w:pPr>
              <w:spacing w:after="0"/>
              <w:rPr>
                <w:sz w:val="1"/>
                <w:szCs w:val="1"/>
                <w:color w:val="auto"/>
              </w:rPr>
            </w:pPr>
          </w:p>
        </w:tc>
      </w:tr>
      <w:tr>
        <w:trPr>
          <w:trHeight w:val="711"/>
        </w:trPr>
        <w:tc>
          <w:tcPr>
            <w:tcW w:w="8220" w:type="dxa"/>
            <w:vAlign w:val="bottom"/>
            <w:gridSpan w:val="2"/>
          </w:tcPr>
          <w:p>
            <w:pPr>
              <w:ind w:left="5520"/>
              <w:spacing w:after="0"/>
              <w:rPr>
                <w:sz w:val="20"/>
                <w:szCs w:val="20"/>
                <w:color w:val="auto"/>
              </w:rPr>
            </w:pPr>
            <w:r>
              <w:rPr>
                <w:rFonts w:ascii="Times New Roman" w:cs="Times New Roman" w:eastAsia="Times New Roman" w:hAnsi="Times New Roman"/>
                <w:sz w:val="14"/>
                <w:szCs w:val="14"/>
                <w:color w:val="auto"/>
              </w:rPr>
              <w:t>F-19</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0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ind w:left="5000"/>
              <w:spacing w:after="0"/>
              <w:rPr>
                <w:sz w:val="20"/>
                <w:szCs w:val="20"/>
                <w:color w:val="auto"/>
              </w:rPr>
            </w:pPr>
            <w:r>
              <w:rPr>
                <w:rFonts w:ascii="Times New Roman" w:cs="Times New Roman" w:eastAsia="Times New Roman" w:hAnsi="Times New Roman"/>
                <w:sz w:val="14"/>
                <w:szCs w:val="14"/>
                <w:b w:val="1"/>
                <w:bCs w:val="1"/>
                <w:color w:val="auto"/>
              </w:rPr>
              <w:t>C4 Therapeutics, Inc.</w:t>
            </w: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220" w:type="dxa"/>
            <w:vAlign w:val="bottom"/>
          </w:tcPr>
          <w:p>
            <w:pPr>
              <w:ind w:left="39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4"/>
        </w:trPr>
        <w:tc>
          <w:tcPr>
            <w:tcW w:w="9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Future lease payments under non-cancelable leases as of December 31, 2024 for each of the years ending December 31 are as follows (in thousands):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Undiscounted lease payments:</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2025</w:t>
            </w: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9,093</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2026</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9,366</w:t>
            </w:r>
          </w:p>
        </w:tc>
        <w:tc>
          <w:tcPr>
            <w:tcW w:w="0" w:type="dxa"/>
            <w:vAlign w:val="bottom"/>
          </w:tcPr>
          <w:p>
            <w:pPr>
              <w:spacing w:after="0"/>
              <w:rPr>
                <w:sz w:val="1"/>
                <w:szCs w:val="1"/>
                <w:color w:val="auto"/>
              </w:rPr>
            </w:pPr>
          </w:p>
        </w:tc>
      </w:tr>
      <w:tr>
        <w:trPr>
          <w:trHeight w:val="196"/>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2027</w:t>
            </w: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9,646</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2028</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11,362</w:t>
            </w:r>
          </w:p>
        </w:tc>
        <w:tc>
          <w:tcPr>
            <w:tcW w:w="0" w:type="dxa"/>
            <w:vAlign w:val="bottom"/>
          </w:tcPr>
          <w:p>
            <w:pPr>
              <w:spacing w:after="0"/>
              <w:rPr>
                <w:sz w:val="1"/>
                <w:szCs w:val="1"/>
                <w:color w:val="auto"/>
              </w:rPr>
            </w:pPr>
          </w:p>
        </w:tc>
      </w:tr>
      <w:tr>
        <w:trPr>
          <w:trHeight w:val="196"/>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2029</w:t>
            </w: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12,413</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Thereafter</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28,337</w:t>
            </w:r>
          </w:p>
        </w:tc>
        <w:tc>
          <w:tcPr>
            <w:tcW w:w="0" w:type="dxa"/>
            <w:vAlign w:val="bottom"/>
          </w:tcPr>
          <w:p>
            <w:pPr>
              <w:spacing w:after="0"/>
              <w:rPr>
                <w:sz w:val="1"/>
                <w:szCs w:val="1"/>
                <w:color w:val="auto"/>
              </w:rPr>
            </w:pPr>
          </w:p>
        </w:tc>
      </w:tr>
      <w:tr>
        <w:trPr>
          <w:trHeight w:val="187"/>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undiscounted lease payments</w:t>
            </w: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80,217</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(14,461)</w:t>
            </w:r>
          </w:p>
        </w:tc>
        <w:tc>
          <w:tcPr>
            <w:tcW w:w="0" w:type="dxa"/>
            <w:vAlign w:val="bottom"/>
          </w:tcPr>
          <w:p>
            <w:pPr>
              <w:spacing w:after="0"/>
              <w:rPr>
                <w:sz w:val="1"/>
                <w:szCs w:val="1"/>
                <w:color w:val="auto"/>
              </w:rPr>
            </w:pPr>
          </w:p>
        </w:tc>
      </w:tr>
      <w:tr>
        <w:trPr>
          <w:trHeight w:val="183"/>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lease liability as of December 31, 2024</w:t>
            </w: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65,756</w:t>
            </w:r>
          </w:p>
        </w:tc>
        <w:tc>
          <w:tcPr>
            <w:tcW w:w="0" w:type="dxa"/>
            <w:vAlign w:val="bottom"/>
          </w:tcPr>
          <w:p>
            <w:pPr>
              <w:spacing w:after="0"/>
              <w:rPr>
                <w:sz w:val="1"/>
                <w:szCs w:val="1"/>
                <w:color w:val="auto"/>
              </w:rPr>
            </w:pPr>
          </w:p>
        </w:tc>
      </w:tr>
      <w:tr>
        <w:trPr>
          <w:trHeight w:val="21"/>
        </w:trPr>
        <w:tc>
          <w:tcPr>
            <w:tcW w:w="8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7. Accrued expenses and other current liabilities</w:t>
            </w: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9"/>
        </w:trPr>
        <w:tc>
          <w:tcPr>
            <w:tcW w:w="82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 and other current liabilities consisted of the following (in thousands):</w:t>
            </w: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822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82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research and development</w:t>
            </w: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10,064</w:t>
            </w:r>
          </w:p>
        </w:tc>
        <w:tc>
          <w:tcPr>
            <w:tcW w:w="80" w:type="dxa"/>
            <w:vAlign w:val="bottom"/>
          </w:tcPr>
          <w:p>
            <w:pPr>
              <w:spacing w:after="0"/>
              <w:rPr>
                <w:sz w:val="17"/>
                <w:szCs w:val="17"/>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11,243</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7,344</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2,043</w:t>
            </w:r>
          </w:p>
        </w:tc>
        <w:tc>
          <w:tcPr>
            <w:tcW w:w="0" w:type="dxa"/>
            <w:vAlign w:val="bottom"/>
          </w:tcPr>
          <w:p>
            <w:pPr>
              <w:spacing w:after="0"/>
              <w:rPr>
                <w:sz w:val="1"/>
                <w:szCs w:val="1"/>
                <w:color w:val="auto"/>
              </w:rPr>
            </w:pPr>
          </w:p>
        </w:tc>
      </w:tr>
      <w:tr>
        <w:trPr>
          <w:trHeight w:val="21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accrued expenses and other current liabilities</w:t>
            </w:r>
          </w:p>
        </w:tc>
        <w:tc>
          <w:tcPr>
            <w:tcW w:w="96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19,363</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there were $3.1 million of costs related to wind down activities for CFT8634 included within the accrued research and development balance.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Collaboration and license agreements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MKDG Collaboration and License Agreement</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March 1, 2024, the Company entered into a license and collaboration agreement with MKDG, or the MKDG Agreement, to discover two targeted protein degraders against critical oncogenic proteins.</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Under the terms of the MKDG Agreement, the Company grants MKDG a worldwide, exclusive license under certain of the Company's intellectual property rights to develop, manufacture, and commercialize two targeted protein degraders against critical oncogenic proteins. MKDG is responsible for all development, regulatory approval, manufacturing and commercialization costs. Under the terms of the MKDG Agreement, MKDG agreed to make an upfront cash payment of $16.0 million and to fund the Company's discovery research efforts. The Company is eligible to receive approximately $740.0 million in the aggregate in discovery, regulatory, and commercial milestone payments across the collaboration, plus tiered royalties on net sales. Royalties payable from MKDG to the Company range from mid-single digit to low-double digit percent, subject to reductions under certain circumstances as described in the MKDG Agreement.</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collaboration is managed by a joint research committee, or MKDG JRC, and a joint steering committee, or MKDG JSC, each of which is comprised of representatives of MKDG and the Company. Under the MKDG Agreement, MKDG has final decision-making authority over the MKDG JSC, which has the authority to decide matters that cannot be resolved by the MKDG JRC. MKDG may terminate the MKDG Agreement on a project-by-project basis or in its entirety upon 60 days’ prior written notice. Each party also has various termination rights under certain circumstances, including but not limited to patent challenges, insolvency, or a material breach by the other party, subject to certain conditions.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MKDG Agreement Accounting</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identified two performance obligations at the outset of the MKDG Agreement, represented by the two potential research and development targets. While the Company is obligated under the MKDG Agreement to provide the exclusive license and perform certain research activities, the Company determined that the license, the research activities,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and participation on the MKDG JRC and MKDG JSC are considered promised services. Participation on the MKDG JRC and MKDG JSC to oversee the research activities contemplated under the MKDG Agreement were determined to be quantitatively and qualitatively immaterial and, therefore, were excluded from the performance obligations. The total transaction price of the MKDG Agreement is allocated to the performance obligations based on their relative standalone selling price. The Company recognizes the transaction price allocated to the performance obligations as the research and development services are provided, using an input method, in proportion to costs incurred to date for each research development target as compared to total costs incurred and expected to be incurred in the future to satisfy the underlying obligation. Incremental fees for research and development services are paid at agreed upon FTE rates and recognized as revenue in the period incurred.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 total transaction price of $16.0 million is allocated to the two performance obligations and $13.4 million remains unsatisfied.</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Amounts due to the Company that have not yet been received are recorded as accounts receivable and amounts received that have not yet been recognized as revenue are recorded in deferred revenue on the Company’s condensed consolidated balance sheet.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Merck License and Collaboration Agreement</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December 11, 2023, the Company entered into an exclusive license and collaboration agreement with Merck, or the Merck Agreement, to develop degrader-antibody conjugates, an emerging modality designed to selectively target and neutralize disease-causing proteins in cancer cells.</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Under the terms of the Merck Agreement, the Company received a $10.0 million upfront payment in January 2024. The Company and Merck will collaborate to develop degrader-antibody conjugates directed to an initial undisclosed oncology target that is exclusive to the collaboration. For degrader-antibody conjugates directed to this initial target, the Company is eligible to receive milestone payments totaling approximately $600 million, as well as tiered royalties on future sales. The Merck Agreement also provides Merck with the option to extend the collaboration to include three additional targets that would be exclusive to the collaboration, which could yield option exercise payments as well as potential milestones and royalties. If Merck exercises all of its options to extend the collaboration, the Company would be eligible to receive up to approximately $2.5 billion in potential payments across the entire collaboration.</w:t>
      </w:r>
    </w:p>
    <w:p>
      <w:pPr>
        <w:spacing w:after="0" w:line="5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collaboration is managed by a joint research committee, or Merck JRC, which is comprised of representatives from both Merck and the Company. Merck may terminate the Merck Agreement, in its entirety or as to a given target, for convenience upon at least 60 days’ prior notice. Each party also has various termination rights under certain circumstances, including but not limited to regulatory safety stoppages, patent challenges, insolvency, or a material breach by the other party, subject to certain conditions.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Merck Agreement Accounting</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Company identified one performance obligation at the outset of the Merck Agreement, which consists of: (1) the exclusive license and (2) the research activities for the initial undisclosed oncology target and the joint research plan. The Company determined that the license and research activities were not distinct from one another, as the license has limited value without the performance of the research activities by the Company. Participation on the Merck JRC to oversee the research activities and the technology transfer associated with the Merck Agreement were determined to be quantitatively and qualitatively immaterial and therefore are excluded from performance obligations. The Company recognizes the transaction price allocated to this performance obligation as the research and development services are provided, using an input method, in proportion to costs incurred to date for each research development target as compared to total costs incurred and expected to be incurred in the future to satisfy the underlying obligation. The transfer of control occurs over this period and, in management’s judgment, is the best measure of progress towards satisfying the performance obligation.</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total transaction price of $10.0 million is allocated to the research and development services performance obligation and $6.0 million of the allocated transaction price remains unsatisfied.</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Amounts due to the Company that have not yet been received are recorded as accounts receivable and amounts received that have not yet been recognized as revenue are recorded as deferred revenue on the Company’s consolidated balance sheet.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Betta Pharma License and Collaboration Agreement - Related Party</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May 29, 2023, the Company entered into a license and collaboration agreement, or the Betta Pharma License Agreement, with Betta Pharma to collaborate on the development, manufacturing, and commercialization of CFT8919 in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Greater China, comprised of mainland China, Hong Kong SAR, Macau SAR and Taiwan, with the Company retaining rights to CFT8919 in the rest of the world other than Greater China, or the C4T Territory.</w:t>
      </w:r>
    </w:p>
    <w:p>
      <w:pPr>
        <w:spacing w:after="0" w:line="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Under the terms of the Betta Pharma License Agreement, the Company grants Betta Pharma an exclusive license under certain of the Company's intellectual property rights to develop, manufacture and commercialize CFT8919 for all uses in humans in Greater China. Betta Pharma is responsible for all development, regulatory approval, manufacturing and commercialization costs in Greater China except where Betta Pharma acts as the Company's agent in Greater China in connection with a global trial sponsored by the Company. As part of the collaboration, Betta Pharma made an upfront cash payment of $10.0 million to the Company and has agreed to make up to $357.0 million in aggregate milestone payments, plus tiered royalties on net sales of CFT8919 in Greater China. These payments are subject to a withholding tax by the State Taxing Authority of the People's Republic of China. Royalties payable from Betta Pharma to the Company range from low to mid double-digit percent, subject to certain reductions under certain circumstances as described in the Betta Pharma License Agreement. In addition, as part of the collaboration, the Company has agreed to make milestone payments to Betta Pharma of up to $40.0 million following the Company's receipt of approval of a New Drug Application for CFT8919 from the FDA, with the milestone amount based on the percentage of patients in contemplated clinical trials that were enrolled by Betta Pharma and the line of therapy of the approval. In addition, the Company has agreed to pay Betta Pharma tiered royalties on net sales of CFT8919 in the C4T Territory in the low single digit percent range, subject to reductions under certain circumstances as described in the Betta Pharma License Agreement.</w:t>
      </w:r>
    </w:p>
    <w:p>
      <w:pPr>
        <w:spacing w:after="0" w:line="2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connection with the execution of the Betta Pharma License Agreement, the Company, Betta Pharma, and an affiliate of Betta Pharma, Betta Investment (Hong Kong) Limited, or Betta Investment, entered into a stock purchase agreement dated May 29, 2023, or the Betta Stock Purchase Agreement, and together with the Betta Pharma License Agreement, or the Betta Agreements, pursuant to which Betta Investment agreed to purchase 5,567,928 shares of the Company's common stock, or the Shares, for an aggregate purchase price of approximately $25.0 million, or $4.49 per share, which represented a 25% premium over the 60-trading-day volume weighted average closing price as of two trading days prior to the effective date of the Betta Stock Purchase Agreement. The closing under the Betta Stock Purchase Agreement occurred on January 4, 2024. The $25.0 million of proceeds that the Company received were recorded as $20.0 million for the issuance of shares, with the remaining $5.0 million of premium paid on the share price recorded as consideration for revenue under the Betta Pharma License and Collaboration Agreement. The Betta Stock Purchase Agreement has certain restrictions customary to agreements of this nature. Due to Betta Investment's purchase of shares of the Company's common stock in January 2024 under the Betta Stock Purchase Agreement, its subsequent filing of a Schedule 13G on January 12, 2024, and its relationship with Betta Pharma as an affiliate, Betta Pharma is considered a related party to the Company.</w:t>
      </w:r>
    </w:p>
    <w:p>
      <w:pPr>
        <w:spacing w:after="0" w:line="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collaboration is managed by a joint steering committee, which is composed of representatives from both Betta Pharma and the Company. Following the completion of the dose escalation phase of the Phase 1 trial of CFT8919, Betta Pharma may terminate the Betta Pharma License Agreement for convenience upon at least 90 days’ prior written notice. Each party also has various termination rights under certain circumstances, including but not limited to regulatory safety stoppages, patent challenges, insolvency, or a material breach by the other party, subject to certain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Betta Agreements accounting</w:t>
      </w:r>
    </w:p>
    <w:p>
      <w:pPr>
        <w:spacing w:after="0" w:line="9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Company expects to recognize revenue under the Betta Agreements from one type of arrangement, the licensing agreement. Performance under the Betta Agreements will consist of the following activities: (1) license of intellectual property, (2) clinical manufacturing supply agreement, and (3) manufacturing technology transfer, and (4) commercial manufacturing supply agreement. The clinical supply agreement, or the Betta Pharma Supply Agreement, was signed on August 31, 2024. The Company recognizes the transaction price allocated to the performance obligation as the costs related to manufactured clinical supply are incurred, using an input method, in proportion to costs incurred to date as compared to total costs incurred and expected to be incurred in the future to satisfy the underlying obligation. The clinical manufacturing costs are paid at agreed upon rates and included in the estimated transaction price. The estimated transaction price as of December 31, 2024 is $135.5 million, consisting of the $10.0 million upfront cash consideration, $5.0 million from the premium related to the Betta Stock Purchase Agreement, a $2.0 million milestone achieved in December 2023 under the Betta Pharma License Agreement, and the estimated clinical supply to be delivered under the Betta Pharma Supply Agreement of $118.5 million. This estimate includes a number of assumptions, including but not limited to the duration and total volume of clinical supply to be provided by the Company pursuant to the Betta Pharma Supply Agreement. In the event there are fluctuations in the Company's assumptions, the estimates of consideration expected to be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received pursuant to the Betta Pharma Supply Agreement will also change. Due to scientific and technical uncertainties of the clinical trials, the Company cannot be certain that this amount will be recognized as revenue in future periods.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December 31, 2023, the Company made the related withholding tax payment, related to the upfront payment, of $1.0 million to the Chinese tax authorities (see Note 11).</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Amounts due to the Company that have not yet been received are recorded as accounts receivable and amounts received that have not yet been recognized as revenue are recorded as deferred revenue on the Company’s consolidated balance sheet.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Roche Collaboration and License Agreement</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March 2016, the Company entered into a license agreement with Roche, which was amended in June 2016 and again in March 2017. The Company and Roche amended and restated that agreement (as so amended) in December 2018. This amended and restated agreement is referred to as the Roche Agreement. Under the Roche Agreement, the Company and Roche agreed to collaborate in the research, development, manufacture and commercialization of target-binding degrader medicines using the Company’s proprietary TORPEDO platform for the treatment of cancers and other indications. Under the Roche Agreement, the Company may elect to opt into certain co-development rights, in which case the Company will receive an increased royalty rate on future product sales from products directed to that target. In addition, if the Company opts into certain co-detailing rights, it is also entitled to reimbursement of certain commercialization costs. Upon entry into the Roche Agreement, the Company received additional upfront consideration of $40.0 million.</w:t>
      </w:r>
    </w:p>
    <w:p>
      <w:pPr>
        <w:spacing w:after="0" w:line="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November 2020, the Company signed a further amendment, the effect of which was to provide that the parties would develop up to five potential targets, with Roche maintaining its option rights to license and commercialize products directed to those targets. The November 2020 amendment also provides a mechanism through which the Company and Roche can mutually agree to terminate the Roche Agreement on a target-by-target basis by the entry into a Mutual Target Termination Agreement. Upon the entry into a Mutual Target Termination Agreement, the Roche Agreement provides that all rights and responsibilities for know-how and other intellectual property in support of products that use inhibition as their mode of action revert to Roche and all rights and responsibilities for know-how and other intellectual property in support of products that use degradation as their mode of action revert to the Company. In support of this allocation of rights, Roche provides the Company, and the Company provides Roche, with a perpetual irrevocable, fully paid up, exclusive (even as to party granting the license), sublicensable (including in multiple tiers) license to the patents and know-how that are allocated to a party under a Mutual Target Termination Agreement. As the research activities with Roche have progressed and evolved over time, there are now two targets on which the parties continue to collaborate, with Roche maintaining its option rights to license and commercialize products directed to those two targets. In December 2023, the Company signed a second amendment to the Roche Agreement, the effect of which was to update the terms of the agreement as it pertains to the two targets on which the parties continue to collaborate. Under the second amendment to the Roche Agreement, Roche retains its option rights to license and commercialize products directed to those targets but the timing of its option rights are adjusted to begin upon Roche's receipt of the dose range finding data package. There was no material impact to the accounting in 2023 as a result of the second amendment to the Roche Agreement.</w:t>
      </w:r>
    </w:p>
    <w:p>
      <w:pPr>
        <w:spacing w:after="0" w:line="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Under the Roche Agreement, as amended, the Company receives annual research plan payments of $1.0 million for each active research plan. For the two targets that remain under collaboration among the parties, Roche is required to pay the Company fees of $2.0 million upon the progression of targets to the lead series identification achievement phase. In the event Roche exercises its option rights as to one of these targets, Roche is required to pay the Company an option exercise fee of $8.0 million.</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Under the Roche Agreement, as amended, for each target option exercised by Roche, the Company is eligible to receive milestone payments up to $273.0 million upon the achievement of certain development milestones with respect to corresponding products, subject to certain reductions and exclusions based on intellectual property coverage. Roche is also required to pay the Company up to $150.0 million per target in one-time sales-based milestone payments upon the achievement of specified levels of net sales of a product directed to such target. Finally, Roche is required to pay the Company tiered royalties ranging from the mid-single digits to mid-teen percentages on net sales of products sold by Roche pursuant to its exercise of its option rights, subject to certain reductions. For sales of products for which the Company exercises its co-development right, the applicable royalty rates will be increased by a low-single digit percentage.</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collaboration is managed by a joint research committee, or Roche JRC. The Company has control over the Roche JRC prior to Roche’s exercise of its option rights as to a particular target, with Roche assuming control of the Roche JRC thereafter, Roche may terminate the Roche Agreement on a target-by-target or product-by-product basis under several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scenarios, upon at least 90 days’ prior written notice. Each party also has various termination rights under certain circumstances, including but not limited to insolvency or a material breach by the other party, subject to certain conditions.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Roche Agreement accounting</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At commencement, the Company identified twelve performance obligations within the Roche Agreement, represented by the six potential research and development targets then included in the collaboration and the option rights held by Roche for each of those six targets. A non-exclusive royalty-free license to use the Company’s intellectual property to conduct research and development activities, and participation on the Roche JRC were identified as promised services. However, the Company determined that the research and development license and research and development services were not distinct from one another, and participation on the Roche JRC was determined to be quantitatively and qualitatively immaterial.</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total transaction price of the Roche Agreement is allocated to the performance obligations based on their relative standalone selling price. The allocated transaction price is recognized as revenue from collaboration agreements in one of two ways:</w:t>
      </w:r>
    </w:p>
    <w:p>
      <w:pPr>
        <w:spacing w:after="0" w:line="39" w:lineRule="exact"/>
        <w:rPr>
          <w:sz w:val="20"/>
          <w:szCs w:val="20"/>
          <w:color w:val="auto"/>
        </w:rPr>
      </w:pPr>
    </w:p>
    <w:p>
      <w:pPr>
        <w:jc w:val="both"/>
        <w:ind w:left="640" w:hanging="317"/>
        <w:spacing w:after="0" w:line="264" w:lineRule="auto"/>
        <w:tabs>
          <w:tab w:leader="none" w:pos="636"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Research and development targets: The Company recognizes the portion of the transaction price allocated to each of the research and development performance obligations as the research and development services are provided, using an input method, in proportion to costs incurred to date for each research development target as compared to total costs incurred and expected to be incurred in the future to satisfy the underlying obligation related to said research and development target. The transfer of control occurs over this period and, in management’s judgment, is the best measure of progress towards satisfying the performance obligation.</w:t>
      </w:r>
    </w:p>
    <w:p>
      <w:pPr>
        <w:spacing w:after="0" w:line="55"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rights: The transaction price allocated to the options rights, which are considered material rights, is recognized in the period that Roche elects to exercise or elects to not exercise its option right to license and commercialize the underlying research and development target.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allocation of the total transaction price to the identified performance obligations under the arrangement, and the amount of the transaction price unsatisfied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2024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240" w:type="dxa"/>
            <w:vAlign w:val="bottom"/>
          </w:tcPr>
          <w:p>
            <w:pPr>
              <w:spacing w:after="0"/>
              <w:rPr>
                <w:sz w:val="14"/>
                <w:szCs w:val="14"/>
                <w:color w:val="auto"/>
              </w:rPr>
            </w:pPr>
          </w:p>
        </w:tc>
        <w:tc>
          <w:tcPr>
            <w:tcW w:w="124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r>
      <w:tr>
        <w:trPr>
          <w:trHeight w:val="180"/>
        </w:trPr>
        <w:tc>
          <w:tcPr>
            <w:tcW w:w="8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40" w:type="dxa"/>
            <w:vAlign w:val="bottom"/>
          </w:tcPr>
          <w:p>
            <w:pPr>
              <w:spacing w:after="0"/>
              <w:rPr>
                <w:sz w:val="15"/>
                <w:szCs w:val="15"/>
                <w:color w:val="auto"/>
              </w:rPr>
            </w:pPr>
          </w:p>
        </w:tc>
        <w:tc>
          <w:tcPr>
            <w:tcW w:w="124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192"/>
        </w:trPr>
        <w:tc>
          <w:tcPr>
            <w:tcW w:w="8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Allocated</w:t>
            </w:r>
          </w:p>
        </w:tc>
        <w:tc>
          <w:tcPr>
            <w:tcW w:w="240" w:type="dxa"/>
            <w:vAlign w:val="bottom"/>
          </w:tcPr>
          <w:p>
            <w:pPr>
              <w:spacing w:after="0"/>
              <w:rPr>
                <w:sz w:val="16"/>
                <w:szCs w:val="16"/>
                <w:color w:val="auto"/>
              </w:rPr>
            </w:pPr>
          </w:p>
        </w:tc>
        <w:tc>
          <w:tcPr>
            <w:tcW w:w="124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Unsatisfied</w:t>
            </w:r>
          </w:p>
        </w:tc>
      </w:tr>
      <w:tr>
        <w:trPr>
          <w:trHeight w:val="187"/>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 obligations:</w:t>
            </w:r>
          </w:p>
        </w:tc>
        <w:tc>
          <w:tcPr>
            <w:tcW w:w="2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r>
      <w:tr>
        <w:trPr>
          <w:trHeight w:val="196"/>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 targets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16,688</w:t>
            </w:r>
          </w:p>
        </w:tc>
        <w:tc>
          <w:tcPr>
            <w:tcW w:w="8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12,700</w:t>
            </w:r>
          </w:p>
        </w:tc>
      </w:tr>
      <w:tr>
        <w:trPr>
          <w:trHeight w:val="207"/>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Option rights</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2,376</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2,376</w:t>
            </w:r>
          </w:p>
        </w:tc>
      </w:tr>
      <w:tr>
        <w:trPr>
          <w:trHeight w:val="187"/>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19,064</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15,076</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Amounts due to the Company that have not yet been received are recorded as accounts receivable and amounts received that have not yet been recognized as revenue are recorded as deferred revenue on the Company’s consolidated balance sheet.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Biogen Collaboration Research and License Agreement</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December 2018, the Company entered into a collaboration research and license agreement with Biogen, or the Biogen Agreement. In February 2020, the Company and Biogen amended the Biogen Agreement to provide further clarity around Biogen’s ownership of target binding moieties (which are portions of molecules), and any related intellectual property that are directed at or bind to collaboration targets. This amendment further provided that Biogen licenses to the Company rights to use these Biogen target binding moieties and any related intellectual property as needed in order to conduct the research and development activities contemplated under the Biogen Agreement. Pursuant to the terms of the Biogen Agreement, the Company and Biogen agreed to collaborate on research activities to develop novel treatments for neurological conditions such as Alzheimer's disease and Parkinson's disease through medicines that rely on target protein degradation, or TPD, as their mode of action, all of which are created using the Company’s degrader technology. Under the terms of the Biogen Agreement, the Company was engaged to develop TPD therapeutics that utilize degrader technology for up to five target proteins over a period of 54 months, ending in June 2023. On a target-by-target basis, after successful completion of a defined target evaluation period, Biogen assumes full rights and responsibility for continued development of each target. As of June 30, 2024, the research term of the Biogen Agreement has been fully satisfied.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exchange for the non-exclusive research license from Biogen, as well as a $45.0 million nonrefundable upfront payment, the Company has granted a license to develop, commercialize, and manufacture products related to each of the targets (which is contingent on not cancelling the agreement), performs initial research services for drug discovery, has provided a non-exclusive research and commercial license to its intellectual property, and participates on the joint steering committee, or the Biogen JSC. For any target, following the achievement of development candidate criteria and prior to any IND-enabling study, Biogen will bear all costs and expenses of and will have sole discretion and decision-making authority with respect to the performance of further activities with respect to any degrader under development under the Biogen Agreement and all products that incorporate that degrader. Biogen is also required to pay the Company up to $35.0 million per target in development milestones and $26.0 million per target in one-time sales-based payments for the first product to achieve certain levels of net sales. In addition, Biogen is required to pay the Company royalties on a licensed product-by-licensed product basis, on worldwide net product sales. All milestone and sales-based payments are made after the Company has met the defined criteria in the joint research plan for that target, at which time Biogen will have control of the products related to the targets for commercialization; the receipt of these payments is contingent on the further development of products directed to the targets to commercialization by Biogen, without any additional research and development efforts from the Company.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Biogen Agreement accounting</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the total transaction price of the Biogen Agreement of $55.0 million was allocated to the research and development services performance obligation, and the transaction price has been fully allocated and satisfied.</w:t>
      </w:r>
    </w:p>
    <w:p>
      <w:pPr>
        <w:spacing w:after="0" w:line="39"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In April 2024, the Company earned an $8.0 million milestone payment from Biogen after Biogen accepted delivery of a development candidate in an undisclosed indication. In September 2024, the Company earned an additional $8.0 million milestone payment from Biogen after Biogen accepted delivery of a development candidate in a separate undisclosed indication. The Company's performance obligation under the Biogen Agreement is fully satisfied, and the Company has recognized the full amount as revenue during the year ended December 31, 2024. Biogen is responsible for all future clinical development and commercialization for this program.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Calico Collaboration and License Agreement</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March 2017, the Company entered into a collaboration and license agreement, or the Calico Agreement, with Calico whereby the Company and Calico agreed to collaborate to develop and commercialize small molecule protein degraders for diseases of aging, including cancer, for a five-year period ending in March 2022. In August 2021, the Company provided an extension option to Calico, which Calico exercised in September 2021, resulting in a $1.0 million extension payment to extend the research term with respect to a certain program for up to a one-year period that ended in March 2023. In addition, Calico reimbursed the Company for a number of FTEs, depending on the stage of the research, at specified market rates. As of March 13, 2023, the research term of the Calico Agreement has expired, and the Company's research activities associated with the agreement are complete.</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Under the Calico Agreement, Calico paid an upfront amount of $5.0 million and certain annual payments totaling $5.0 million through June 30, 2020 and paid target initiation fees and reimbursed the Company for a number of FTEs, depending on the stage of the research, at specified market rates. For each target, the Company is eligible to receive up to $132.0 million in potential development and commercial milestone payments, on sales of all products resulting from the collaboration efforts. Calico is also required to pay the Company up to $65.0 million in one-time sales-based payments for the first product to achieve certain levels of net sales. In addition, Calico is required to pay the Company royalties, at percentages in the mid-single digits, on a licensed product-by-licensed product basis, on worldwide net product sales. All milestone and sales-based payments are made after the Company has met the defined criteria in the joint research plan for that target, at which time Calico will have control of the products related to targets for commercialization; the receipt of these payments by the Company is contingent on the further development of the targets to commercialized products by Calico, without any additional research and development efforts required by the Company.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Summary of revenue recognized from collaboration agreements</w:t>
            </w: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55"/>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Revenue from collaboration agreements was as follows (in thousands):</w:t>
            </w: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303"/>
        </w:trPr>
        <w:tc>
          <w:tcPr>
            <w:tcW w:w="7820" w:type="dxa"/>
            <w:vAlign w:val="bottom"/>
          </w:tcPr>
          <w:p>
            <w:pPr>
              <w:spacing w:after="0"/>
              <w:rPr>
                <w:sz w:val="24"/>
                <w:szCs w:val="24"/>
                <w:color w:val="auto"/>
              </w:rPr>
            </w:pPr>
          </w:p>
        </w:tc>
        <w:tc>
          <w:tcPr>
            <w:tcW w:w="2540" w:type="dxa"/>
            <w:vAlign w:val="bottom"/>
            <w:tcBorders>
              <w:bottom w:val="single" w:sz="8" w:color="auto"/>
            </w:tcBorders>
            <w:gridSpan w:val="4"/>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20" w:type="dxa"/>
            <w:vAlign w:val="bottom"/>
            <w:tcBorders>
              <w:bottom w:val="single" w:sz="8" w:color="auto"/>
            </w:tcBorders>
          </w:tcPr>
          <w:p>
            <w:pPr>
              <w:spacing w:after="0"/>
              <w:rPr>
                <w:sz w:val="24"/>
                <w:szCs w:val="24"/>
                <w:color w:val="auto"/>
              </w:rPr>
            </w:pPr>
          </w:p>
        </w:tc>
      </w:tr>
      <w:tr>
        <w:trPr>
          <w:trHeight w:val="192"/>
        </w:trPr>
        <w:tc>
          <w:tcPr>
            <w:tcW w:w="78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r>
      <w:tr>
        <w:trPr>
          <w:trHeight w:val="18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from collaboration agreements:</w:t>
            </w: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196"/>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MKDG Agreement</w:t>
            </w: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7,304</w:t>
            </w:r>
          </w:p>
        </w:tc>
        <w:tc>
          <w:tcPr>
            <w:tcW w:w="100" w:type="dxa"/>
            <w:vAlign w:val="bottom"/>
          </w:tcPr>
          <w:p>
            <w:pPr>
              <w:spacing w:after="0"/>
              <w:rPr>
                <w:sz w:val="17"/>
                <w:szCs w:val="17"/>
                <w:color w:val="auto"/>
              </w:rPr>
            </w:pP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Merck Agreement</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Betta Agreement</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3,415</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Roche Agreement</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9,063</w:t>
            </w:r>
          </w:p>
        </w:tc>
      </w:tr>
      <w:tr>
        <w:trPr>
          <w:trHeight w:val="196"/>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Biogen Agreement</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16,898</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10,623</w:t>
            </w:r>
          </w:p>
        </w:tc>
      </w:tr>
      <w:tr>
        <w:trPr>
          <w:trHeight w:val="207"/>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Calico Agreement</w:t>
            </w: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w:t>
            </w:r>
          </w:p>
        </w:tc>
      </w:tr>
      <w:tr>
        <w:trPr>
          <w:trHeight w:val="187"/>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 from collaboration agreements</w:t>
            </w:r>
          </w:p>
        </w:tc>
        <w:tc>
          <w:tcPr>
            <w:tcW w:w="96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35,584</w:t>
            </w:r>
          </w:p>
        </w:tc>
        <w:tc>
          <w:tcPr>
            <w:tcW w:w="10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20,756</w:t>
            </w:r>
          </w:p>
        </w:tc>
      </w:tr>
      <w:tr>
        <w:trPr>
          <w:trHeight w:val="20"/>
        </w:trPr>
        <w:tc>
          <w:tcPr>
            <w:tcW w:w="7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information related to the collaboration and license agreements consisted of the following in the Company’s consolidated balance sheet as of December 31, 2024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Deferred</w:t>
            </w: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80" w:type="dxa"/>
            <w:vAlign w:val="bottom"/>
          </w:tcPr>
          <w:p>
            <w:pPr>
              <w:spacing w:after="0"/>
              <w:rPr>
                <w:sz w:val="14"/>
                <w:szCs w:val="14"/>
                <w:color w:val="auto"/>
              </w:rPr>
            </w:pPr>
          </w:p>
        </w:tc>
        <w:tc>
          <w:tcPr>
            <w:tcW w:w="120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Deferred</w:t>
            </w:r>
          </w:p>
        </w:tc>
      </w:tr>
      <w:tr>
        <w:trPr>
          <w:trHeight w:val="170"/>
        </w:trPr>
        <w:tc>
          <w:tcPr>
            <w:tcW w:w="5080" w:type="dxa"/>
            <w:vAlign w:val="bottom"/>
          </w:tcPr>
          <w:p>
            <w:pPr>
              <w:spacing w:after="0"/>
              <w:rPr>
                <w:sz w:val="14"/>
                <w:szCs w:val="14"/>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Revenue,</w:t>
            </w:r>
          </w:p>
        </w:tc>
        <w:tc>
          <w:tcPr>
            <w:tcW w:w="280" w:type="dxa"/>
            <w:vAlign w:val="bottom"/>
          </w:tcPr>
          <w:p>
            <w:pPr>
              <w:spacing w:after="0"/>
              <w:rPr>
                <w:sz w:val="14"/>
                <w:szCs w:val="14"/>
                <w:color w:val="auto"/>
              </w:rPr>
            </w:pPr>
          </w:p>
        </w:tc>
        <w:tc>
          <w:tcPr>
            <w:tcW w:w="120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Revenue,</w:t>
            </w:r>
          </w:p>
        </w:tc>
      </w:tr>
      <w:tr>
        <w:trPr>
          <w:trHeight w:val="186"/>
        </w:trPr>
        <w:tc>
          <w:tcPr>
            <w:tcW w:w="50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 of Current</w:t>
            </w:r>
          </w:p>
        </w:tc>
        <w:tc>
          <w:tcPr>
            <w:tcW w:w="280" w:type="dxa"/>
            <w:vAlign w:val="bottom"/>
          </w:tcPr>
          <w:p>
            <w:pPr>
              <w:spacing w:after="0"/>
              <w:rPr>
                <w:sz w:val="16"/>
                <w:szCs w:val="16"/>
                <w:color w:val="auto"/>
              </w:rPr>
            </w:pPr>
          </w:p>
        </w:tc>
        <w:tc>
          <w:tcPr>
            <w:tcW w:w="120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50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information:</w:t>
            </w:r>
          </w:p>
        </w:tc>
        <w:tc>
          <w:tcPr>
            <w:tcW w:w="1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9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MKDG Agreement</w:t>
            </w:r>
          </w:p>
        </w:tc>
        <w:tc>
          <w:tcPr>
            <w:tcW w:w="110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7,977</w:t>
            </w:r>
          </w:p>
        </w:tc>
        <w:tc>
          <w:tcPr>
            <w:tcW w:w="8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13,373</w:t>
            </w:r>
          </w:p>
        </w:tc>
      </w:tr>
      <w:tr>
        <w:trPr>
          <w:trHeight w:val="207"/>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Merck Agreement</w:t>
            </w:r>
          </w:p>
        </w:tc>
        <w:tc>
          <w:tcPr>
            <w:tcW w:w="1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6,022</w:t>
            </w:r>
          </w:p>
        </w:tc>
      </w:tr>
      <w:tr>
        <w:trPr>
          <w:trHeight w:val="19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Betta Agreement</w:t>
            </w:r>
          </w:p>
        </w:tc>
        <w:tc>
          <w:tcPr>
            <w:tcW w:w="1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15,281</w:t>
            </w:r>
          </w:p>
        </w:tc>
      </w:tr>
      <w:tr>
        <w:trPr>
          <w:trHeight w:val="207"/>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Roche Agreement</w:t>
            </w:r>
          </w:p>
        </w:tc>
        <w:tc>
          <w:tcPr>
            <w:tcW w:w="1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12,493</w:t>
            </w:r>
          </w:p>
        </w:tc>
      </w:tr>
      <w:tr>
        <w:trPr>
          <w:trHeight w:val="187"/>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auto"/>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3,102</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18,712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28,457</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47,169</w:t>
            </w:r>
          </w:p>
        </w:tc>
      </w:tr>
      <w:tr>
        <w:trPr>
          <w:trHeight w:val="20"/>
        </w:trPr>
        <w:tc>
          <w:tcPr>
            <w:tcW w:w="5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information related to the collaboration and license agreements consisted of the following in the Company’s consolidated balance sheet as of December 31, 2023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80" w:type="dxa"/>
            <w:vAlign w:val="bottom"/>
          </w:tcPr>
          <w:p>
            <w:pPr>
              <w:spacing w:after="0"/>
              <w:rPr>
                <w:sz w:val="15"/>
                <w:szCs w:val="15"/>
                <w:color w:val="auto"/>
              </w:rPr>
            </w:pPr>
          </w:p>
        </w:tc>
        <w:tc>
          <w:tcPr>
            <w:tcW w:w="1040" w:type="dxa"/>
            <w:vAlign w:val="bottom"/>
            <w:vMerge w:val="restart"/>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w w:val="97"/>
              </w:rPr>
              <w:t>Accounts</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w w:val="96"/>
              </w:rPr>
              <w:t>Deferred</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70"/>
        </w:trPr>
        <w:tc>
          <w:tcPr>
            <w:tcW w:w="50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Revenue,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20" w:type="dxa"/>
            <w:vAlign w:val="bottom"/>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of Current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information:</w:t>
            </w:r>
          </w:p>
        </w:tc>
        <w:tc>
          <w:tcPr>
            <w:tcW w:w="10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Merck Agreement</w:t>
            </w:r>
          </w:p>
        </w:tc>
        <w:tc>
          <w:tcPr>
            <w:tcW w:w="104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10,000</w:t>
            </w:r>
          </w:p>
        </w:tc>
        <w:tc>
          <w:tcPr>
            <w:tcW w:w="80" w:type="dxa"/>
            <w:vAlign w:val="bottom"/>
          </w:tcPr>
          <w:p>
            <w:pPr>
              <w:spacing w:after="0"/>
              <w:rPr>
                <w:sz w:val="17"/>
                <w:szCs w:val="17"/>
                <w:color w:val="auto"/>
              </w:rPr>
            </w:pPr>
          </w:p>
        </w:tc>
        <w:tc>
          <w:tcPr>
            <w:tcW w:w="102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30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2,000</w:t>
            </w:r>
          </w:p>
        </w:tc>
        <w:tc>
          <w:tcPr>
            <w:tcW w:w="38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Roche Agreement</w:t>
            </w: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11,814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14,481</w:t>
            </w:r>
          </w:p>
        </w:tc>
        <w:tc>
          <w:tcPr>
            <w:tcW w:w="0" w:type="dxa"/>
            <w:vAlign w:val="bottom"/>
          </w:tcPr>
          <w:p>
            <w:pPr>
              <w:spacing w:after="0"/>
              <w:rPr>
                <w:sz w:val="1"/>
                <w:szCs w:val="1"/>
                <w:color w:val="auto"/>
              </w:rPr>
            </w:pPr>
          </w:p>
        </w:tc>
      </w:tr>
      <w:tr>
        <w:trPr>
          <w:trHeight w:val="19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Betta Agreement</w:t>
            </w:r>
          </w:p>
        </w:tc>
        <w:tc>
          <w:tcPr>
            <w:tcW w:w="10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12,000</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Biogen Agreement</w:t>
            </w:r>
          </w:p>
        </w:tc>
        <w:tc>
          <w:tcPr>
            <w:tcW w:w="10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804</w:t>
            </w:r>
          </w:p>
        </w:tc>
        <w:tc>
          <w:tcPr>
            <w:tcW w:w="0" w:type="dxa"/>
            <w:vAlign w:val="bottom"/>
          </w:tcPr>
          <w:p>
            <w:pPr>
              <w:spacing w:after="0"/>
              <w:rPr>
                <w:sz w:val="1"/>
                <w:szCs w:val="1"/>
                <w:color w:val="auto"/>
              </w:rPr>
            </w:pPr>
          </w:p>
        </w:tc>
      </w:tr>
      <w:tr>
        <w:trPr>
          <w:trHeight w:val="187"/>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4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11,799</w:t>
            </w:r>
          </w:p>
        </w:tc>
        <w:tc>
          <w:tcPr>
            <w:tcW w:w="80" w:type="dxa"/>
            <w:vAlign w:val="bottom"/>
          </w:tcPr>
          <w:p>
            <w:pPr>
              <w:spacing w:after="0"/>
              <w:rPr>
                <w:sz w:val="16"/>
                <w:szCs w:val="16"/>
                <w:color w:val="auto"/>
              </w:rPr>
            </w:pP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15,471</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21,814</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37,285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Supplemental financial information related to the collaboration and license agreements are (in thousands):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7"/>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recognized that was included in the contract liability at the beginning of the period</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12,184</w:t>
            </w:r>
          </w:p>
        </w:tc>
        <w:tc>
          <w:tcPr>
            <w:tcW w:w="1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Revenue recognized from performance obligations fully or partially satisfied in previous periods</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As of December 31, 2024, the aggregate amount of the estimated transaction price allocated to performance obligations under the MKDG Agreement, Merck Agreement, Betta Agreements, and Roche Agreement that are partially unsatisfied was $166.5 million. The majority of the remaining transaction price to be recognized as revenue is based on the estimated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manufactured clinical supply costs under the Betta Pharma collaboration. Due to scientific and technical uncertainties of the clinical trials, the Company cannot be certain that this amount will be recognized as revenue in future periods.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Long-term debt and warrant – related party</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June 5, 2020, contemporaneously with the completion of its Series B Financing, the Company entered into a Credit Agreement, or the Credit Agreement, with Perceptive Credit Holdings III, LP, an affiliate of Perceptive Advisors LLC, or Perceptive, that provided for an aggregate principal borrowing amount of up to $20.0 million, available in two tranches of $12.5 million and $7.5 million. Perceptive was considered a related party to the Company based on its ownership of the Company’s common stock at inception of the Credit Agreement.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June 2020, the Company drew down on the first tranche of $12.5 million, or the Term Loan. The Company elected not to draw down the second tranche, which expired on June 30, 2021.</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May 17, 2023, the Company entered into an amendment to the Credit Agreement pursuant to which the Company and its lender agreed to replace the LIBOR benchmark with SOFR, which is regulated by the Federal Reserve Bank of New York. The Company amended its Credit Agreement due to the Financial Conduct Authority's planned phase-out of LIBOR on June 30, 2023. The use of the SOFR rate became effective as of July 1, 2023.</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July 2023, the Company's obligation to pay a prepayment fee was extinguished based on the terms of the Credit Agreement. On July 26, 2023, the Company elected to repay the remaining outstanding principal balance on the Term Loan. In connection with the repayment of the outstanding balance on the Term Loan, the liens on substantially all of the Company's assets were released. The Company incurred a $0.6 million loss on the extinguishment of this debt for the year ended December 31, 2023.</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for the year ended December 31, 2023 was $1.0 million.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Stockholders’ equity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At-The-Market Equity Program</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November 2021, the Company filed an automatically effective registration statement on Form S-3, or the Registration Statement, with the SEC that registers the offering, issuance and sale of an unspecified amount of common stock, preferred stock, debt securities, warrants and/or units of any combination thereof. Simultaneously, the Company entered into a sales agreement with Cowen and Company, LLC (now known as TD Securities (USA) LLC), as sales agent, to provide for the issuance and sale by the Company of up to $200.0 million of common stock from time to time in “at-the-market” offerings under the Registration Statement and related prospectus filed with the Registration Statement, or the 2021 ATM Program. For the years ended December 31, 2024 and 2023, the Company settled 4,132,122 and 11,186,142 shares for net proceeds of $24.4 million, and $57.7 million. As of December 31, 2024, a total of 15,318,264 shares of the Company's common stock at a average price of $5.54 per share for proceeds, net of commissions and fees, of $82.3 million.</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October 2024, the Company filed a registration statement on Form S-3, or the Registration Statement, with the SEC that became effective on November 13, 2024 and registered the offering, issuance and sale of an unspecified amount of common stock, preferred stock, debt securities, warrants and/or units of any combination thereof. Simultaneously, the Company entered into a sales agreement with TD Securities (USA) LLC, as sales agent, to provide for the issuance and sale by the Company of up to $200.0 million of common stock from time to time in “at-the-market” offerings under the Registration Statement and related prospectus filed with the Registration Statement, or the 2024 ATM Program. For the year ended December 31, 2024, no sales were made under the 2024 ATM Program.</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Stock-based compensation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2015 Incentive Stock Option and Grant Plan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December 28, 2015, the Company’s board of directors adopted the 2015 Incentive Stock Option and Grant Plan, or the 2015 Plan, and reserved 2,525,327 shares of common stock for issuance under this plan.</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2015 Plan authorized the board of directors or a committee of the board to grant incentive stock options, nonqualified stock options and restricted stock awards to eligible employees, outside directors and consultants of the Company. Options granted under the 2015 Plan generally vest over a period of five or eight years with a cliff vesting at one year and quarterly vesting thereafter and options that lapse or are forfeited are available to be granted again. The contractual life of all options granted under the 2015 Plan is ten years from the date of grant.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2020 Stock Option and Incentive Plan</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September 8, 2020, the Company’s board of directors adopted the C4 Therapeutics, Inc. 2020 Stock Option and Incentive Plan, or the 2020 Plan, which became effective on September 30, 2020. Upon adoption there were 6,567,144 shares of common stock reserved for issuance under the 2020 Plan. The Company’s Board of Directors, the Compensation Committee of the Board of Directors, and, in certain contexts, the Chief Executive Officer of the Company are authorized to grant a broad range of stock-based awards under the 2020 Plan, including stock options, stock appreciation rights, or SARs, restricted stock awards, or RSAs, restricted stock units, or RSUs, performance awards and stock bonus awards to the Company’s officers, employees, directors and other key persons, including consultants.</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Following the effectiveness of the 2020 Plan, the Company ceased making grants under the 2015 Plan. However, the 2015 Plan continues to govern the terms and conditions of the outstanding awards granted under it. Shares of common stock subject to awards granted under the 2015 Plan that cease to be subject to such awards by forfeiture or otherwise after the termination of the 2015 Plan will be available for issuance under the 2020 Plan. As of December 31, 2024, there were 3,281,795 shares available for future grant under the 2020 Plan.</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2020 Plan provides for an annual increase, to be added on the first day of each fiscal year, beginning with January 1, 2021 and continuing until the expiration of the 2020 Plan, equal to the lesser of (i) 5% of the outstanding shares of common stock on the immediately preceding December 31st, or (ii) lesser number of shares determined by the administrator of the 2020 Plan, which is the Company’s Board of Directors or the Compensation Committee of the Board of Directors. On January 1, 2025, the annual increase for the 2020 Plan resulted in an additional 3,531,294 shares authorized for issuance being added to the 2020 Plan.</w:t>
      </w:r>
    </w:p>
    <w:p>
      <w:pPr>
        <w:spacing w:after="0" w:line="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March 7, 2024, the Company approved an option repricing program applicable to outstanding option awards granted to current employees of the Company under the 2020 Plan with an exercise price per share greater than or equal to $22.00. The repriced awards have new exercise prices of $11.88 per share for awards held by employees generally and $19.00 per share for awards held by members of the Company's senior leadership team. To receive the benefit of this reduced exercise price, holders of repriced option awards must not, prior to March 7, 2025, (i) voluntarily leave employment with the Company or (ii) exercise the repriced options. The repriced options otherwise remain on their existing terms and conditions as set forth in the 2020 Plan and applicable award agreements. During the year ended December 31, 2024, the Company recorded an incremental non-cash charge of $1.2 million related to this option repricing. On October 7, 2024, the 2020 Plan was amended to prohibit the plan's administrator from reducing the exercise price of outstanding stock options or stock appreciation rights or effecting repricing through cancellation and re-grant or cancellation in exchange for cash or other awards without prior stockholder approval.</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 expense was as follows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9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4"/>
        </w:trPr>
        <w:tc>
          <w:tcPr>
            <w:tcW w:w="3920" w:type="dxa"/>
            <w:vAlign w:val="bottom"/>
            <w:tcBorders>
              <w:bottom w:val="single" w:sz="8" w:color="CCEEFF"/>
            </w:tcBorders>
          </w:tcPr>
          <w:p>
            <w:pPr>
              <w:spacing w:after="0"/>
              <w:rPr>
                <w:sz w:val="13"/>
                <w:szCs w:val="13"/>
                <w:color w:val="auto"/>
              </w:rPr>
            </w:pPr>
          </w:p>
        </w:tc>
        <w:tc>
          <w:tcPr>
            <w:tcW w:w="42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100" w:type="dxa"/>
            <w:vAlign w:val="bottom"/>
          </w:tcPr>
          <w:p>
            <w:pPr>
              <w:spacing w:after="0"/>
              <w:rPr>
                <w:sz w:val="13"/>
                <w:szCs w:val="13"/>
                <w:color w:val="auto"/>
              </w:rPr>
            </w:pPr>
          </w:p>
        </w:tc>
      </w:tr>
      <w:tr>
        <w:trPr>
          <w:trHeight w:val="16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4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5060" w:type="dxa"/>
            <w:vAlign w:val="bottom"/>
            <w:gridSpan w:val="2"/>
          </w:tcPr>
          <w:p>
            <w:pPr>
              <w:jc w:val="right"/>
              <w:ind w:right="71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12,539</w:t>
            </w:r>
          </w:p>
        </w:tc>
        <w:tc>
          <w:tcPr>
            <w:tcW w:w="100" w:type="dxa"/>
            <w:vAlign w:val="bottom"/>
          </w:tcPr>
          <w:p>
            <w:pPr>
              <w:spacing w:after="0"/>
              <w:rPr>
                <w:sz w:val="15"/>
                <w:szCs w:val="15"/>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11,826</w:t>
            </w:r>
          </w:p>
        </w:tc>
        <w:tc>
          <w:tcPr>
            <w:tcW w:w="100" w:type="dxa"/>
            <w:vAlign w:val="bottom"/>
          </w:tcPr>
          <w:p>
            <w:pPr>
              <w:spacing w:after="0"/>
              <w:rPr>
                <w:sz w:val="15"/>
                <w:szCs w:val="15"/>
                <w:color w:val="auto"/>
              </w:rPr>
            </w:pPr>
          </w:p>
        </w:tc>
      </w:tr>
      <w:tr>
        <w:trPr>
          <w:trHeight w:val="18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2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17,123</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15,409</w:t>
            </w:r>
          </w:p>
        </w:tc>
        <w:tc>
          <w:tcPr>
            <w:tcW w:w="100" w:type="dxa"/>
            <w:vAlign w:val="bottom"/>
          </w:tcPr>
          <w:p>
            <w:pPr>
              <w:spacing w:after="0"/>
              <w:rPr>
                <w:sz w:val="15"/>
                <w:szCs w:val="15"/>
                <w:color w:val="auto"/>
              </w:rPr>
            </w:pPr>
          </w:p>
        </w:tc>
      </w:tr>
      <w:tr>
        <w:trPr>
          <w:trHeight w:val="17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4200" w:type="dxa"/>
            <w:vAlign w:val="bottom"/>
          </w:tcPr>
          <w:p>
            <w:pPr>
              <w:spacing w:after="0"/>
              <w:rPr>
                <w:sz w:val="14"/>
                <w:szCs w:val="14"/>
                <w:color w:val="auto"/>
              </w:rPr>
            </w:pPr>
          </w:p>
        </w:tc>
        <w:tc>
          <w:tcPr>
            <w:tcW w:w="86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29,662</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27,235</w:t>
            </w:r>
          </w:p>
        </w:tc>
        <w:tc>
          <w:tcPr>
            <w:tcW w:w="100" w:type="dxa"/>
            <w:vAlign w:val="bottom"/>
          </w:tcPr>
          <w:p>
            <w:pPr>
              <w:spacing w:after="0"/>
              <w:rPr>
                <w:sz w:val="14"/>
                <w:szCs w:val="14"/>
                <w:color w:val="auto"/>
              </w:rPr>
            </w:pPr>
          </w:p>
        </w:tc>
      </w:tr>
      <w:tr>
        <w:trPr>
          <w:trHeight w:val="20"/>
        </w:trPr>
        <w:tc>
          <w:tcPr>
            <w:tcW w:w="39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93"/>
        </w:trPr>
        <w:tc>
          <w:tcPr>
            <w:tcW w:w="3920" w:type="dxa"/>
            <w:vAlign w:val="bottom"/>
          </w:tcPr>
          <w:p>
            <w:pPr>
              <w:spacing w:after="0"/>
              <w:rPr>
                <w:sz w:val="24"/>
                <w:szCs w:val="24"/>
                <w:color w:val="auto"/>
              </w:rPr>
            </w:pPr>
          </w:p>
        </w:tc>
        <w:tc>
          <w:tcPr>
            <w:tcW w:w="5060" w:type="dxa"/>
            <w:vAlign w:val="bottom"/>
            <w:gridSpan w:val="2"/>
          </w:tcPr>
          <w:p>
            <w:pPr>
              <w:jc w:val="right"/>
              <w:ind w:right="3136"/>
              <w:spacing w:after="0"/>
              <w:rPr>
                <w:sz w:val="20"/>
                <w:szCs w:val="20"/>
                <w:color w:val="auto"/>
              </w:rPr>
            </w:pPr>
            <w:r>
              <w:rPr>
                <w:rFonts w:ascii="Times New Roman" w:cs="Times New Roman" w:eastAsia="Times New Roman" w:hAnsi="Times New Roman"/>
                <w:sz w:val="14"/>
                <w:szCs w:val="14"/>
                <w:color w:val="auto"/>
              </w:rPr>
              <w:t>F-28</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7"/>
        </w:trPr>
        <w:tc>
          <w:tcPr>
            <w:tcW w:w="3920" w:type="dxa"/>
            <w:vAlign w:val="bottom"/>
            <w:tcBorders>
              <w:bottom w:val="single" w:sz="8" w:color="9A9A9A"/>
            </w:tcBorders>
          </w:tcPr>
          <w:p>
            <w:pPr>
              <w:spacing w:after="0"/>
              <w:rPr>
                <w:sz w:val="7"/>
                <w:szCs w:val="7"/>
                <w:color w:val="auto"/>
              </w:rPr>
            </w:pPr>
          </w:p>
        </w:tc>
        <w:tc>
          <w:tcPr>
            <w:tcW w:w="42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stock option activity under the Company’s equity awards plans for the year ended December 31,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jc w:val="center"/>
              <w:ind w:left="220"/>
              <w:spacing w:after="0"/>
              <w:rPr>
                <w:sz w:val="20"/>
                <w:szCs w:val="20"/>
                <w:color w:val="auto"/>
              </w:rPr>
            </w:pPr>
            <w:r>
              <w:rPr>
                <w:rFonts w:ascii="Times New Roman" w:cs="Times New Roman" w:eastAsia="Times New Roman" w:hAnsi="Times New Roman"/>
                <w:sz w:val="11"/>
                <w:szCs w:val="11"/>
                <w:b w:val="1"/>
                <w:bCs w:val="1"/>
                <w:color w:val="auto"/>
              </w:rPr>
              <w:t>Weighted-Average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9"/>
              </w:rPr>
              <w:t>Aggregate</w:t>
            </w:r>
          </w:p>
        </w:tc>
        <w:tc>
          <w:tcPr>
            <w:tcW w:w="0" w:type="dxa"/>
            <w:vAlign w:val="bottom"/>
          </w:tcPr>
          <w:p>
            <w:pPr>
              <w:spacing w:after="0"/>
              <w:rPr>
                <w:sz w:val="1"/>
                <w:szCs w:val="1"/>
                <w:color w:val="auto"/>
              </w:rPr>
            </w:pPr>
          </w:p>
        </w:tc>
      </w:tr>
      <w:tr>
        <w:trPr>
          <w:trHeight w:val="115"/>
        </w:trPr>
        <w:tc>
          <w:tcPr>
            <w:tcW w:w="5080" w:type="dxa"/>
            <w:vAlign w:val="bottom"/>
          </w:tcPr>
          <w:p>
            <w:pPr>
              <w:spacing w:after="0"/>
              <w:rPr>
                <w:sz w:val="9"/>
                <w:szCs w:val="9"/>
                <w:color w:val="auto"/>
              </w:rPr>
            </w:pPr>
          </w:p>
        </w:tc>
        <w:tc>
          <w:tcPr>
            <w:tcW w:w="1500" w:type="dxa"/>
            <w:vAlign w:val="bottom"/>
            <w:vMerge w:val="restart"/>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Weighted-Average</w:t>
            </w:r>
          </w:p>
        </w:tc>
        <w:tc>
          <w:tcPr>
            <w:tcW w:w="1220" w:type="dxa"/>
            <w:vAlign w:val="bottom"/>
          </w:tcPr>
          <w:p>
            <w:pPr>
              <w:jc w:val="center"/>
              <w:ind w:left="220"/>
              <w:spacing w:after="0" w:line="115"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gridSpan w:val="2"/>
          </w:tcPr>
          <w:p>
            <w:pPr>
              <w:jc w:val="center"/>
              <w:ind w:right="4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Intrinsic</w:t>
            </w: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1220" w:type="dxa"/>
            <w:vAlign w:val="bottom"/>
          </w:tcPr>
          <w:p>
            <w:pPr>
              <w:jc w:val="center"/>
              <w:ind w:left="220"/>
              <w:spacing w:after="0" w:line="117"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2"/>
          </w:tcPr>
          <w:p>
            <w:pPr>
              <w:jc w:val="center"/>
              <w:ind w:right="400"/>
              <w:spacing w:after="0" w:line="117" w:lineRule="exact"/>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55"/>
        </w:trPr>
        <w:tc>
          <w:tcPr>
            <w:tcW w:w="5080" w:type="dxa"/>
            <w:vAlign w:val="bottom"/>
          </w:tcPr>
          <w:p>
            <w:pPr>
              <w:spacing w:after="0"/>
              <w:rPr>
                <w:sz w:val="13"/>
                <w:szCs w:val="13"/>
                <w:color w:val="auto"/>
              </w:rPr>
            </w:pPr>
          </w:p>
        </w:tc>
        <w:tc>
          <w:tcPr>
            <w:tcW w:w="1500" w:type="dxa"/>
            <w:vAlign w:val="bottom"/>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1220" w:type="dxa"/>
            <w:vAlign w:val="bottom"/>
          </w:tcPr>
          <w:p>
            <w:pPr>
              <w:jc w:val="center"/>
              <w:ind w:left="220"/>
              <w:spacing w:after="0"/>
              <w:rPr>
                <w:sz w:val="20"/>
                <w:szCs w:val="20"/>
                <w:color w:val="auto"/>
              </w:rPr>
            </w:pPr>
            <w:r>
              <w:rPr>
                <w:rFonts w:ascii="Times New Roman" w:cs="Times New Roman" w:eastAsia="Times New Roman" w:hAnsi="Times New Roman"/>
                <w:sz w:val="11"/>
                <w:szCs w:val="11"/>
                <w:b w:val="1"/>
                <w:bCs w:val="1"/>
                <w:color w:val="auto"/>
              </w:rPr>
              <w:t>Term (in years)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75"/>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9,475,009</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7.61</w:t>
            </w: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8,261</w:t>
            </w:r>
          </w:p>
        </w:tc>
        <w:tc>
          <w:tcPr>
            <w:tcW w:w="0" w:type="dxa"/>
            <w:vAlign w:val="bottom"/>
          </w:tcPr>
          <w:p>
            <w:pPr>
              <w:spacing w:after="0"/>
              <w:rPr>
                <w:sz w:val="1"/>
                <w:szCs w:val="1"/>
                <w:color w:val="auto"/>
              </w:rPr>
            </w:pPr>
          </w:p>
        </w:tc>
      </w:tr>
      <w:tr>
        <w:trPr>
          <w:trHeight w:val="180"/>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3,262,687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(149,818)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Forfeited/expired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(1,079,728)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17.82</w:t>
            </w:r>
          </w:p>
        </w:tc>
        <w:tc>
          <w:tcPr>
            <w:tcW w:w="8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11,508,150</w:t>
            </w:r>
          </w:p>
        </w:tc>
        <w:tc>
          <w:tcPr>
            <w:tcW w:w="26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7.70</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2,877</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8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Exercisable as of December 31, 2024</w:t>
            </w:r>
          </w:p>
        </w:tc>
        <w:tc>
          <w:tcPr>
            <w:tcW w:w="15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5,579,212</w:t>
            </w:r>
          </w:p>
        </w:tc>
        <w:tc>
          <w:tcPr>
            <w:tcW w:w="260" w:type="dxa"/>
            <w:vAlign w:val="bottom"/>
            <w:gridSpan w:val="2"/>
          </w:tcPr>
          <w:p>
            <w:pPr>
              <w:jc w:val="right"/>
              <w:ind w:right="2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17.81</w:t>
            </w: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gridSpan w:val="3"/>
          </w:tcPr>
          <w:p>
            <w:pPr>
              <w:jc w:val="right"/>
              <w:spacing w:after="0" w:line="143" w:lineRule="exact"/>
              <w:rPr>
                <w:sz w:val="20"/>
                <w:szCs w:val="20"/>
                <w:color w:val="auto"/>
              </w:rPr>
            </w:pPr>
            <w:r>
              <w:rPr>
                <w:rFonts w:ascii="Times New Roman" w:cs="Times New Roman" w:eastAsia="Times New Roman" w:hAnsi="Times New Roman"/>
                <w:sz w:val="14"/>
                <w:szCs w:val="14"/>
                <w:color w:val="auto"/>
                <w:w w:val="97"/>
              </w:rPr>
              <w:t>6.66</w:t>
            </w:r>
          </w:p>
        </w:tc>
        <w:tc>
          <w:tcPr>
            <w:tcW w:w="80" w:type="dxa"/>
            <w:vAlign w:val="bottom"/>
          </w:tcPr>
          <w:p>
            <w:pPr>
              <w:spacing w:after="0"/>
              <w:rPr>
                <w:sz w:val="12"/>
                <w:szCs w:val="12"/>
                <w:color w:val="auto"/>
              </w:rPr>
            </w:pPr>
          </w:p>
        </w:tc>
        <w:tc>
          <w:tcPr>
            <w:tcW w:w="400" w:type="dxa"/>
            <w:vAlign w:val="bottom"/>
          </w:tcPr>
          <w:p>
            <w:pPr>
              <w:jc w:val="right"/>
              <w:ind w:right="24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60"/>
              <w:spacing w:after="0" w:line="143" w:lineRule="exact"/>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as of December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11,508,150</w:t>
            </w:r>
          </w:p>
        </w:tc>
        <w:tc>
          <w:tcPr>
            <w:tcW w:w="26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7.70</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2,877</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Other information related to the option activity of the Company was as follows:</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8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0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8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5080" w:type="dxa"/>
            <w:vAlign w:val="bottom"/>
            <w:tcBorders>
              <w:bottom w:val="single" w:sz="8" w:color="CCEEFF"/>
            </w:tcBorders>
          </w:tcPr>
          <w:p>
            <w:pPr>
              <w:spacing w:after="0"/>
              <w:rPr>
                <w:sz w:val="13"/>
                <w:szCs w:val="13"/>
                <w:color w:val="auto"/>
              </w:rPr>
            </w:pPr>
          </w:p>
        </w:tc>
        <w:tc>
          <w:tcPr>
            <w:tcW w:w="15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fair value of options granted</w:t>
            </w: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Intrinsic value of options exercised (in thousands)</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 unrecognized compensation cost related to outstanding options was $25.0 million, which is expected to be recognized over a weighted-average period of 2.0 years.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assumptions used in the Black-Scholes option pricing model to determine the fair value of stock options granted to employees: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1020" w:type="dxa"/>
            <w:vAlign w:val="bottom"/>
            <w:tcBorders>
              <w:bottom w:val="single" w:sz="8" w:color="auto"/>
            </w:tcBorders>
          </w:tcPr>
          <w:p>
            <w:pPr>
              <w:spacing w:after="0"/>
              <w:rPr>
                <w:sz w:val="13"/>
                <w:szCs w:val="13"/>
                <w:color w:val="auto"/>
              </w:rPr>
            </w:pPr>
          </w:p>
        </w:tc>
      </w:tr>
      <w:tr>
        <w:trPr>
          <w:trHeight w:val="154"/>
        </w:trPr>
        <w:tc>
          <w:tcPr>
            <w:tcW w:w="7280" w:type="dxa"/>
            <w:vAlign w:val="bottom"/>
            <w:tcBorders>
              <w:bottom w:val="single" w:sz="8" w:color="CCEEFF"/>
            </w:tcBorders>
          </w:tcPr>
          <w:p>
            <w:pPr>
              <w:spacing w:after="0"/>
              <w:rPr>
                <w:sz w:val="13"/>
                <w:szCs w:val="13"/>
                <w:color w:val="auto"/>
              </w:rPr>
            </w:pPr>
          </w:p>
        </w:tc>
        <w:tc>
          <w:tcPr>
            <w:tcW w:w="1960" w:type="dxa"/>
            <w:vAlign w:val="bottom"/>
            <w:tcBorders>
              <w:bottom w:val="single" w:sz="8" w:color="auto"/>
            </w:tcBorders>
            <w:gridSpan w:val="2"/>
          </w:tcPr>
          <w:p>
            <w:pPr>
              <w:jc w:val="right"/>
              <w:ind w:right="8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1960" w:type="dxa"/>
            <w:vAlign w:val="bottom"/>
            <w:tcBorders>
              <w:bottom w:val="single" w:sz="8" w:color="auto"/>
            </w:tcBorders>
            <w:gridSpan w:val="2"/>
          </w:tcPr>
          <w:p>
            <w:pPr>
              <w:jc w:val="right"/>
              <w:ind w:right="789"/>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option life (years)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- 6.11</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- 6.11</w:t>
            </w:r>
          </w:p>
        </w:tc>
      </w:tr>
      <w:tr>
        <w:trPr>
          <w:trHeight w:val="18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- 4.46%</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- 4.73%</w:t>
            </w: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102.82%</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- 104.41%</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81.99%</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- 86.15%</w:t>
            </w:r>
          </w:p>
        </w:tc>
      </w:tr>
      <w:tr>
        <w:trPr>
          <w:trHeight w:val="184"/>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1960" w:type="dxa"/>
            <w:vAlign w:val="bottom"/>
            <w:gridSpan w:val="2"/>
          </w:tcPr>
          <w:p>
            <w:pPr>
              <w:jc w:val="right"/>
              <w:ind w:right="733"/>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960" w:type="dxa"/>
            <w:vAlign w:val="bottom"/>
            <w:gridSpan w:val="2"/>
          </w:tcPr>
          <w:p>
            <w:pPr>
              <w:jc w:val="right"/>
              <w:ind w:right="729"/>
              <w:spacing w:after="0"/>
              <w:rPr>
                <w:sz w:val="20"/>
                <w:szCs w:val="20"/>
                <w:color w:val="auto"/>
              </w:rPr>
            </w:pPr>
            <w:r>
              <w:rPr>
                <w:rFonts w:ascii="Times New Roman" w:cs="Times New Roman" w:eastAsia="Times New Roman" w:hAnsi="Times New Roman"/>
                <w:sz w:val="14"/>
                <w:szCs w:val="14"/>
                <w:color w:val="auto"/>
              </w:rPr>
              <w:t>0.00%</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Performance-based restricted stock units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January and February 2022, the Company’s Board of Directors authorized an issuance of 563,500 performance-based restricted stock units, or PSUs, to certain employees, including members of the Company’s leadership team under the 2020 Plan. Vesting of the PSUs are contingent upon the determination of achievement of certain discovery and clinical milestones, or as specified market conditions are met. Upon vesting, each PSU converts automatically into one share of the Company’s common stock.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activity under the Company’s equity plans with respect to PSUs for the year ended December 31,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jc w:val="center"/>
              <w:ind w:right="115"/>
              <w:spacing w:after="0"/>
              <w:rPr>
                <w:sz w:val="20"/>
                <w:szCs w:val="20"/>
                <w:color w:val="auto"/>
              </w:rPr>
            </w:pPr>
            <w:r>
              <w:rPr>
                <w:rFonts w:ascii="Times New Roman" w:cs="Times New Roman" w:eastAsia="Times New Roman" w:hAnsi="Times New Roman"/>
                <w:sz w:val="11"/>
                <w:szCs w:val="11"/>
                <w:b w:val="1"/>
                <w:bCs w:val="1"/>
                <w:color w:val="auto"/>
                <w:w w:val="99"/>
              </w:rPr>
              <w:t>Weighted-Average</w:t>
            </w:r>
          </w:p>
        </w:tc>
        <w:tc>
          <w:tcPr>
            <w:tcW w:w="0" w:type="dxa"/>
            <w:vAlign w:val="bottom"/>
          </w:tcPr>
          <w:p>
            <w:pPr>
              <w:spacing w:after="0"/>
              <w:rPr>
                <w:sz w:val="1"/>
                <w:szCs w:val="1"/>
                <w:color w:val="auto"/>
              </w:rPr>
            </w:pPr>
          </w:p>
        </w:tc>
      </w:tr>
      <w:tr>
        <w:trPr>
          <w:trHeight w:val="115"/>
        </w:trPr>
        <w:tc>
          <w:tcPr>
            <w:tcW w:w="8220" w:type="dxa"/>
            <w:vAlign w:val="bottom"/>
          </w:tcPr>
          <w:p>
            <w:pPr>
              <w:spacing w:after="0"/>
              <w:rPr>
                <w:sz w:val="9"/>
                <w:szCs w:val="9"/>
                <w:color w:val="auto"/>
              </w:rPr>
            </w:pPr>
          </w:p>
        </w:tc>
        <w:tc>
          <w:tcPr>
            <w:tcW w:w="940" w:type="dxa"/>
            <w:vAlign w:val="bottom"/>
            <w:vMerge w:val="restart"/>
          </w:tcPr>
          <w:p>
            <w:pPr>
              <w:ind w:left="5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jc w:val="center"/>
              <w:ind w:right="115"/>
              <w:spacing w:after="0" w:line="115" w:lineRule="exact"/>
              <w:rPr>
                <w:sz w:val="20"/>
                <w:szCs w:val="20"/>
                <w:color w:val="auto"/>
              </w:rPr>
            </w:pPr>
            <w:r>
              <w:rPr>
                <w:rFonts w:ascii="Times New Roman" w:cs="Times New Roman" w:eastAsia="Times New Roman" w:hAnsi="Times New Roman"/>
                <w:sz w:val="11"/>
                <w:szCs w:val="11"/>
                <w:b w:val="1"/>
                <w:bCs w:val="1"/>
                <w:color w:val="auto"/>
              </w:rPr>
              <w:t>Grant Date</w:t>
            </w:r>
          </w:p>
        </w:tc>
        <w:tc>
          <w:tcPr>
            <w:tcW w:w="0" w:type="dxa"/>
            <w:vAlign w:val="bottom"/>
          </w:tcPr>
          <w:p>
            <w:pPr>
              <w:spacing w:after="0"/>
              <w:rPr>
                <w:sz w:val="1"/>
                <w:szCs w:val="1"/>
                <w:color w:val="auto"/>
              </w:rPr>
            </w:pPr>
          </w:p>
        </w:tc>
      </w:tr>
      <w:tr>
        <w:trPr>
          <w:trHeight w:val="154"/>
        </w:trPr>
        <w:tc>
          <w:tcPr>
            <w:tcW w:w="82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7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0" w:type="dxa"/>
            <w:vAlign w:val="bottom"/>
          </w:tcPr>
          <w:p>
            <w:pPr>
              <w:spacing w:after="0"/>
              <w:rPr>
                <w:sz w:val="1"/>
                <w:szCs w:val="1"/>
                <w:color w:val="auto"/>
              </w:rPr>
            </w:pPr>
          </w:p>
        </w:tc>
      </w:tr>
      <w:tr>
        <w:trPr>
          <w:trHeight w:val="180"/>
        </w:trPr>
        <w:tc>
          <w:tcPr>
            <w:tcW w:w="9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9160" w:type="dxa"/>
            <w:vAlign w:val="bottom"/>
            <w:gridSpan w:val="2"/>
            <w:shd w:val="clear" w:color="auto" w:fill="CCEEFF"/>
          </w:tcPr>
          <w:p>
            <w:pPr>
              <w:ind w:left="220"/>
              <w:spacing w:after="0" w:line="181" w:lineRule="exact"/>
              <w:rPr>
                <w:sz w:val="20"/>
                <w:szCs w:val="20"/>
                <w:color w:val="auto"/>
              </w:rPr>
            </w:pPr>
            <w:r>
              <w:rPr>
                <w:rFonts w:ascii="Times New Roman" w:cs="Times New Roman" w:eastAsia="Times New Roman" w:hAnsi="Times New Roman"/>
                <w:sz w:val="14"/>
                <w:szCs w:val="14"/>
                <w:color w:val="auto"/>
              </w:rPr>
              <w:t xml:space="preserve">Vested </w:t>
            </w:r>
            <w:r>
              <w:rPr>
                <w:rFonts w:ascii="Times New Roman" w:cs="Times New Roman" w:eastAsia="Times New Roman" w:hAnsi="Times New Roman"/>
                <w:sz w:val="18"/>
                <w:szCs w:val="18"/>
                <w:color w:val="auto"/>
                <w:vertAlign w:val="superscript"/>
              </w:rPr>
              <w:t>(1)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Forfeited</w:t>
            </w:r>
          </w:p>
        </w:tc>
        <w:tc>
          <w:tcPr>
            <w:tcW w:w="9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9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Vested PSUs include 17,694 shares retained by the Company to cover statutory minimum withholding taxes.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ind w:right="520"/>
        <w:spacing w:after="0" w:line="379" w:lineRule="auto"/>
        <w:rPr>
          <w:sz w:val="20"/>
          <w:szCs w:val="20"/>
          <w:color w:val="auto"/>
        </w:rPr>
      </w:pPr>
      <w:r>
        <w:rPr>
          <w:rFonts w:ascii="Times New Roman" w:cs="Times New Roman" w:eastAsia="Times New Roman" w:hAnsi="Times New Roman"/>
          <w:sz w:val="14"/>
          <w:szCs w:val="14"/>
          <w:color w:val="auto"/>
        </w:rPr>
        <w:t xml:space="preserve">As of December 31, 2024, the unrecognized compensation cost related to outstanding PSUs was $1.2 million which is expected to be recognized over a weighted-average period of 0.2 years. </w:t>
      </w:r>
      <w:r>
        <w:rPr>
          <w:rFonts w:ascii="Times New Roman" w:cs="Times New Roman" w:eastAsia="Times New Roman" w:hAnsi="Times New Roman"/>
          <w:sz w:val="14"/>
          <w:szCs w:val="14"/>
          <w:b w:val="1"/>
          <w:bCs w:val="1"/>
          <w:i w:val="1"/>
          <w:iCs w:val="1"/>
          <w:color w:val="auto"/>
        </w:rPr>
        <w:t>Time-based restricted stock units</w:t>
      </w:r>
    </w:p>
    <w:p>
      <w:pPr>
        <w:spacing w:after="0" w:line="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January and February 2023, the Company’s Board of Directors authorized an issuance of 824,600 time-based restricted stock units, or RSUs, to employees under the 2020 Plan. Vesting of the RSUs are contingent to time-based vesting conditions. These RSUs are valued on the grant date using the grant date market price of the underlying shares. Upon vesting, each RSU automatically converts into one share of the Company’s common stock.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activity under the Company’s equity plans with respect to RSUs for the year ended December 31,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115"/>
              <w:spacing w:after="0"/>
              <w:rPr>
                <w:sz w:val="20"/>
                <w:szCs w:val="20"/>
                <w:color w:val="auto"/>
              </w:rPr>
            </w:pPr>
            <w:r>
              <w:rPr>
                <w:rFonts w:ascii="Times New Roman" w:cs="Times New Roman" w:eastAsia="Times New Roman" w:hAnsi="Times New Roman"/>
                <w:sz w:val="11"/>
                <w:szCs w:val="11"/>
                <w:b w:val="1"/>
                <w:bCs w:val="1"/>
                <w:color w:val="auto"/>
                <w:w w:val="99"/>
              </w:rPr>
              <w:t>Weighted-Average</w:t>
            </w:r>
          </w:p>
        </w:tc>
        <w:tc>
          <w:tcPr>
            <w:tcW w:w="0" w:type="dxa"/>
            <w:vAlign w:val="bottom"/>
          </w:tcPr>
          <w:p>
            <w:pPr>
              <w:spacing w:after="0"/>
              <w:rPr>
                <w:sz w:val="1"/>
                <w:szCs w:val="1"/>
                <w:color w:val="auto"/>
              </w:rPr>
            </w:pPr>
          </w:p>
        </w:tc>
      </w:tr>
      <w:tr>
        <w:trPr>
          <w:trHeight w:val="115"/>
        </w:trPr>
        <w:tc>
          <w:tcPr>
            <w:tcW w:w="8220" w:type="dxa"/>
            <w:vAlign w:val="bottom"/>
          </w:tcPr>
          <w:p>
            <w:pPr>
              <w:spacing w:after="0"/>
              <w:rPr>
                <w:sz w:val="9"/>
                <w:szCs w:val="9"/>
                <w:color w:val="auto"/>
              </w:rPr>
            </w:pPr>
          </w:p>
        </w:tc>
        <w:tc>
          <w:tcPr>
            <w:tcW w:w="15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9"/>
                <w:szCs w:val="9"/>
                <w:color w:val="auto"/>
              </w:rPr>
            </w:pPr>
          </w:p>
        </w:tc>
        <w:tc>
          <w:tcPr>
            <w:tcW w:w="1300" w:type="dxa"/>
            <w:vAlign w:val="bottom"/>
          </w:tcPr>
          <w:p>
            <w:pPr>
              <w:jc w:val="center"/>
              <w:ind w:right="115"/>
              <w:spacing w:after="0" w:line="115" w:lineRule="exact"/>
              <w:rPr>
                <w:sz w:val="20"/>
                <w:szCs w:val="20"/>
                <w:color w:val="auto"/>
              </w:rPr>
            </w:pPr>
            <w:r>
              <w:rPr>
                <w:rFonts w:ascii="Times New Roman" w:cs="Times New Roman" w:eastAsia="Times New Roman" w:hAnsi="Times New Roman"/>
                <w:sz w:val="11"/>
                <w:szCs w:val="11"/>
                <w:b w:val="1"/>
                <w:bCs w:val="1"/>
                <w:color w:val="auto"/>
              </w:rPr>
              <w:t>Grant Date</w:t>
            </w:r>
          </w:p>
        </w:tc>
        <w:tc>
          <w:tcPr>
            <w:tcW w:w="0" w:type="dxa"/>
            <w:vAlign w:val="bottom"/>
          </w:tcPr>
          <w:p>
            <w:pPr>
              <w:spacing w:after="0"/>
              <w:rPr>
                <w:sz w:val="1"/>
                <w:szCs w:val="1"/>
                <w:color w:val="auto"/>
              </w:rPr>
            </w:pPr>
          </w:p>
        </w:tc>
      </w:tr>
      <w:tr>
        <w:trPr>
          <w:trHeight w:val="154"/>
        </w:trPr>
        <w:tc>
          <w:tcPr>
            <w:tcW w:w="822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center"/>
              <w:ind w:right="115"/>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76"/>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750,210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0" w:type="dxa"/>
            <w:vAlign w:val="bottom"/>
          </w:tcPr>
          <w:p>
            <w:pPr>
              <w:spacing w:after="0"/>
              <w:rPr>
                <w:sz w:val="1"/>
                <w:szCs w:val="1"/>
                <w:color w:val="auto"/>
              </w:rPr>
            </w:pPr>
          </w:p>
        </w:tc>
      </w:tr>
      <w:tr>
        <w:trPr>
          <w:trHeight w:val="180"/>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1,090,150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(161,862)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(173,209)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1,505,289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520"/>
        <w:spacing w:after="0" w:line="379" w:lineRule="auto"/>
        <w:rPr>
          <w:sz w:val="20"/>
          <w:szCs w:val="20"/>
          <w:color w:val="auto"/>
        </w:rPr>
      </w:pPr>
      <w:r>
        <w:rPr>
          <w:rFonts w:ascii="Times New Roman" w:cs="Times New Roman" w:eastAsia="Times New Roman" w:hAnsi="Times New Roman"/>
          <w:sz w:val="14"/>
          <w:szCs w:val="14"/>
          <w:color w:val="auto"/>
        </w:rPr>
        <w:t xml:space="preserve">As of December 31, 2024, the unrecognized compensation cost related to outstanding RSUs was $7.7 million which is expected to be recognized over a weighted-average period of 2.9 years. </w:t>
      </w:r>
      <w:r>
        <w:rPr>
          <w:rFonts w:ascii="Times New Roman" w:cs="Times New Roman" w:eastAsia="Times New Roman" w:hAnsi="Times New Roman"/>
          <w:sz w:val="14"/>
          <w:szCs w:val="14"/>
          <w:b w:val="1"/>
          <w:bCs w:val="1"/>
          <w:i w:val="1"/>
          <w:iCs w:val="1"/>
          <w:color w:val="auto"/>
        </w:rPr>
        <w:t>Inducement grants</w:t>
      </w:r>
    </w:p>
    <w:p>
      <w:pPr>
        <w:spacing w:after="0" w:line="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4"/>
          <w:szCs w:val="14"/>
          <w:color w:val="auto"/>
        </w:rPr>
        <w:t>On three separate dates in April, September, and October 2024, the Company's Board of Directors approved the grant of non-qualified stock options to purchase shares of the Company's common stock to three new employees. Options granted under these these inducement grants vest over a period of four years with 25% of the award vesting on the first anniversary of the vesting start date and the balance vesting in equal quarterly installments thereafter.</w:t>
      </w:r>
    </w:p>
    <w:tbl>
      <w:tblPr>
        <w:tblLayout w:type="fixed"/>
        <w:tblInd w:w="0" w:type="dxa"/>
        <w:tblCellMar>
          <w:top w:w="0" w:type="dxa"/>
          <w:left w:w="0" w:type="dxa"/>
          <w:bottom w:w="0" w:type="dxa"/>
          <w:right w:w="0" w:type="dxa"/>
        </w:tblCellMar>
      </w:tblPr>
      <w:tr>
        <w:trPr>
          <w:trHeight w:val="116"/>
        </w:trPr>
        <w:tc>
          <w:tcPr>
            <w:tcW w:w="50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center"/>
              <w:ind w:left="221"/>
              <w:spacing w:after="0" w:line="116" w:lineRule="exact"/>
              <w:rPr>
                <w:sz w:val="20"/>
                <w:szCs w:val="20"/>
                <w:color w:val="auto"/>
              </w:rPr>
            </w:pPr>
            <w:r>
              <w:rPr>
                <w:rFonts w:ascii="Times New Roman" w:cs="Times New Roman" w:eastAsia="Times New Roman" w:hAnsi="Times New Roman"/>
                <w:sz w:val="11"/>
                <w:szCs w:val="11"/>
                <w:b w:val="1"/>
                <w:bCs w:val="1"/>
                <w:color w:val="auto"/>
              </w:rPr>
              <w:t>Weighted-Average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2"/>
          </w:tcPr>
          <w:p>
            <w:pPr>
              <w:jc w:val="center"/>
              <w:ind w:right="400"/>
              <w:spacing w:after="0" w:line="116" w:lineRule="exact"/>
              <w:rPr>
                <w:sz w:val="20"/>
                <w:szCs w:val="20"/>
                <w:color w:val="auto"/>
              </w:rPr>
            </w:pPr>
            <w:r>
              <w:rPr>
                <w:rFonts w:ascii="Times New Roman" w:cs="Times New Roman" w:eastAsia="Times New Roman" w:hAnsi="Times New Roman"/>
                <w:sz w:val="11"/>
                <w:szCs w:val="11"/>
                <w:b w:val="1"/>
                <w:bCs w:val="1"/>
                <w:color w:val="auto"/>
                <w:w w:val="99"/>
              </w:rPr>
              <w:t>Aggregate</w:t>
            </w:r>
          </w:p>
        </w:tc>
        <w:tc>
          <w:tcPr>
            <w:tcW w:w="0" w:type="dxa"/>
            <w:vAlign w:val="bottom"/>
          </w:tcPr>
          <w:p>
            <w:pPr>
              <w:spacing w:after="0"/>
              <w:rPr>
                <w:sz w:val="1"/>
                <w:szCs w:val="1"/>
                <w:color w:val="auto"/>
              </w:rPr>
            </w:pPr>
          </w:p>
        </w:tc>
      </w:tr>
      <w:tr>
        <w:trPr>
          <w:trHeight w:val="108"/>
        </w:trPr>
        <w:tc>
          <w:tcPr>
            <w:tcW w:w="50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jc w:val="center"/>
              <w:ind w:left="221"/>
              <w:spacing w:after="0" w:line="108"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gridSpan w:val="2"/>
          </w:tcPr>
          <w:p>
            <w:pPr>
              <w:jc w:val="center"/>
              <w:ind w:right="4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Intrinsic</w:t>
            </w:r>
          </w:p>
        </w:tc>
        <w:tc>
          <w:tcPr>
            <w:tcW w:w="0" w:type="dxa"/>
            <w:vAlign w:val="bottom"/>
          </w:tcPr>
          <w:p>
            <w:pPr>
              <w:spacing w:after="0"/>
              <w:rPr>
                <w:sz w:val="1"/>
                <w:szCs w:val="1"/>
                <w:color w:val="auto"/>
              </w:rPr>
            </w:pPr>
          </w:p>
        </w:tc>
      </w:tr>
      <w:tr>
        <w:trPr>
          <w:trHeight w:val="125"/>
        </w:trPr>
        <w:tc>
          <w:tcPr>
            <w:tcW w:w="5080" w:type="dxa"/>
            <w:vAlign w:val="bottom"/>
          </w:tcPr>
          <w:p>
            <w:pPr>
              <w:spacing w:after="0"/>
              <w:rPr>
                <w:sz w:val="10"/>
                <w:szCs w:val="10"/>
                <w:color w:val="auto"/>
              </w:rPr>
            </w:pPr>
          </w:p>
        </w:tc>
        <w:tc>
          <w:tcPr>
            <w:tcW w:w="1480" w:type="dxa"/>
            <w:vAlign w:val="bottom"/>
          </w:tcPr>
          <w:p>
            <w:pPr>
              <w:jc w:val="right"/>
              <w:ind w:right="412"/>
              <w:spacing w:after="0" w:line="125"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3"/>
          </w:tcPr>
          <w:p>
            <w:pPr>
              <w:jc w:val="center"/>
              <w:ind w:right="260"/>
              <w:spacing w:after="0" w:line="125" w:lineRule="exact"/>
              <w:rPr>
                <w:sz w:val="20"/>
                <w:szCs w:val="20"/>
                <w:color w:val="auto"/>
              </w:rPr>
            </w:pPr>
            <w:r>
              <w:rPr>
                <w:rFonts w:ascii="Times New Roman" w:cs="Times New Roman" w:eastAsia="Times New Roman" w:hAnsi="Times New Roman"/>
                <w:sz w:val="11"/>
                <w:szCs w:val="11"/>
                <w:b w:val="1"/>
                <w:bCs w:val="1"/>
                <w:color w:val="auto"/>
                <w:w w:val="99"/>
              </w:rPr>
              <w:t>Weighted-Average</w:t>
            </w:r>
          </w:p>
        </w:tc>
        <w:tc>
          <w:tcPr>
            <w:tcW w:w="1220" w:type="dxa"/>
            <w:vAlign w:val="bottom"/>
          </w:tcPr>
          <w:p>
            <w:pPr>
              <w:jc w:val="center"/>
              <w:ind w:left="221"/>
              <w:spacing w:after="0" w:line="125"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2"/>
          </w:tcPr>
          <w:p>
            <w:pPr>
              <w:jc w:val="center"/>
              <w:ind w:right="400"/>
              <w:spacing w:after="0" w:line="125" w:lineRule="exact"/>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50"/>
        </w:trPr>
        <w:tc>
          <w:tcPr>
            <w:tcW w:w="5080" w:type="dxa"/>
            <w:vAlign w:val="bottom"/>
          </w:tcPr>
          <w:p>
            <w:pPr>
              <w:spacing w:after="0"/>
              <w:rPr>
                <w:sz w:val="13"/>
                <w:szCs w:val="13"/>
                <w:color w:val="auto"/>
              </w:rPr>
            </w:pPr>
          </w:p>
        </w:tc>
        <w:tc>
          <w:tcPr>
            <w:tcW w:w="1480" w:type="dxa"/>
            <w:vAlign w:val="bottom"/>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1220" w:type="dxa"/>
            <w:vAlign w:val="bottom"/>
          </w:tcPr>
          <w:p>
            <w:pPr>
              <w:jc w:val="center"/>
              <w:ind w:left="221"/>
              <w:spacing w:after="0"/>
              <w:rPr>
                <w:sz w:val="20"/>
                <w:szCs w:val="20"/>
                <w:color w:val="auto"/>
              </w:rPr>
            </w:pPr>
            <w:r>
              <w:rPr>
                <w:rFonts w:ascii="Times New Roman" w:cs="Times New Roman" w:eastAsia="Times New Roman" w:hAnsi="Times New Roman"/>
                <w:sz w:val="11"/>
                <w:szCs w:val="11"/>
                <w:b w:val="1"/>
                <w:bCs w:val="1"/>
                <w:color w:val="auto"/>
              </w:rPr>
              <w:t>Term (in years)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351,000</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8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7"/>
              </w:rPr>
              <w:t>9.53</w:t>
            </w:r>
          </w:p>
        </w:tc>
        <w:tc>
          <w:tcPr>
            <w:tcW w:w="80" w:type="dxa"/>
            <w:vAlign w:val="bottom"/>
          </w:tcPr>
          <w:p>
            <w:pPr>
              <w:spacing w:after="0"/>
              <w:rPr>
                <w:sz w:val="15"/>
                <w:szCs w:val="15"/>
                <w:color w:val="auto"/>
              </w:rPr>
            </w:pPr>
          </w:p>
        </w:tc>
        <w:tc>
          <w:tcPr>
            <w:tcW w:w="400" w:type="dxa"/>
            <w:vAlign w:val="bottom"/>
            <w:tcBorders>
              <w:top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759,150</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639,360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Forfeited/expired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990,360</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7"/>
              </w:rPr>
              <w:t>9.28</w:t>
            </w:r>
          </w:p>
        </w:tc>
        <w:tc>
          <w:tcPr>
            <w:tcW w:w="80" w:type="dxa"/>
            <w:vAlign w:val="bottom"/>
          </w:tcPr>
          <w:p>
            <w:pPr>
              <w:spacing w:after="0"/>
              <w:rPr>
                <w:sz w:val="14"/>
                <w:szCs w:val="14"/>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Exercisable as of December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109,687</w:t>
            </w:r>
          </w:p>
        </w:tc>
        <w:tc>
          <w:tcPr>
            <w:tcW w:w="28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8.52</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8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Vested and expected to vest as of December 31, 2024</w:t>
            </w:r>
          </w:p>
        </w:tc>
        <w:tc>
          <w:tcPr>
            <w:tcW w:w="14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990,360</w:t>
            </w:r>
          </w:p>
        </w:tc>
        <w:tc>
          <w:tcPr>
            <w:tcW w:w="280" w:type="dxa"/>
            <w:vAlign w:val="bottom"/>
            <w:gridSpan w:val="2"/>
          </w:tcPr>
          <w:p>
            <w:pPr>
              <w:jc w:val="right"/>
              <w:ind w:right="2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5.11</w:t>
            </w: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gridSpan w:val="3"/>
          </w:tcPr>
          <w:p>
            <w:pPr>
              <w:jc w:val="right"/>
              <w:spacing w:after="0" w:line="143" w:lineRule="exact"/>
              <w:rPr>
                <w:sz w:val="20"/>
                <w:szCs w:val="20"/>
                <w:color w:val="auto"/>
              </w:rPr>
            </w:pPr>
            <w:r>
              <w:rPr>
                <w:rFonts w:ascii="Times New Roman" w:cs="Times New Roman" w:eastAsia="Times New Roman" w:hAnsi="Times New Roman"/>
                <w:sz w:val="14"/>
                <w:szCs w:val="14"/>
                <w:color w:val="auto"/>
                <w:w w:val="97"/>
              </w:rPr>
              <w:t>9.28</w:t>
            </w:r>
          </w:p>
        </w:tc>
        <w:tc>
          <w:tcPr>
            <w:tcW w:w="80" w:type="dxa"/>
            <w:vAlign w:val="bottom"/>
          </w:tcPr>
          <w:p>
            <w:pPr>
              <w:spacing w:after="0"/>
              <w:rPr>
                <w:sz w:val="12"/>
                <w:szCs w:val="12"/>
                <w:color w:val="auto"/>
              </w:rPr>
            </w:pPr>
          </w:p>
        </w:tc>
        <w:tc>
          <w:tcPr>
            <w:tcW w:w="400" w:type="dxa"/>
            <w:vAlign w:val="bottom"/>
          </w:tcPr>
          <w:p>
            <w:pPr>
              <w:jc w:val="right"/>
              <w:ind w:right="24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60"/>
              <w:spacing w:after="0" w:line="143"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Other information related to the option activity of the Company was as follows:</w:t>
            </w: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50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0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8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5080" w:type="dxa"/>
            <w:vAlign w:val="bottom"/>
            <w:tcBorders>
              <w:bottom w:val="single" w:sz="8" w:color="CCEEFF"/>
            </w:tcBorders>
          </w:tcPr>
          <w:p>
            <w:pPr>
              <w:spacing w:after="0"/>
              <w:rPr>
                <w:sz w:val="13"/>
                <w:szCs w:val="13"/>
                <w:color w:val="auto"/>
              </w:rPr>
            </w:pPr>
          </w:p>
        </w:tc>
        <w:tc>
          <w:tcPr>
            <w:tcW w:w="14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fair value of options granted</w:t>
            </w: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0"/>
        </w:trPr>
        <w:tc>
          <w:tcPr>
            <w:tcW w:w="5080" w:type="dxa"/>
            <w:vAlign w:val="bottom"/>
          </w:tcPr>
          <w:p>
            <w:pPr>
              <w:spacing w:after="0"/>
              <w:rPr>
                <w:sz w:val="24"/>
                <w:szCs w:val="24"/>
                <w:color w:val="auto"/>
              </w:rPr>
            </w:pPr>
          </w:p>
        </w:tc>
        <w:tc>
          <w:tcPr>
            <w:tcW w:w="1480" w:type="dxa"/>
            <w:vAlign w:val="bottom"/>
          </w:tcPr>
          <w:p>
            <w:pPr>
              <w:jc w:val="right"/>
              <w:ind w:right="712"/>
              <w:spacing w:after="0"/>
              <w:rPr>
                <w:sz w:val="20"/>
                <w:szCs w:val="20"/>
                <w:color w:val="auto"/>
              </w:rPr>
            </w:pPr>
            <w:r>
              <w:rPr>
                <w:rFonts w:ascii="Times New Roman" w:cs="Times New Roman" w:eastAsia="Times New Roman" w:hAnsi="Times New Roman"/>
                <w:sz w:val="14"/>
                <w:szCs w:val="14"/>
                <w:color w:val="auto"/>
              </w:rPr>
              <w:t>F-30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08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 unrecognized compensation cost related to outstanding options was $3.5 million, which is expected to be recognized over a weighted-average period of 3.4 years.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assumptions used in the Black-Scholes option pricing model to determine the fair value of stock options granted to employees: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1000" w:type="dxa"/>
            <w:vAlign w:val="bottom"/>
            <w:tcBorders>
              <w:bottom w:val="single" w:sz="8" w:color="auto"/>
            </w:tcBorders>
          </w:tcPr>
          <w:p>
            <w:pPr>
              <w:spacing w:after="0"/>
              <w:rPr>
                <w:sz w:val="13"/>
                <w:szCs w:val="13"/>
                <w:color w:val="auto"/>
              </w:rPr>
            </w:pPr>
          </w:p>
        </w:tc>
      </w:tr>
      <w:tr>
        <w:trPr>
          <w:trHeight w:val="154"/>
        </w:trPr>
        <w:tc>
          <w:tcPr>
            <w:tcW w:w="7300" w:type="dxa"/>
            <w:vAlign w:val="bottom"/>
            <w:tcBorders>
              <w:bottom w:val="single" w:sz="8" w:color="CCEEFF"/>
            </w:tcBorders>
          </w:tcPr>
          <w:p>
            <w:pPr>
              <w:spacing w:after="0"/>
              <w:rPr>
                <w:sz w:val="13"/>
                <w:szCs w:val="13"/>
                <w:color w:val="auto"/>
              </w:rPr>
            </w:pPr>
          </w:p>
        </w:tc>
        <w:tc>
          <w:tcPr>
            <w:tcW w:w="1960" w:type="dxa"/>
            <w:vAlign w:val="bottom"/>
            <w:tcBorders>
              <w:bottom w:val="single" w:sz="8" w:color="auto"/>
            </w:tcBorders>
            <w:gridSpan w:val="2"/>
          </w:tcPr>
          <w:p>
            <w:pPr>
              <w:jc w:val="right"/>
              <w:ind w:right="8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7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option life (years)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- 6.11</w:t>
            </w: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6.11</w:t>
            </w:r>
          </w:p>
        </w:tc>
      </w:tr>
      <w:tr>
        <w:trPr>
          <w:trHeight w:val="18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- 4.64%</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- 4.19%</w:t>
            </w:r>
          </w:p>
        </w:tc>
      </w:t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103.11%</w:t>
            </w: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- 103.85%</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83.35%</w:t>
            </w: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- 83.50%</w:t>
            </w:r>
          </w:p>
        </w:tc>
      </w:tr>
      <w:tr>
        <w:trPr>
          <w:trHeight w:val="184"/>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1960" w:type="dxa"/>
            <w:vAlign w:val="bottom"/>
            <w:gridSpan w:val="2"/>
          </w:tcPr>
          <w:p>
            <w:pPr>
              <w:jc w:val="right"/>
              <w:ind w:right="733"/>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0.00%</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2020 Employee Stock Purchase Plan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September 2020, the Company’s Board of Directors adopted the C4 Therapeutics, Inc. 2020 Employee Stock Purchase Plan, or the 2020 ESPP. Eligible employees may authorize payroll deductions of up to 15% of their eligible compensation during an offering period. The Company may hold one or more offering periods each year during which employees will be able to purchase shares under the 2020 ESPP. The Company issued 110,895 shares during the year ended December 31, 2024.</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December 31, 2024, the Company had 2,166,905 shares available for future issuance under the 2020 ESPP. The 2020 ESPP provides for an annual increase to be added on the first day of each fiscal year, beginning with January 1, 2021 and continuing thereafter through January 1, 2030, equal to the lesser of (i) 1% of the outstanding shares of common stock on the immediately preceding December 31st, (ii) 656,714 shares, or (ii) lesser number of shares determined by the administrator of the 2020 ESPP. On January 1, 2025, the annual increase for the 2020 ESPP resulted in an additional 656,714 shares authorized for issuance being added to the 2020 ESPP.</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Income taxes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tax (benefit) expense consists of the following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4"/>
        </w:trPr>
        <w:tc>
          <w:tcPr>
            <w:tcW w:w="3620" w:type="dxa"/>
            <w:vAlign w:val="bottom"/>
            <w:tcBorders>
              <w:bottom w:val="single" w:sz="8" w:color="CCEEFF"/>
            </w:tcBorders>
          </w:tcPr>
          <w:p>
            <w:pPr>
              <w:spacing w:after="0"/>
              <w:rPr>
                <w:sz w:val="13"/>
                <w:szCs w:val="13"/>
                <w:color w:val="auto"/>
              </w:rPr>
            </w:pPr>
          </w:p>
        </w:tc>
        <w:tc>
          <w:tcPr>
            <w:tcW w:w="45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100" w:type="dxa"/>
            <w:vAlign w:val="bottom"/>
          </w:tcPr>
          <w:p>
            <w:pPr>
              <w:spacing w:after="0"/>
              <w:rPr>
                <w:sz w:val="13"/>
                <w:szCs w:val="13"/>
                <w:color w:val="auto"/>
              </w:rPr>
            </w:pPr>
          </w:p>
        </w:tc>
      </w:tr>
      <w:tr>
        <w:trPr>
          <w:trHeight w:val="16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tax provision:</w:t>
            </w:r>
          </w:p>
        </w:tc>
        <w:tc>
          <w:tcPr>
            <w:tcW w:w="4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3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Current federal provision</w:t>
            </w:r>
          </w:p>
        </w:tc>
        <w:tc>
          <w:tcPr>
            <w:tcW w:w="5360" w:type="dxa"/>
            <w:vAlign w:val="bottom"/>
            <w:gridSpan w:val="2"/>
          </w:tcPr>
          <w:p>
            <w:pPr>
              <w:jc w:val="right"/>
              <w:ind w:right="716"/>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80"/>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Current state provision</w:t>
            </w:r>
          </w:p>
        </w:tc>
        <w:tc>
          <w:tcPr>
            <w:tcW w:w="4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5"/>
                <w:szCs w:val="15"/>
                <w:color w:val="auto"/>
              </w:rPr>
            </w:pPr>
          </w:p>
        </w:tc>
      </w:tr>
      <w:tr>
        <w:trPr>
          <w:trHeight w:val="180"/>
        </w:trPr>
        <w:tc>
          <w:tcPr>
            <w:tcW w:w="3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Current foreign provision</w:t>
            </w:r>
          </w:p>
        </w:tc>
        <w:tc>
          <w:tcPr>
            <w:tcW w:w="4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100" w:type="dxa"/>
            <w:vAlign w:val="bottom"/>
          </w:tcPr>
          <w:p>
            <w:pPr>
              <w:spacing w:after="0"/>
              <w:rPr>
                <w:sz w:val="15"/>
                <w:szCs w:val="15"/>
                <w:color w:val="auto"/>
              </w:rPr>
            </w:pPr>
          </w:p>
        </w:tc>
      </w:tr>
      <w:tr>
        <w:trPr>
          <w:trHeight w:val="171"/>
        </w:trPr>
        <w:tc>
          <w:tcPr>
            <w:tcW w:w="362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current provision</w:t>
            </w:r>
          </w:p>
        </w:tc>
        <w:tc>
          <w:tcPr>
            <w:tcW w:w="45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00" w:type="dxa"/>
            <w:vAlign w:val="bottom"/>
          </w:tcPr>
          <w:p>
            <w:pPr>
              <w:spacing w:after="0"/>
              <w:rPr>
                <w:sz w:val="14"/>
                <w:szCs w:val="14"/>
                <w:color w:val="auto"/>
              </w:rPr>
            </w:pPr>
          </w:p>
        </w:tc>
      </w:tr>
      <w:tr>
        <w:trPr>
          <w:trHeight w:val="18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provision:</w:t>
            </w:r>
          </w:p>
        </w:tc>
        <w:tc>
          <w:tcPr>
            <w:tcW w:w="4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federal provision</w:t>
            </w:r>
          </w:p>
        </w:tc>
        <w:tc>
          <w:tcPr>
            <w:tcW w:w="4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80"/>
        </w:trPr>
        <w:tc>
          <w:tcPr>
            <w:tcW w:w="3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state provision</w:t>
            </w:r>
          </w:p>
        </w:tc>
        <w:tc>
          <w:tcPr>
            <w:tcW w:w="4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80"/>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foreign provision</w:t>
            </w:r>
          </w:p>
        </w:tc>
        <w:tc>
          <w:tcPr>
            <w:tcW w:w="4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71"/>
        </w:trPr>
        <w:tc>
          <w:tcPr>
            <w:tcW w:w="3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tax provision</w:t>
            </w:r>
          </w:p>
        </w:tc>
        <w:tc>
          <w:tcPr>
            <w:tcW w:w="45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00" w:type="dxa"/>
            <w:vAlign w:val="bottom"/>
          </w:tcPr>
          <w:p>
            <w:pPr>
              <w:spacing w:after="0"/>
              <w:rPr>
                <w:sz w:val="14"/>
                <w:szCs w:val="14"/>
                <w:color w:val="auto"/>
              </w:rPr>
            </w:pPr>
          </w:p>
        </w:tc>
      </w:tr>
      <w:tr>
        <w:trPr>
          <w:trHeight w:val="20"/>
        </w:trPr>
        <w:tc>
          <w:tcPr>
            <w:tcW w:w="36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82"/>
        </w:trPr>
        <w:tc>
          <w:tcPr>
            <w:tcW w:w="3620" w:type="dxa"/>
            <w:vAlign w:val="bottom"/>
          </w:tcPr>
          <w:p>
            <w:pPr>
              <w:spacing w:after="0"/>
              <w:rPr>
                <w:sz w:val="24"/>
                <w:szCs w:val="24"/>
                <w:color w:val="auto"/>
              </w:rPr>
            </w:pPr>
          </w:p>
        </w:tc>
        <w:tc>
          <w:tcPr>
            <w:tcW w:w="5360" w:type="dxa"/>
            <w:vAlign w:val="bottom"/>
            <w:gridSpan w:val="2"/>
          </w:tcPr>
          <w:p>
            <w:pPr>
              <w:jc w:val="right"/>
              <w:ind w:right="3136"/>
              <w:spacing w:after="0"/>
              <w:rPr>
                <w:sz w:val="20"/>
                <w:szCs w:val="20"/>
                <w:color w:val="auto"/>
              </w:rPr>
            </w:pPr>
            <w:r>
              <w:rPr>
                <w:rFonts w:ascii="Times New Roman" w:cs="Times New Roman" w:eastAsia="Times New Roman" w:hAnsi="Times New Roman"/>
                <w:sz w:val="14"/>
                <w:szCs w:val="14"/>
                <w:color w:val="auto"/>
              </w:rPr>
              <w:t>F-31</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7"/>
        </w:trPr>
        <w:tc>
          <w:tcPr>
            <w:tcW w:w="3620" w:type="dxa"/>
            <w:vAlign w:val="bottom"/>
            <w:tcBorders>
              <w:bottom w:val="single" w:sz="8" w:color="9A9A9A"/>
            </w:tcBorders>
          </w:tcPr>
          <w:p>
            <w:pPr>
              <w:spacing w:after="0"/>
              <w:rPr>
                <w:sz w:val="7"/>
                <w:szCs w:val="7"/>
                <w:color w:val="auto"/>
              </w:rPr>
            </w:pPr>
          </w:p>
        </w:tc>
        <w:tc>
          <w:tcPr>
            <w:tcW w:w="45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rate reconciliation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the expected income tax (benefit) expense computed at the statutory federal rate to income taxes as reflected in the consolidated financial statements was as follows:</w:t>
      </w:r>
    </w:p>
    <w:p>
      <w:pPr>
        <w:spacing w:after="0" w:line="121"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1"/>
          <w:szCs w:val="11"/>
          <w:b w:val="1"/>
          <w:bCs w:val="1"/>
          <w:color w:val="auto"/>
        </w:rPr>
        <w:t>Years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82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computed at federal statutory tax rate</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80"/>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State tax—net of federal</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4.2 %</w:t>
            </w:r>
          </w:p>
        </w:tc>
      </w:tr>
      <w:tr>
        <w:trPr>
          <w:trHeight w:val="180"/>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credits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r>
      <w:tr>
        <w:trPr>
          <w:trHeight w:val="180"/>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State credits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180"/>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permanent differences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80"/>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Withholding tax</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80"/>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w:t>
            </w:r>
          </w:p>
        </w:tc>
      </w:tr>
      <w:tr>
        <w:trPr>
          <w:trHeight w:val="191"/>
        </w:trPr>
        <w:tc>
          <w:tcPr>
            <w:tcW w:w="8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Company's effective tax rate as of December 31, 2024, was driven by income taxes related to the C4T Securities Corporation, a Massachusetts security corporation. This resulted in a tax provision of $0.1 million and effective tax rate of (0.1)%.</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Significant components of deferred taxes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Deferred income taxes reflect the net tax effects of (a) temporary differences between the carrying amounts of assets and liabilities for financial reporting purposes and the amounts used for income tax purposes and (b) operating losses and tax credit carryforwards. Significant components of the Company’s deferred tax assets and deferred tax liabilities were as follows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960" w:type="dxa"/>
            <w:vAlign w:val="bottom"/>
            <w:tcBorders>
              <w:bottom w:val="single" w:sz="8" w:color="auto"/>
            </w:tcBorders>
          </w:tcPr>
          <w:p>
            <w:pPr>
              <w:spacing w:after="0"/>
              <w:rPr>
                <w:sz w:val="13"/>
                <w:szCs w:val="13"/>
                <w:color w:val="auto"/>
              </w:rPr>
            </w:pPr>
          </w:p>
        </w:tc>
      </w:tr>
      <w:tr>
        <w:trPr>
          <w:trHeight w:val="154"/>
        </w:trPr>
        <w:tc>
          <w:tcPr>
            <w:tcW w:w="8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0"/>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operating losses</w:t>
            </w: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62,429</w:t>
            </w:r>
          </w:p>
        </w:tc>
        <w:tc>
          <w:tcPr>
            <w:tcW w:w="8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61,036</w:t>
            </w:r>
          </w:p>
        </w:tc>
      </w:tr>
      <w:tr>
        <w:trPr>
          <w:trHeight w:val="18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Capitalized research and experimental expenditures</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68,370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51,401</w:t>
            </w:r>
          </w:p>
        </w:tc>
      </w:tr>
      <w:tr>
        <w:trPr>
          <w:trHeight w:val="180"/>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19,083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20,611</w:t>
            </w:r>
          </w:p>
        </w:tc>
      </w:tr>
      <w:tr>
        <w:trPr>
          <w:trHeight w:val="18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R&amp;D and investment tax credits</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23,646</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18,049</w:t>
            </w:r>
          </w:p>
        </w:tc>
      </w:tr>
      <w:tr>
        <w:trPr>
          <w:trHeight w:val="180"/>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9,061</w:t>
            </w:r>
          </w:p>
        </w:tc>
      </w:tr>
      <w:tr>
        <w:trPr>
          <w:trHeight w:val="18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3,881</w:t>
            </w:r>
          </w:p>
        </w:tc>
      </w:tr>
      <w:tr>
        <w:trPr>
          <w:trHeight w:val="180"/>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tax credit</w:t>
            </w:r>
          </w:p>
        </w:tc>
        <w:tc>
          <w:tcPr>
            <w:tcW w:w="9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w:t>
            </w:r>
          </w:p>
        </w:tc>
      </w:tr>
      <w:tr>
        <w:trPr>
          <w:trHeight w:val="18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Capitalized start-up costs</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r>
      <w:tr>
        <w:trPr>
          <w:trHeight w:val="180"/>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1"/>
        </w:trPr>
        <w:tc>
          <w:tcPr>
            <w:tcW w:w="8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gross deferred tax assets</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191,619</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165,825</w:t>
            </w: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Right-of-use asset</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(18,573)</w:t>
            </w:r>
          </w:p>
        </w:tc>
      </w:tr>
      <w:tr>
        <w:trPr>
          <w:trHeight w:val="180"/>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Fixed assets</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w:t>
            </w: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valuation allowance</w:t>
            </w:r>
          </w:p>
        </w:tc>
        <w:tc>
          <w:tcPr>
            <w:tcW w:w="9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(173,540)</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(145,589)</w:t>
            </w:r>
          </w:p>
        </w:tc>
      </w:tr>
      <w:tr>
        <w:trPr>
          <w:trHeight w:val="17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deferred taxes</w:t>
            </w:r>
          </w:p>
        </w:tc>
        <w:tc>
          <w:tcPr>
            <w:tcW w:w="90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8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has evaluated the positive and negative evidence bearing upon the realizability of the deferred tax assets. As of December 31, 2024 and 2023, based on the Company’s historical operating losses, the Company has concluded that it is more-likely-than-not that the benefit of its deferred tax assets will not be realized. Accordingly, the Company has provided a full valuation allowance for the deferred tax assets as of December 31, 2024 and 2023. The valuation allowance for deferred tax assets as of December 31, 2024 and 2023 was $173.5 million and $145.6 million, respectively. The net valuation allowance increased $28.0 million and $35.5 million during the years ended December 31, 2024 and 2023,</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respectively. The change during the year ended December 31, 2024 was primarily due to the increase in net operating loss, or NOL, and tax credits carryforward, capitalization of research and experimental expenditures, and a decrease in deferred revenue recognized during the year and a decrease in right-of-use asset deferred tax liability.</w:t>
      </w:r>
    </w:p>
    <w:p>
      <w:pPr>
        <w:spacing w:after="0" w:line="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As of December 31, 2024 and 2023, the Company had $222.8 million and $214.9 million gross United States federal net NOL carryforwards, respectively, which may be available to offset future taxable income. The Tax Cuts and Jobs Act, or TCJA, which was enacted in December 2017, will generally allow federal losses generated after 2017 to be carried over indefinitely, but will generally limit the NOL deduction to the lesser of the NOL carryover or 80% of a corporation’s taxable income (subject to Section 382 of the Internal Revenue Code of 1986, as amended, or IRC). In addition, there will be no carryback for losses generated after 2017. Losses generated prior to 2018 will generally be deductible to the extent of the lesser of a corporation’s NOL carryover or 100% of a corporation’s taxable income and be available for twenty years from the period the loss was generated. For U.S. federal income tax purposes, the Company has federal NOLs generated after 2017 of $222.8 million, which do not expire. The Company does not have any available NOLs generated prior to 2019 as they were fully utilized in 2019. The Coronavirus Aid, Relief and Economic Security Act, or CARES Act, temporarily allows the Company to carryback NOLs arising in 2018, 2019 and 2020 to the five prior tax years. In addition, NOLs generated in these years could fully offset prior year taxable income without the 80% of the taxable income limitation under the TCJA.</w:t>
      </w:r>
    </w:p>
    <w:p>
      <w:pPr>
        <w:spacing w:after="0" w:line="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and 2023, the Company has total gross United States state NOL carryforwards of $338.3 million and $315.3 million, respectively, which may be available to offset future taxable income that expire at various dates through 2044.</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2024 and 2023, the Company has United States federal research credit carryforwards of $15.8 million and $12.6 million, respectively, which are available to offset future federal income tax liabilities, which expire at various dates through 2044. As of December 31, 2024 and 2023, the Company has United States state research credit carryforwards of $7.8 million and $5.2 million, respectively, which are available to reduce future tax liabilities which expire at various dates through 2039.</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NOL and tax credit carryforwards may become subject to an annual limitation in the event of certain cumulative changes in the ownership interest of significant stockholders over a three-year period in excess of 50%, as defined under Sections 382 and 383 of the IRC,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In 2022, the Company completed a study of ownership changes from inception through December 31, 2020, to assess whether an ownership change has occurred or whether there have been multiple ownership changes since its formation. The result of this study indicated that the Company experienced ownership changes as defined by Section 382 of the Internal Revenue Code, however there are no NOL carryforwards that will be limited and expire unused as a result of such ownership changes. Given the continued loss position, the Company has not currently undertaken an analysis for IRC Section 382 purposes of any activities post December 31, 2020. A full valuation allowance has been provided against the Deferred Tax Assets related to the Company’s NOL and tax credit carryforwards and, if an adjustment is required, this adjustment would be offset by an adjustment to the valuation allowance.</w:t>
      </w:r>
    </w:p>
    <w:p>
      <w:pPr>
        <w:spacing w:after="0" w:line="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will recognize interest and/or penalties related to unrecorded tax benefits in income tax expense as they arise. As of December 31, 2024 and 2023, the Company had no accrued interest or penalties related to unrecorded tax benefits.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files income tax returns as prescribed by tax laws of the jurisdictions in which it operates. The federal and state income tax returns are generally subject to tax examinations for the tax years ended December 31, 2021 through present. To the extent that the Company has tax attribute carryforwards, the tax years in which the attributes were generated may still be adjusted upon examination by the Internal Revenue Services or State tax authorities to the extent utilized in a future period. The Company is not currently under examination by any tax authorities.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Net loss per share</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As described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for periods in which the Company reports a net loss, potentially dilutive securities have been excluded from the computation of diluted net loss per share as their effects would be anti-dilutive. Therefore, the weighted average number of common shares outstanding used to calculate both basic and diluted net loss per share is the same. The Company excluded the following potential common shares presented based 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outstanding at period end, from the computation of diluted net loss per share for the periods indicated because including them would have had an anti-dilutive effect:</w:t>
      </w:r>
    </w:p>
    <w:p>
      <w:pPr>
        <w:spacing w:after="0" w:line="121"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1"/>
          <w:szCs w:val="11"/>
          <w:b w:val="1"/>
          <w:bCs w:val="1"/>
          <w:color w:val="auto"/>
        </w:rPr>
        <w:t>Years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220" w:type="dxa"/>
            <w:vAlign w:val="bottom"/>
            <w:tcBorders>
              <w:bottom w:val="single" w:sz="8" w:color="CCEEFF"/>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11,508,150</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9,475,009</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Basic and diluted loss per share is computed by dividing net loss by the weighted-average common shares outstanding (in thousands, except share and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80" w:type="dxa"/>
            <w:vAlign w:val="bottom"/>
            <w:tcBorders>
              <w:bottom w:val="single" w:sz="8" w:color="auto"/>
            </w:tcBorders>
          </w:tcPr>
          <w:p>
            <w:pPr>
              <w:spacing w:after="0"/>
              <w:rPr>
                <w:sz w:val="13"/>
                <w:szCs w:val="13"/>
                <w:color w:val="auto"/>
              </w:rPr>
            </w:pPr>
          </w:p>
        </w:tc>
      </w:tr>
      <w:tr>
        <w:trPr>
          <w:trHeight w:val="154"/>
        </w:trPr>
        <w:tc>
          <w:tcPr>
            <w:tcW w:w="80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6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0"/>
        </w:trPr>
        <w:tc>
          <w:tcPr>
            <w:tcW w:w="8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 —basic and diluted</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(105,316)</w:t>
            </w:r>
          </w:p>
        </w:tc>
        <w:tc>
          <w:tcPr>
            <w:tcW w:w="80" w:type="dxa"/>
            <w:vAlign w:val="bottom"/>
          </w:tcPr>
          <w:p>
            <w:pPr>
              <w:spacing w:after="0"/>
              <w:rPr>
                <w:sz w:val="15"/>
                <w:szCs w:val="15"/>
                <w:color w:val="auto"/>
              </w:rPr>
            </w:pPr>
          </w:p>
        </w:tc>
        <w:tc>
          <w:tcPr>
            <w:tcW w:w="6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(132,493)</w:t>
            </w:r>
          </w:p>
        </w:tc>
      </w:tr>
      <w:tr>
        <w:trPr>
          <w:trHeight w:val="18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Weighted-average common stock outstanding—basic and diluted</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69,372,993</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49,640,505</w:t>
            </w: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—basic and diluted</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Defined contribution plan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has a 401(k) retirement plan, the 401(k) Plan, whereby all employees may contribute up to 90% of their eligible compensation, up to the maximum allowable amount set by the Internal Revenue Service. The Company matches 100% of contributions to the 401(k) Plan up to 3%, and matches an additional 50% of contributions up to 5%, for a total potential match of 4% for each employee. During each of the years ended December 31, 2024 and 2023, the Company contributed approximately $0.9 million and $1.1 million, respectively, to the 401(k) Plan.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Commitments and contingencies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9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Company is not currently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Restructuring</w:t>
      </w:r>
    </w:p>
    <w:p>
      <w:pPr>
        <w:spacing w:after="0" w:line="85"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4"/>
          <w:szCs w:val="14"/>
          <w:color w:val="auto"/>
        </w:rPr>
        <w:t>On January 9, 2024, the Company implemented a plan to reduce operating costs and better align its workforce with the needs of its business. Under the cost reduction plan, the Company reduced its workforce by approximately 30%. The Company incurred one-time restructuring charges of $2.4 million, including employee severance, benefits and related termination costs. The termination costs were fully paid by December 31, 2024.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Segment Reporting</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operates as one operating segment. The Company's chief operating decision maker, or CODM, is its chief executive officer, who reviews financial information presented on a consolidated basis. The CODM manages and allocates resources to the operations of our company on a total company basis by assessing the overall level of resources available and how to best deploy these resources across functions and research and development projects that are in line with our long-term company-wide strategic goals. Consistent with this decision-making process, the CODM uses operating expenses to monitor budget versus actual results for purposes of evaluating performance and to make decisions about the allocation of resources. The CODM does not utilize revenue in their decision-making process as a significant amount of the revenues recognized by the Company are derived from the upfront payments received from our collaboration partners (see Footnote 8 for further details).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financial metrics used by the CODM to make key operating decisions, consists of development, research, and general and administrative expenses.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presents selected financial information with respect to the Company’s single operating segment for the years ended December 31, 2024 and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9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80" w:type="dxa"/>
            <w:vAlign w:val="bottom"/>
            <w:tcBorders>
              <w:bottom w:val="single" w:sz="8" w:color="auto"/>
            </w:tcBorders>
          </w:tcPr>
          <w:p>
            <w:pPr>
              <w:spacing w:after="0"/>
              <w:rPr>
                <w:sz w:val="14"/>
                <w:szCs w:val="14"/>
                <w:color w:val="auto"/>
              </w:rPr>
            </w:pPr>
          </w:p>
        </w:tc>
      </w:tr>
      <w:tr>
        <w:trPr>
          <w:trHeight w:val="161"/>
        </w:trPr>
        <w:tc>
          <w:tcPr>
            <w:tcW w:w="8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w w:val="92"/>
              </w:rPr>
              <w:t>2023</w:t>
            </w:r>
          </w:p>
        </w:tc>
      </w:tr>
      <w:tr>
        <w:trPr>
          <w:trHeight w:val="151"/>
        </w:trPr>
        <w:tc>
          <w:tcPr>
            <w:tcW w:w="82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Operating expenses:</w:t>
            </w: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68"/>
        </w:trPr>
        <w:tc>
          <w:tcPr>
            <w:tcW w:w="8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Development expenses</w:t>
            </w: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59,003</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59,297</w:t>
            </w:r>
          </w:p>
        </w:tc>
      </w:tr>
      <w:tr>
        <w:trPr>
          <w:trHeight w:val="172"/>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Research expenses</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30,815</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38,015</w:t>
            </w:r>
          </w:p>
        </w:tc>
      </w:tr>
      <w:tr>
        <w:trPr>
          <w:trHeight w:val="168"/>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33,281</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35,240</w:t>
            </w:r>
          </w:p>
        </w:tc>
      </w:tr>
      <w:tr>
        <w:trPr>
          <w:trHeight w:val="16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Segment operating expenses</w:t>
            </w:r>
          </w:p>
        </w:tc>
        <w:tc>
          <w:tcPr>
            <w:tcW w:w="9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123,099</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132,552</w:t>
            </w:r>
          </w:p>
        </w:tc>
      </w:tr>
      <w:tr>
        <w:trPr>
          <w:trHeight w:val="148"/>
        </w:trPr>
        <w:tc>
          <w:tcPr>
            <w:tcW w:w="82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Reconciliation of profit or loss</w:t>
            </w:r>
          </w:p>
        </w:tc>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3"/>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Non-operating income</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(14,298)</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(6,538)</w:t>
            </w:r>
          </w:p>
        </w:tc>
      </w:tr>
      <w:tr>
        <w:trPr>
          <w:trHeight w:val="180"/>
        </w:trPr>
        <w:tc>
          <w:tcPr>
            <w:tcW w:w="8220" w:type="dxa"/>
            <w:vAlign w:val="bottom"/>
            <w:tcBorders>
              <w:bottom w:val="single" w:sz="8" w:color="CCEEFF"/>
            </w:tcBorders>
          </w:tcPr>
          <w:p>
            <w:pPr>
              <w:ind w:left="180"/>
              <w:spacing w:after="0" w:line="181" w:lineRule="exact"/>
              <w:rPr>
                <w:sz w:val="20"/>
                <w:szCs w:val="20"/>
                <w:color w:val="auto"/>
              </w:rPr>
            </w:pPr>
            <w:r>
              <w:rPr>
                <w:rFonts w:ascii="Times New Roman" w:cs="Times New Roman" w:eastAsia="Times New Roman" w:hAnsi="Times New Roman"/>
                <w:sz w:val="14"/>
                <w:szCs w:val="14"/>
                <w:color w:val="auto"/>
              </w:rPr>
              <w:t>Adjustments or reconciling items</w:t>
            </w:r>
            <w:r>
              <w:rPr>
                <w:rFonts w:ascii="Times New Roman" w:cs="Times New Roman" w:eastAsia="Times New Roman" w:hAnsi="Times New Roman"/>
                <w:sz w:val="18"/>
                <w:szCs w:val="18"/>
                <w:color w:val="auto"/>
                <w:vertAlign w:val="superscript"/>
              </w:rPr>
              <w:t>(1)</w:t>
            </w: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(3,485)</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6,479</w:t>
            </w:r>
          </w:p>
        </w:tc>
      </w:tr>
      <w:tr>
        <w:trPr>
          <w:trHeight w:val="185"/>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Consolidated net loss</w:t>
            </w:r>
          </w:p>
        </w:tc>
        <w:tc>
          <w:tcPr>
            <w:tcW w:w="90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(105,316)</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(132,493)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00" w:hanging="195"/>
        <w:spacing w:after="0" w:line="254" w:lineRule="auto"/>
        <w:tabs>
          <w:tab w:leader="none" w:pos="139" w:val="left"/>
        </w:tabs>
        <w:numPr>
          <w:ilvl w:val="0"/>
          <w:numId w:val="6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reconciling items include revenue, stock-based compensation expense, and restructuring expense for the year ended December 31, 2024. The reconciling items include revenue and stock-based compensation expense for the year ended December 31,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F-35</w:t>
      </w:r>
    </w:p>
    <w:p>
      <w:pPr>
        <w:sectPr>
          <w:pgSz w:w="11900" w:h="16838" w:orient="portrait"/>
          <w:cols w:equalWidth="0" w:num="1">
            <w:col w:w="11280"/>
          </w:cols>
          <w:pgMar w:left="300" w:top="123" w:right="319" w:bottom="1440"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304165</wp:posOffset>
            </wp:positionV>
            <wp:extent cx="6513830" cy="93275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extLst>
                        <a:ext uri="{28A0092B-C50C-407E-A947-70E740481C1C}"/>
                      </a:extLst>
                    </a:blip>
                    <a:srcRect/>
                    <a:stretch>
                      <a:fillRect/>
                    </a:stretch>
                  </pic:blipFill>
                  <pic:spPr bwMode="auto">
                    <a:xfrm>
                      <a:off x="0" y="0"/>
                      <a:ext cx="65138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1">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408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2">
                      <a:extLst>
                        <a:ext uri="{28A0092B-C50C-407E-A947-70E740481C1C}"/>
                      </a:extLst>
                    </a:blip>
                    <a:srcRect/>
                    <a:stretch>
                      <a:fillRect/>
                    </a:stretch>
                  </pic:blipFill>
                  <pic:spPr bwMode="auto">
                    <a:xfrm>
                      <a:off x="0" y="0"/>
                      <a:ext cx="65138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275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4">
                      <a:extLst>
                        <a:ext uri="{28A0092B-C50C-407E-A947-70E740481C1C}"/>
                      </a:extLst>
                    </a:blip>
                    <a:srcRect/>
                    <a:stretch>
                      <a:fillRect/>
                    </a:stretch>
                  </pic:blipFill>
                  <pic:spPr bwMode="auto">
                    <a:xfrm>
                      <a:off x="0" y="0"/>
                      <a:ext cx="65138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338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5">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33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6">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33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7">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338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8">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33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9">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0">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1">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33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2">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3">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4">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275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5">
                      <a:extLst>
                        <a:ext uri="{28A0092B-C50C-407E-A947-70E740481C1C}"/>
                      </a:extLst>
                    </a:blip>
                    <a:srcRect/>
                    <a:stretch>
                      <a:fillRect/>
                    </a:stretch>
                  </pic:blipFill>
                  <pic:spPr bwMode="auto">
                    <a:xfrm>
                      <a:off x="0" y="0"/>
                      <a:ext cx="65138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6">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7">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8">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408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9">
                      <a:extLst>
                        <a:ext uri="{28A0092B-C50C-407E-A947-70E740481C1C}"/>
                      </a:extLst>
                    </a:blip>
                    <a:srcRect/>
                    <a:stretch>
                      <a:fillRect/>
                    </a:stretch>
                  </pic:blipFill>
                  <pic:spPr bwMode="auto">
                    <a:xfrm>
                      <a:off x="0" y="0"/>
                      <a:ext cx="65138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0">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1">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2">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408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3">
                      <a:extLst>
                        <a:ext uri="{28A0092B-C50C-407E-A947-70E740481C1C}"/>
                      </a:extLst>
                    </a:blip>
                    <a:srcRect/>
                    <a:stretch>
                      <a:fillRect/>
                    </a:stretch>
                  </pic:blipFill>
                  <pic:spPr bwMode="auto">
                    <a:xfrm>
                      <a:off x="0" y="0"/>
                      <a:ext cx="65138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4">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275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5">
                      <a:extLst>
                        <a:ext uri="{28A0092B-C50C-407E-A947-70E740481C1C}"/>
                      </a:extLst>
                    </a:blip>
                    <a:srcRect/>
                    <a:stretch>
                      <a:fillRect/>
                    </a:stretch>
                  </pic:blipFill>
                  <pic:spPr bwMode="auto">
                    <a:xfrm>
                      <a:off x="0" y="0"/>
                      <a:ext cx="65138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6">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7">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338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8">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408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9">
                      <a:extLst>
                        <a:ext uri="{28A0092B-C50C-407E-A947-70E740481C1C}"/>
                      </a:extLst>
                    </a:blip>
                    <a:srcRect/>
                    <a:stretch>
                      <a:fillRect/>
                    </a:stretch>
                  </pic:blipFill>
                  <pic:spPr bwMode="auto">
                    <a:xfrm>
                      <a:off x="0" y="0"/>
                      <a:ext cx="65138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408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0">
                      <a:extLst>
                        <a:ext uri="{28A0092B-C50C-407E-A947-70E740481C1C}"/>
                      </a:extLst>
                    </a:blip>
                    <a:srcRect/>
                    <a:stretch>
                      <a:fillRect/>
                    </a:stretch>
                  </pic:blipFill>
                  <pic:spPr bwMode="auto">
                    <a:xfrm>
                      <a:off x="0" y="0"/>
                      <a:ext cx="65138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408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1">
                      <a:extLst>
                        <a:ext uri="{28A0092B-C50C-407E-A947-70E740481C1C}"/>
                      </a:extLst>
                    </a:blip>
                    <a:srcRect/>
                    <a:stretch>
                      <a:fillRect/>
                    </a:stretch>
                  </pic:blipFill>
                  <pic:spPr bwMode="auto">
                    <a:xfrm>
                      <a:off x="0" y="0"/>
                      <a:ext cx="65138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2">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408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3">
                      <a:extLst>
                        <a:ext uri="{28A0092B-C50C-407E-A947-70E740481C1C}"/>
                      </a:extLst>
                    </a:blip>
                    <a:srcRect/>
                    <a:stretch>
                      <a:fillRect/>
                    </a:stretch>
                  </pic:blipFill>
                  <pic:spPr bwMode="auto">
                    <a:xfrm>
                      <a:off x="0" y="0"/>
                      <a:ext cx="65138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4">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5">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6">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408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7">
                      <a:extLst>
                        <a:ext uri="{28A0092B-C50C-407E-A947-70E740481C1C}"/>
                      </a:extLst>
                    </a:blip>
                    <a:srcRect/>
                    <a:stretch>
                      <a:fillRect/>
                    </a:stretch>
                  </pic:blipFill>
                  <pic:spPr bwMode="auto">
                    <a:xfrm>
                      <a:off x="0" y="0"/>
                      <a:ext cx="65138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408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8">
                      <a:extLst>
                        <a:ext uri="{28A0092B-C50C-407E-A947-70E740481C1C}"/>
                      </a:extLst>
                    </a:blip>
                    <a:srcRect/>
                    <a:stretch>
                      <a:fillRect/>
                    </a:stretch>
                  </pic:blipFill>
                  <pic:spPr bwMode="auto">
                    <a:xfrm>
                      <a:off x="0" y="0"/>
                      <a:ext cx="65138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9">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408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0">
                      <a:extLst>
                        <a:ext uri="{28A0092B-C50C-407E-A947-70E740481C1C}"/>
                      </a:extLst>
                    </a:blip>
                    <a:srcRect/>
                    <a:stretch>
                      <a:fillRect/>
                    </a:stretch>
                  </pic:blipFill>
                  <pic:spPr bwMode="auto">
                    <a:xfrm>
                      <a:off x="0" y="0"/>
                      <a:ext cx="65138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408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1">
                      <a:extLst>
                        <a:ext uri="{28A0092B-C50C-407E-A947-70E740481C1C}"/>
                      </a:extLst>
                    </a:blip>
                    <a:srcRect/>
                    <a:stretch>
                      <a:fillRect/>
                    </a:stretch>
                  </pic:blipFill>
                  <pic:spPr bwMode="auto">
                    <a:xfrm>
                      <a:off x="0" y="0"/>
                      <a:ext cx="65138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2">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408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3">
                      <a:extLst>
                        <a:ext uri="{28A0092B-C50C-407E-A947-70E740481C1C}"/>
                      </a:extLst>
                    </a:blip>
                    <a:srcRect/>
                    <a:stretch>
                      <a:fillRect/>
                    </a:stretch>
                  </pic:blipFill>
                  <pic:spPr bwMode="auto">
                    <a:xfrm>
                      <a:off x="0" y="0"/>
                      <a:ext cx="65138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4">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5">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6">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7">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33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8">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408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9">
                      <a:extLst>
                        <a:ext uri="{28A0092B-C50C-407E-A947-70E740481C1C}"/>
                      </a:extLst>
                    </a:blip>
                    <a:srcRect/>
                    <a:stretch>
                      <a:fillRect/>
                    </a:stretch>
                  </pic:blipFill>
                  <pic:spPr bwMode="auto">
                    <a:xfrm>
                      <a:off x="0" y="0"/>
                      <a:ext cx="65138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0">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408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1">
                      <a:extLst>
                        <a:ext uri="{28A0092B-C50C-407E-A947-70E740481C1C}"/>
                      </a:extLst>
                    </a:blip>
                    <a:srcRect/>
                    <a:stretch>
                      <a:fillRect/>
                    </a:stretch>
                  </pic:blipFill>
                  <pic:spPr bwMode="auto">
                    <a:xfrm>
                      <a:off x="0" y="0"/>
                      <a:ext cx="65138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2">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408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3">
                      <a:extLst>
                        <a:ext uri="{28A0092B-C50C-407E-A947-70E740481C1C}"/>
                      </a:extLst>
                    </a:blip>
                    <a:srcRect/>
                    <a:stretch>
                      <a:fillRect/>
                    </a:stretch>
                  </pic:blipFill>
                  <pic:spPr bwMode="auto">
                    <a:xfrm>
                      <a:off x="0" y="0"/>
                      <a:ext cx="65138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408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4">
                      <a:extLst>
                        <a:ext uri="{28A0092B-C50C-407E-A947-70E740481C1C}"/>
                      </a:extLst>
                    </a:blip>
                    <a:srcRect/>
                    <a:stretch>
                      <a:fillRect/>
                    </a:stretch>
                  </pic:blipFill>
                  <pic:spPr bwMode="auto">
                    <a:xfrm>
                      <a:off x="0" y="0"/>
                      <a:ext cx="65138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5">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275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6">
                      <a:extLst>
                        <a:ext uri="{28A0092B-C50C-407E-A947-70E740481C1C}"/>
                      </a:extLst>
                    </a:blip>
                    <a:srcRect/>
                    <a:stretch>
                      <a:fillRect/>
                    </a:stretch>
                  </pic:blipFill>
                  <pic:spPr bwMode="auto">
                    <a:xfrm>
                      <a:off x="0" y="0"/>
                      <a:ext cx="65138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275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7">
                      <a:extLst>
                        <a:ext uri="{28A0092B-C50C-407E-A947-70E740481C1C}"/>
                      </a:extLst>
                    </a:blip>
                    <a:srcRect/>
                    <a:stretch>
                      <a:fillRect/>
                    </a:stretch>
                  </pic:blipFill>
                  <pic:spPr bwMode="auto">
                    <a:xfrm>
                      <a:off x="0" y="0"/>
                      <a:ext cx="65138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275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8">
                      <a:extLst>
                        <a:ext uri="{28A0092B-C50C-407E-A947-70E740481C1C}"/>
                      </a:extLst>
                    </a:blip>
                    <a:srcRect/>
                    <a:stretch>
                      <a:fillRect/>
                    </a:stretch>
                  </pic:blipFill>
                  <pic:spPr bwMode="auto">
                    <a:xfrm>
                      <a:off x="0" y="0"/>
                      <a:ext cx="65138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32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SUBSIDIARIES</w:t>
            </w:r>
          </w:p>
        </w:tc>
      </w:tr>
      <w:tr>
        <w:trPr>
          <w:trHeight w:val="287"/>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175"/>
        </w:trPr>
        <w:tc>
          <w:tcPr>
            <w:tcW w:w="3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C4T Securities Corporation</w:t>
            </w:r>
          </w:p>
        </w:tc>
        <w:tc>
          <w:tcPr>
            <w:tcW w:w="200" w:type="dxa"/>
            <w:vAlign w:val="bottom"/>
          </w:tcPr>
          <w:p>
            <w:pPr>
              <w:spacing w:after="0"/>
              <w:rPr>
                <w:sz w:val="15"/>
                <w:szCs w:val="15"/>
                <w:color w:val="auto"/>
              </w:rPr>
            </w:pPr>
          </w:p>
        </w:tc>
        <w:tc>
          <w:tcPr>
            <w:tcW w:w="7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Massachusetts</w:t>
            </w:r>
          </w:p>
        </w:tc>
      </w:tr>
    </w:tbl>
    <w:p>
      <w:pPr>
        <w:sectPr>
          <w:pgSz w:w="11900" w:h="16838" w:orient="portrait"/>
          <w:cols w:equalWidth="0" w:num="1">
            <w:col w:w="11280"/>
          </w:cols>
          <w:pgMar w:left="300" w:top="844" w:right="31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6"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statements (Nos. 333-282933 and 333-282934) on Form S-3 and (Nos. 333-249286, 333-254145, 333-262949, 333-269944, and 333-277245) on Form S-8 of our report dated February 27, 2025, with respect to the consolidated financial statements of C4 Therapeutics, Inc.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2025</w:t>
      </w:r>
    </w:p>
    <w:p>
      <w:pPr>
        <w:sectPr>
          <w:pgSz w:w="11900" w:h="16838" w:orient="portrait"/>
          <w:cols w:equalWidth="0" w:num="1">
            <w:col w:w="11280"/>
          </w:cols>
          <w:pgMar w:left="300" w:top="844" w:right="31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Andrew J. Hirsch, certify that:</w:t>
      </w:r>
    </w:p>
    <w:p>
      <w:pPr>
        <w:spacing w:after="0" w:line="94" w:lineRule="exact"/>
        <w:rPr>
          <w:sz w:val="20"/>
          <w:szCs w:val="20"/>
          <w:color w:val="auto"/>
        </w:rPr>
      </w:pPr>
    </w:p>
    <w:p>
      <w:pPr>
        <w:ind w:left="900" w:hanging="895"/>
        <w:spacing w:after="0"/>
        <w:tabs>
          <w:tab w:leader="none" w:pos="9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C-4 Therapeutics. Inc.;</w:t>
      </w:r>
    </w:p>
    <w:p>
      <w:pPr>
        <w:spacing w:after="0" w:line="93" w:lineRule="exact"/>
        <w:rPr>
          <w:rFonts w:ascii="Times New Roman" w:cs="Times New Roman" w:eastAsia="Times New Roman" w:hAnsi="Times New Roman"/>
          <w:sz w:val="14"/>
          <w:szCs w:val="14"/>
          <w:color w:val="auto"/>
        </w:rPr>
      </w:pPr>
    </w:p>
    <w:p>
      <w:pPr>
        <w:ind w:left="900" w:right="340" w:hanging="895"/>
        <w:spacing w:after="0" w:line="287" w:lineRule="auto"/>
        <w:tabs>
          <w:tab w:leader="none" w:pos="9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900" w:right="440" w:hanging="895"/>
        <w:spacing w:after="0" w:line="287" w:lineRule="auto"/>
        <w:tabs>
          <w:tab w:leader="none" w:pos="9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900" w:hanging="895"/>
        <w:spacing w:after="0"/>
        <w:tabs>
          <w:tab w:leader="none" w:pos="9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ind w:left="9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79" w:lineRule="exact"/>
        <w:rPr>
          <w:rFonts w:ascii="Times New Roman" w:cs="Times New Roman" w:eastAsia="Times New Roman" w:hAnsi="Times New Roman"/>
          <w:sz w:val="14"/>
          <w:szCs w:val="14"/>
          <w:color w:val="auto"/>
        </w:rPr>
      </w:pPr>
    </w:p>
    <w:p>
      <w:pPr>
        <w:ind w:left="1720" w:right="40" w:hanging="824"/>
        <w:spacing w:after="0" w:line="270" w:lineRule="auto"/>
        <w:tabs>
          <w:tab w:leader="none" w:pos="1718"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4"/>
          <w:szCs w:val="14"/>
          <w:color w:val="auto"/>
        </w:rPr>
      </w:pPr>
    </w:p>
    <w:p>
      <w:pPr>
        <w:ind w:left="1720" w:right="420" w:hanging="824"/>
        <w:spacing w:after="0" w:line="270" w:lineRule="auto"/>
        <w:tabs>
          <w:tab w:leader="none" w:pos="1715"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4"/>
          <w:szCs w:val="14"/>
          <w:color w:val="auto"/>
        </w:rPr>
      </w:pPr>
    </w:p>
    <w:p>
      <w:pPr>
        <w:ind w:left="1720" w:right="200" w:hanging="824"/>
        <w:spacing w:after="0" w:line="287" w:lineRule="auto"/>
        <w:tabs>
          <w:tab w:leader="none" w:pos="1718"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1720" w:right="200" w:hanging="824"/>
        <w:spacing w:after="0" w:line="270" w:lineRule="auto"/>
        <w:tabs>
          <w:tab w:leader="none" w:pos="1715"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0" w:lineRule="exact"/>
        <w:rPr>
          <w:rFonts w:ascii="Times New Roman" w:cs="Times New Roman" w:eastAsia="Times New Roman" w:hAnsi="Times New Roman"/>
          <w:sz w:val="14"/>
          <w:szCs w:val="14"/>
          <w:color w:val="auto"/>
        </w:rPr>
      </w:pPr>
    </w:p>
    <w:p>
      <w:pPr>
        <w:ind w:left="900" w:right="20" w:hanging="895"/>
        <w:spacing w:after="0" w:line="287" w:lineRule="auto"/>
        <w:tabs>
          <w:tab w:leader="none" w:pos="9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1720" w:right="20" w:hanging="824"/>
        <w:spacing w:after="0" w:line="287" w:lineRule="auto"/>
        <w:tabs>
          <w:tab w:leader="none" w:pos="1718"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720" w:hanging="824"/>
        <w:spacing w:after="0"/>
        <w:tabs>
          <w:tab w:leader="none" w:pos="172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p>
      <w:pPr>
        <w:ind w:left="20"/>
        <w:spacing w:after="0"/>
        <w:tabs>
          <w:tab w:leader="none" w:pos="5180" w:val="left"/>
          <w:tab w:leader="none" w:pos="7620" w:val="left"/>
        </w:tabs>
        <w:rPr>
          <w:sz w:val="20"/>
          <w:szCs w:val="20"/>
          <w:color w:val="auto"/>
        </w:rPr>
      </w:pPr>
      <w:r>
        <w:rPr>
          <w:rFonts w:ascii="Times New Roman" w:cs="Times New Roman" w:eastAsia="Times New Roman" w:hAnsi="Times New Roman"/>
          <w:sz w:val="14"/>
          <w:szCs w:val="14"/>
          <w:color w:val="auto"/>
        </w:rPr>
        <w:t>Date: February 27,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Andrew J.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288030"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7">
                      <a:extLst>
                        <a:ext uri="{28A0092B-C50C-407E-A947-70E740481C1C}"/>
                      </a:extLst>
                    </a:blip>
                    <a:srcRect/>
                    <a:stretch>
                      <a:fillRect/>
                    </a:stretch>
                  </pic:blipFill>
                  <pic:spPr bwMode="auto">
                    <a:xfrm>
                      <a:off x="0" y="0"/>
                      <a:ext cx="3288030" cy="6985"/>
                    </a:xfrm>
                    <a:prstGeom prst="rect">
                      <a:avLst/>
                    </a:prstGeom>
                    <a:noFill/>
                  </pic:spPr>
                </pic:pic>
              </a:graphicData>
            </a:graphic>
          </wp:anchor>
        </w:drawing>
      </w:r>
    </w:p>
    <w:p>
      <w:pPr>
        <w:spacing w:after="0" w:line="8"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4"/>
          <w:szCs w:val="14"/>
          <w:b w:val="1"/>
          <w:bCs w:val="1"/>
          <w:color w:val="auto"/>
        </w:rPr>
        <w:t>Andrew J. Hirsch</w:t>
      </w:r>
    </w:p>
    <w:p>
      <w:pPr>
        <w:spacing w:after="0" w:line="25"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19"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80"/>
          </w:cols>
          <w:pgMar w:left="300" w:top="844" w:right="31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Kendra R. Adams. White, certify that:</w:t>
      </w:r>
    </w:p>
    <w:p>
      <w:pPr>
        <w:spacing w:after="0" w:line="94" w:lineRule="exact"/>
        <w:rPr>
          <w:sz w:val="20"/>
          <w:szCs w:val="20"/>
          <w:color w:val="auto"/>
        </w:rPr>
      </w:pPr>
    </w:p>
    <w:p>
      <w:pPr>
        <w:ind w:left="900" w:hanging="895"/>
        <w:spacing w:after="0"/>
        <w:tabs>
          <w:tab w:leader="none" w:pos="9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C-4 Therapeutics. Inc.;</w:t>
      </w:r>
    </w:p>
    <w:p>
      <w:pPr>
        <w:spacing w:after="0" w:line="93" w:lineRule="exact"/>
        <w:rPr>
          <w:rFonts w:ascii="Times New Roman" w:cs="Times New Roman" w:eastAsia="Times New Roman" w:hAnsi="Times New Roman"/>
          <w:sz w:val="14"/>
          <w:szCs w:val="14"/>
          <w:color w:val="auto"/>
        </w:rPr>
      </w:pPr>
    </w:p>
    <w:p>
      <w:pPr>
        <w:ind w:left="900" w:right="340" w:hanging="895"/>
        <w:spacing w:after="0" w:line="287" w:lineRule="auto"/>
        <w:tabs>
          <w:tab w:leader="none" w:pos="9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900" w:right="440" w:hanging="895"/>
        <w:spacing w:after="0" w:line="287" w:lineRule="auto"/>
        <w:tabs>
          <w:tab w:leader="none" w:pos="9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900" w:hanging="895"/>
        <w:spacing w:after="0"/>
        <w:tabs>
          <w:tab w:leader="none" w:pos="9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ind w:left="9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79" w:lineRule="exact"/>
        <w:rPr>
          <w:rFonts w:ascii="Times New Roman" w:cs="Times New Roman" w:eastAsia="Times New Roman" w:hAnsi="Times New Roman"/>
          <w:sz w:val="14"/>
          <w:szCs w:val="14"/>
          <w:color w:val="auto"/>
        </w:rPr>
      </w:pPr>
    </w:p>
    <w:p>
      <w:pPr>
        <w:ind w:left="1720" w:right="40" w:hanging="824"/>
        <w:spacing w:after="0" w:line="270" w:lineRule="auto"/>
        <w:tabs>
          <w:tab w:leader="none" w:pos="1718"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4"/>
          <w:szCs w:val="14"/>
          <w:color w:val="auto"/>
        </w:rPr>
      </w:pPr>
    </w:p>
    <w:p>
      <w:pPr>
        <w:ind w:left="1720" w:right="420" w:hanging="824"/>
        <w:spacing w:after="0" w:line="270" w:lineRule="auto"/>
        <w:tabs>
          <w:tab w:leader="none" w:pos="1715"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4"/>
          <w:szCs w:val="14"/>
          <w:color w:val="auto"/>
        </w:rPr>
      </w:pPr>
    </w:p>
    <w:p>
      <w:pPr>
        <w:ind w:left="1720" w:right="200" w:hanging="824"/>
        <w:spacing w:after="0" w:line="287" w:lineRule="auto"/>
        <w:tabs>
          <w:tab w:leader="none" w:pos="1718"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1720" w:right="200" w:hanging="824"/>
        <w:spacing w:after="0" w:line="270" w:lineRule="auto"/>
        <w:tabs>
          <w:tab w:leader="none" w:pos="1715"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0" w:lineRule="exact"/>
        <w:rPr>
          <w:rFonts w:ascii="Times New Roman" w:cs="Times New Roman" w:eastAsia="Times New Roman" w:hAnsi="Times New Roman"/>
          <w:sz w:val="14"/>
          <w:szCs w:val="14"/>
          <w:color w:val="auto"/>
        </w:rPr>
      </w:pPr>
    </w:p>
    <w:p>
      <w:pPr>
        <w:ind w:left="900" w:right="20" w:hanging="895"/>
        <w:spacing w:after="0" w:line="287" w:lineRule="auto"/>
        <w:tabs>
          <w:tab w:leader="none" w:pos="9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1720" w:right="20" w:hanging="824"/>
        <w:spacing w:after="0" w:line="287" w:lineRule="auto"/>
        <w:tabs>
          <w:tab w:leader="none" w:pos="1718"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720" w:hanging="824"/>
        <w:spacing w:after="0"/>
        <w:tabs>
          <w:tab w:leader="none" w:pos="172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p>
      <w:pPr>
        <w:ind w:left="20"/>
        <w:spacing w:after="0"/>
        <w:tabs>
          <w:tab w:leader="none" w:pos="5420" w:val="left"/>
          <w:tab w:leader="none" w:pos="7960" w:val="left"/>
        </w:tabs>
        <w:rPr>
          <w:sz w:val="20"/>
          <w:szCs w:val="20"/>
          <w:color w:val="auto"/>
        </w:rPr>
      </w:pPr>
      <w:r>
        <w:rPr>
          <w:rFonts w:ascii="Times New Roman" w:cs="Times New Roman" w:eastAsia="Times New Roman" w:hAnsi="Times New Roman"/>
          <w:sz w:val="14"/>
          <w:szCs w:val="14"/>
          <w:color w:val="auto"/>
        </w:rPr>
        <w:t>Date: February 27,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Kendra R.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14605</wp:posOffset>
            </wp:positionV>
            <wp:extent cx="3435985"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8">
                      <a:extLst>
                        <a:ext uri="{28A0092B-C50C-407E-A947-70E740481C1C}"/>
                      </a:extLst>
                    </a:blip>
                    <a:srcRect/>
                    <a:stretch>
                      <a:fillRect/>
                    </a:stretch>
                  </pic:blipFill>
                  <pic:spPr bwMode="auto">
                    <a:xfrm>
                      <a:off x="0" y="0"/>
                      <a:ext cx="3435985" cy="6985"/>
                    </a:xfrm>
                    <a:prstGeom prst="rect">
                      <a:avLst/>
                    </a:prstGeom>
                    <a:noFill/>
                  </pic:spPr>
                </pic:pic>
              </a:graphicData>
            </a:graphic>
          </wp:anchor>
        </w:drawing>
      </w:r>
    </w:p>
    <w:p>
      <w:pPr>
        <w:spacing w:after="0" w:line="8"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b w:val="1"/>
          <w:bCs w:val="1"/>
          <w:color w:val="auto"/>
        </w:rPr>
        <w:t>Kendra R. Adams</w:t>
      </w:r>
    </w:p>
    <w:p>
      <w:pPr>
        <w:spacing w:after="0" w:line="25"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9"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80"/>
          </w:cols>
          <w:pgMar w:left="300" w:top="844" w:right="31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In connection with the Quarterly Report of C4 Therapeutics (the “Company”) on Form 10-K for the period ending December 31, 2023 as filed with the Securities and Exchange Commission on the date hereof (the “Report”), I certify, pursuant to 18 U.S.C. § 1350, as adopted pursuant to § 906 of the Sarbanes-Oxley Act of 2002, that:</w:t>
      </w:r>
    </w:p>
    <w:p>
      <w:pPr>
        <w:spacing w:after="0" w:line="124" w:lineRule="exact"/>
        <w:rPr>
          <w:sz w:val="20"/>
          <w:szCs w:val="20"/>
          <w:color w:val="auto"/>
        </w:rPr>
      </w:pPr>
    </w:p>
    <w:p>
      <w:pPr>
        <w:ind w:left="1280" w:hanging="766"/>
        <w:spacing w:after="0"/>
        <w:tabs>
          <w:tab w:leader="none" w:pos="12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1280" w:hanging="766"/>
        <w:spacing w:after="0"/>
        <w:tabs>
          <w:tab w:leader="none" w:pos="12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 of operations of the Company.</w:t>
      </w:r>
    </w:p>
    <w:p>
      <w:pPr>
        <w:spacing w:after="0" w:line="210" w:lineRule="exact"/>
        <w:rPr>
          <w:sz w:val="20"/>
          <w:szCs w:val="20"/>
          <w:color w:val="auto"/>
        </w:rPr>
      </w:pPr>
    </w:p>
    <w:p>
      <w:pPr>
        <w:ind w:left="20"/>
        <w:spacing w:after="0"/>
        <w:tabs>
          <w:tab w:leader="none" w:pos="5420" w:val="left"/>
          <w:tab w:leader="none" w:pos="7980" w:val="left"/>
        </w:tabs>
        <w:rPr>
          <w:sz w:val="20"/>
          <w:szCs w:val="20"/>
          <w:color w:val="auto"/>
        </w:rPr>
      </w:pPr>
      <w:r>
        <w:rPr>
          <w:rFonts w:ascii="Times New Roman" w:cs="Times New Roman" w:eastAsia="Times New Roman" w:hAnsi="Times New Roman"/>
          <w:sz w:val="14"/>
          <w:szCs w:val="14"/>
          <w:color w:val="auto"/>
        </w:rPr>
        <w:t>Date: February 27,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Andrew J.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14605</wp:posOffset>
            </wp:positionV>
            <wp:extent cx="3435985"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9">
                      <a:extLst>
                        <a:ext uri="{28A0092B-C50C-407E-A947-70E740481C1C}"/>
                      </a:extLst>
                    </a:blip>
                    <a:srcRect/>
                    <a:stretch>
                      <a:fillRect/>
                    </a:stretch>
                  </pic:blipFill>
                  <pic:spPr bwMode="auto">
                    <a:xfrm>
                      <a:off x="0" y="0"/>
                      <a:ext cx="3435985" cy="6985"/>
                    </a:xfrm>
                    <a:prstGeom prst="rect">
                      <a:avLst/>
                    </a:prstGeom>
                    <a:noFill/>
                  </pic:spPr>
                </pic:pic>
              </a:graphicData>
            </a:graphic>
          </wp:anchor>
        </w:drawing>
      </w:r>
    </w:p>
    <w:p>
      <w:pPr>
        <w:spacing w:after="0" w:line="8"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b w:val="1"/>
          <w:bCs w:val="1"/>
          <w:color w:val="auto"/>
        </w:rPr>
        <w:t>Andrew J. Hirsch</w:t>
      </w:r>
    </w:p>
    <w:p>
      <w:pPr>
        <w:spacing w:after="0" w:line="25"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19"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80"/>
          </w:cols>
          <w:pgMar w:left="300" w:top="844" w:right="31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ind w:right="500" w:firstLine="509"/>
        <w:spacing w:after="0" w:line="287" w:lineRule="auto"/>
        <w:rPr>
          <w:sz w:val="20"/>
          <w:szCs w:val="20"/>
          <w:color w:val="auto"/>
        </w:rPr>
      </w:pPr>
      <w:r>
        <w:rPr>
          <w:rFonts w:ascii="Times New Roman" w:cs="Times New Roman" w:eastAsia="Times New Roman" w:hAnsi="Times New Roman"/>
          <w:sz w:val="14"/>
          <w:szCs w:val="14"/>
          <w:color w:val="auto"/>
        </w:rPr>
        <w:t>In connection with the Quarterly Report of C4 Therapeutics, Inc. (the “Company”) on Form 10-K for the period ending December 31, 2023 as filed with the Securities and Exchange Commission on the date hereof (the “Report”), I certify, pursuant to 18 U.S.C. § 1350, as adopted pursuant to § 906 of the Sarbanes-Oxley Act of 2002, that:</w:t>
      </w:r>
    </w:p>
    <w:p>
      <w:pPr>
        <w:spacing w:after="0" w:line="124" w:lineRule="exact"/>
        <w:rPr>
          <w:sz w:val="20"/>
          <w:szCs w:val="20"/>
          <w:color w:val="auto"/>
        </w:rPr>
      </w:pPr>
    </w:p>
    <w:p>
      <w:pPr>
        <w:ind w:left="1280" w:hanging="766"/>
        <w:spacing w:after="0"/>
        <w:tabs>
          <w:tab w:leader="none" w:pos="12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1280" w:hanging="766"/>
        <w:spacing w:after="0"/>
        <w:tabs>
          <w:tab w:leader="none" w:pos="12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 of operations of the Company.</w:t>
      </w:r>
    </w:p>
    <w:p>
      <w:pPr>
        <w:spacing w:after="0" w:line="210" w:lineRule="exact"/>
        <w:rPr>
          <w:sz w:val="20"/>
          <w:szCs w:val="20"/>
          <w:color w:val="auto"/>
        </w:rPr>
      </w:pPr>
    </w:p>
    <w:p>
      <w:pPr>
        <w:ind w:left="20"/>
        <w:spacing w:after="0"/>
        <w:tabs>
          <w:tab w:leader="none" w:pos="5420" w:val="left"/>
          <w:tab w:leader="none" w:pos="7960" w:val="left"/>
        </w:tabs>
        <w:rPr>
          <w:sz w:val="20"/>
          <w:szCs w:val="20"/>
          <w:color w:val="auto"/>
        </w:rPr>
      </w:pPr>
      <w:r>
        <w:rPr>
          <w:rFonts w:ascii="Times New Roman" w:cs="Times New Roman" w:eastAsia="Times New Roman" w:hAnsi="Times New Roman"/>
          <w:sz w:val="14"/>
          <w:szCs w:val="14"/>
          <w:color w:val="auto"/>
        </w:rPr>
        <w:t>Date: February 27,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Kendra R.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14605</wp:posOffset>
            </wp:positionV>
            <wp:extent cx="342900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0">
                      <a:extLst>
                        <a:ext uri="{28A0092B-C50C-407E-A947-70E740481C1C}"/>
                      </a:extLst>
                    </a:blip>
                    <a:srcRect/>
                    <a:stretch>
                      <a:fillRect/>
                    </a:stretch>
                  </pic:blipFill>
                  <pic:spPr bwMode="auto">
                    <a:xfrm>
                      <a:off x="0" y="0"/>
                      <a:ext cx="3429000" cy="6985"/>
                    </a:xfrm>
                    <a:prstGeom prst="rect">
                      <a:avLst/>
                    </a:prstGeom>
                    <a:noFill/>
                  </pic:spPr>
                </pic:pic>
              </a:graphicData>
            </a:graphic>
          </wp:anchor>
        </w:drawing>
      </w:r>
    </w:p>
    <w:p>
      <w:pPr>
        <w:spacing w:after="0" w:line="8"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Kendra R. Adams</w:t>
      </w:r>
    </w:p>
    <w:p>
      <w:pPr>
        <w:spacing w:after="0" w:line="25"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sectPr>
      <w:pgSz w:w="11900" w:h="16838" w:orient="portrait"/>
      <w:cols w:equalWidth="0" w:num="1">
        <w:col w:w="11280"/>
      </w:cols>
      <w:pgMar w:left="300" w:top="9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577F8E1"/>
    <w:multiLevelType w:val="hybridMultilevel"/>
    <w:lvl w:ilvl="0">
      <w:lvlJc w:val="left"/>
      <w:lvlText w:val="x"/>
      <w:numFmt w:val="bullet"/>
      <w:start w:val="1"/>
    </w:lvl>
  </w:abstractNum>
  <w:abstractNum w:abstractNumId="1">
    <w:nsid w:val="440BADFC"/>
    <w:multiLevelType w:val="hybridMultilevel"/>
    <w:lvl w:ilvl="0">
      <w:lvlJc w:val="left"/>
      <w:lvlText w:val="o"/>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1)"/>
      <w:numFmt w:val="decimal"/>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1)"/>
      <w:numFmt w:val="lowerRoman"/>
      <w:start w:val="3"/>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1"/>
      <w:numFmt w:val="decimal"/>
      <w:start w:val="104"/>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1"/>
      <w:numFmt w:val="decimal"/>
      <w:start w:val="53"/>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1)"/>
      <w:numFmt w:val="lowerRoman"/>
      <w:start w:val="3"/>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1)"/>
      <w:numFmt w:val="decimal"/>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43" Type="http://schemas.openxmlformats.org/officeDocument/2006/relationships/image" Target="media/image109.png"/><Relationship Id="rId145" Type="http://schemas.openxmlformats.org/officeDocument/2006/relationships/image" Target="media/image110.png"/><Relationship Id="rId146"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jpe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png"/><Relationship Id="rId164" Type="http://schemas.openxmlformats.org/officeDocument/2006/relationships/image" Target="media/image129.png"/><Relationship Id="rId165" Type="http://schemas.openxmlformats.org/officeDocument/2006/relationships/image" Target="media/image130.png"/><Relationship Id="rId166" Type="http://schemas.openxmlformats.org/officeDocument/2006/relationships/image" Target="media/image131.png"/><Relationship Id="rId167" Type="http://schemas.openxmlformats.org/officeDocument/2006/relationships/image" Target="media/image132.png"/><Relationship Id="rId168" Type="http://schemas.openxmlformats.org/officeDocument/2006/relationships/image" Target="media/image133.png"/><Relationship Id="rId169"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191" Type="http://schemas.openxmlformats.org/officeDocument/2006/relationships/image" Target="media/image156.png"/><Relationship Id="rId192"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png"/><Relationship Id="rId197" Type="http://schemas.openxmlformats.org/officeDocument/2006/relationships/image" Target="media/image162.png"/><Relationship Id="rId198" Type="http://schemas.openxmlformats.org/officeDocument/2006/relationships/image" Target="media/image163.png"/><Relationship Id="rId199" Type="http://schemas.openxmlformats.org/officeDocument/2006/relationships/image" Target="media/image164.png"/><Relationship Id="rId200" Type="http://schemas.openxmlformats.org/officeDocument/2006/relationships/image" Target="media/image165.png"/><Relationship Id="rId201" Type="http://schemas.openxmlformats.org/officeDocument/2006/relationships/image" Target="media/image166.png"/><Relationship Id="rId202" Type="http://schemas.openxmlformats.org/officeDocument/2006/relationships/image" Target="media/image167.png"/><Relationship Id="rId203" Type="http://schemas.openxmlformats.org/officeDocument/2006/relationships/image" Target="media/image168.png"/><Relationship Id="rId204" Type="http://schemas.openxmlformats.org/officeDocument/2006/relationships/image" Target="media/image169.png"/><Relationship Id="rId205" Type="http://schemas.openxmlformats.org/officeDocument/2006/relationships/image" Target="media/image170.png"/><Relationship Id="rId206" Type="http://schemas.openxmlformats.org/officeDocument/2006/relationships/image" Target="media/image171.png"/><Relationship Id="rId207" Type="http://schemas.openxmlformats.org/officeDocument/2006/relationships/image" Target="media/image172.png"/><Relationship Id="rId208" Type="http://schemas.openxmlformats.org/officeDocument/2006/relationships/image" Target="media/image173.png"/><Relationship Id="rId209" Type="http://schemas.openxmlformats.org/officeDocument/2006/relationships/image" Target="media/image174.png"/><Relationship Id="rId210" Type="http://schemas.openxmlformats.org/officeDocument/2006/relationships/image" Target="media/image175.png"/><Relationship Id="rId211" Type="http://schemas.openxmlformats.org/officeDocument/2006/relationships/image" Target="media/image176.png"/><Relationship Id="rId212" Type="http://schemas.openxmlformats.org/officeDocument/2006/relationships/image" Target="media/image177.png"/><Relationship Id="rId213" Type="http://schemas.openxmlformats.org/officeDocument/2006/relationships/image" Target="media/image178.png"/><Relationship Id="rId214" Type="http://schemas.openxmlformats.org/officeDocument/2006/relationships/image" Target="media/image179.png"/><Relationship Id="rId215" Type="http://schemas.openxmlformats.org/officeDocument/2006/relationships/image" Target="media/image180.png"/><Relationship Id="rId216" Type="http://schemas.openxmlformats.org/officeDocument/2006/relationships/image" Target="media/image181.png"/><Relationship Id="rId217" Type="http://schemas.openxmlformats.org/officeDocument/2006/relationships/image" Target="media/image182.png"/><Relationship Id="rId218" Type="http://schemas.openxmlformats.org/officeDocument/2006/relationships/image" Target="media/image183.png"/><Relationship Id="rId219" Type="http://schemas.openxmlformats.org/officeDocument/2006/relationships/image" Target="media/image184.png"/><Relationship Id="rId220" Type="http://schemas.openxmlformats.org/officeDocument/2006/relationships/image" Target="media/image185.png"/><Relationship Id="rId221" Type="http://schemas.openxmlformats.org/officeDocument/2006/relationships/image" Target="media/image186.png"/><Relationship Id="rId222" Type="http://schemas.openxmlformats.org/officeDocument/2006/relationships/image" Target="media/image187.png"/><Relationship Id="rId223" Type="http://schemas.openxmlformats.org/officeDocument/2006/relationships/image" Target="media/image188.png"/><Relationship Id="rId224" Type="http://schemas.openxmlformats.org/officeDocument/2006/relationships/image" Target="media/image189.png"/><Relationship Id="rId225" Type="http://schemas.openxmlformats.org/officeDocument/2006/relationships/image" Target="media/image190.png"/><Relationship Id="rId226" Type="http://schemas.openxmlformats.org/officeDocument/2006/relationships/image" Target="media/image191.png"/><Relationship Id="rId227" Type="http://schemas.openxmlformats.org/officeDocument/2006/relationships/image" Target="media/image192.png"/><Relationship Id="rId228" Type="http://schemas.openxmlformats.org/officeDocument/2006/relationships/image" Target="media/image193.png"/><Relationship Id="rId229" Type="http://schemas.openxmlformats.org/officeDocument/2006/relationships/image" Target="media/image194.png"/><Relationship Id="rId230" Type="http://schemas.openxmlformats.org/officeDocument/2006/relationships/image" Target="media/image195.png"/><Relationship Id="rId231" Type="http://schemas.openxmlformats.org/officeDocument/2006/relationships/image" Target="media/image196.png"/><Relationship Id="rId232" Type="http://schemas.openxmlformats.org/officeDocument/2006/relationships/image" Target="media/image197.png"/><Relationship Id="rId233" Type="http://schemas.openxmlformats.org/officeDocument/2006/relationships/image" Target="media/image198.png"/><Relationship Id="rId234" Type="http://schemas.openxmlformats.org/officeDocument/2006/relationships/image" Target="media/image199.png"/><Relationship Id="rId235" Type="http://schemas.openxmlformats.org/officeDocument/2006/relationships/image" Target="media/image200.png"/><Relationship Id="rId236" Type="http://schemas.openxmlformats.org/officeDocument/2006/relationships/image" Target="media/image201.png"/><Relationship Id="rId237" Type="http://schemas.openxmlformats.org/officeDocument/2006/relationships/image" Target="media/image202.png"/><Relationship Id="rId238" Type="http://schemas.openxmlformats.org/officeDocument/2006/relationships/image" Target="media/image203.png"/><Relationship Id="rId239" Type="http://schemas.openxmlformats.org/officeDocument/2006/relationships/image" Target="media/image204.png"/><Relationship Id="rId240" Type="http://schemas.openxmlformats.org/officeDocument/2006/relationships/image" Target="media/image205.png"/><Relationship Id="rId241" Type="http://schemas.openxmlformats.org/officeDocument/2006/relationships/image" Target="media/image206.png"/><Relationship Id="rId242" Type="http://schemas.openxmlformats.org/officeDocument/2006/relationships/image" Target="media/image207.png"/><Relationship Id="rId243" Type="http://schemas.openxmlformats.org/officeDocument/2006/relationships/image" Target="media/image208.png"/><Relationship Id="rId244" Type="http://schemas.openxmlformats.org/officeDocument/2006/relationships/image" Target="media/image209.png"/><Relationship Id="rId245" Type="http://schemas.openxmlformats.org/officeDocument/2006/relationships/image" Target="media/image210.png"/><Relationship Id="rId246" Type="http://schemas.openxmlformats.org/officeDocument/2006/relationships/image" Target="media/image211.png"/><Relationship Id="rId247" Type="http://schemas.openxmlformats.org/officeDocument/2006/relationships/image" Target="media/image212.png"/><Relationship Id="rId248" Type="http://schemas.openxmlformats.org/officeDocument/2006/relationships/image" Target="media/image213.png"/><Relationship Id="rId249" Type="http://schemas.openxmlformats.org/officeDocument/2006/relationships/image" Target="media/image214.png"/><Relationship Id="rId250" Type="http://schemas.openxmlformats.org/officeDocument/2006/relationships/image" Target="media/image215.png"/><Relationship Id="rId251" Type="http://schemas.openxmlformats.org/officeDocument/2006/relationships/image" Target="media/image216.png"/><Relationship Id="rId252" Type="http://schemas.openxmlformats.org/officeDocument/2006/relationships/image" Target="media/image217.png"/><Relationship Id="rId253" Type="http://schemas.openxmlformats.org/officeDocument/2006/relationships/image" Target="media/image218.png"/><Relationship Id="rId254" Type="http://schemas.openxmlformats.org/officeDocument/2006/relationships/image" Target="media/image219.png"/><Relationship Id="rId255" Type="http://schemas.openxmlformats.org/officeDocument/2006/relationships/image" Target="media/image220.png"/><Relationship Id="rId256" Type="http://schemas.openxmlformats.org/officeDocument/2006/relationships/image" Target="media/image221.png"/><Relationship Id="rId257" Type="http://schemas.openxmlformats.org/officeDocument/2006/relationships/image" Target="media/image222.png"/><Relationship Id="rId258" Type="http://schemas.openxmlformats.org/officeDocument/2006/relationships/image" Target="media/image223.png"/><Relationship Id="rId259" Type="http://schemas.openxmlformats.org/officeDocument/2006/relationships/image" Target="media/image224.png"/><Relationship Id="rId260" Type="http://schemas.openxmlformats.org/officeDocument/2006/relationships/image" Target="media/image225.png"/><Relationship Id="rId261" Type="http://schemas.openxmlformats.org/officeDocument/2006/relationships/image" Target="media/image226.png"/><Relationship Id="rId262" Type="http://schemas.openxmlformats.org/officeDocument/2006/relationships/image" Target="media/image227.png"/><Relationship Id="rId263" Type="http://schemas.openxmlformats.org/officeDocument/2006/relationships/image" Target="media/image228.png"/><Relationship Id="rId264" Type="http://schemas.openxmlformats.org/officeDocument/2006/relationships/image" Target="media/image229.png"/><Relationship Id="rId265" Type="http://schemas.openxmlformats.org/officeDocument/2006/relationships/image" Target="media/image230.png"/><Relationship Id="rId266" Type="http://schemas.openxmlformats.org/officeDocument/2006/relationships/image" Target="media/image231.png"/><Relationship Id="rId267" Type="http://schemas.openxmlformats.org/officeDocument/2006/relationships/image" Target="media/image232.png"/><Relationship Id="rId268" Type="http://schemas.openxmlformats.org/officeDocument/2006/relationships/image" Target="media/image233.png"/><Relationship Id="rId269" Type="http://schemas.openxmlformats.org/officeDocument/2006/relationships/image" Target="media/image234.png"/><Relationship Id="rId270" Type="http://schemas.openxmlformats.org/officeDocument/2006/relationships/image" Target="media/image235.png"/><Relationship Id="rId271" Type="http://schemas.openxmlformats.org/officeDocument/2006/relationships/image" Target="media/image236.png"/><Relationship Id="rId272" Type="http://schemas.openxmlformats.org/officeDocument/2006/relationships/image" Target="media/image237.png"/><Relationship Id="rId273" Type="http://schemas.openxmlformats.org/officeDocument/2006/relationships/image" Target="media/image238.png"/><Relationship Id="rId274" Type="http://schemas.openxmlformats.org/officeDocument/2006/relationships/image" Target="media/image239.png"/><Relationship Id="rId275" Type="http://schemas.openxmlformats.org/officeDocument/2006/relationships/image" Target="media/image240.png"/><Relationship Id="rId276" Type="http://schemas.openxmlformats.org/officeDocument/2006/relationships/image" Target="media/image241.png"/><Relationship Id="rId277" Type="http://schemas.openxmlformats.org/officeDocument/2006/relationships/image" Target="media/image242.png"/><Relationship Id="rId278" Type="http://schemas.openxmlformats.org/officeDocument/2006/relationships/image" Target="media/image243.png"/><Relationship Id="rId279" Type="http://schemas.openxmlformats.org/officeDocument/2006/relationships/image" Target="media/image244.png"/><Relationship Id="rId280" Type="http://schemas.openxmlformats.org/officeDocument/2006/relationships/image" Target="media/image245.png"/><Relationship Id="rId114" Type="http://schemas.openxmlformats.org/officeDocument/2006/relationships/hyperlink" Target="http://www.sec.gov/Archives/edgar/data/0001662579/000119312520243234/d772024dex33.htm" TargetMode="External"/><Relationship Id="rId115" Type="http://schemas.openxmlformats.org/officeDocument/2006/relationships/hyperlink" Target="https://www.sec.gov/ix?doc=/Archives/edgar/data/0001662579/000162828023013738/cccc-20230427.htm" TargetMode="External"/><Relationship Id="rId116" Type="http://schemas.openxmlformats.org/officeDocument/2006/relationships/hyperlink" Target="http://www.sec.gov/Archives/edgar/data/0001662579/000119312520243234/d772024dex35.htm" TargetMode="External"/><Relationship Id="rId117" Type="http://schemas.openxmlformats.org/officeDocument/2006/relationships/hyperlink" Target="http://www.sec.gov/Archives/edgar/data/0001662579/000119312520243234/d772024dex41.htm" TargetMode="External"/><Relationship Id="rId118" Type="http://schemas.openxmlformats.org/officeDocument/2006/relationships/hyperlink" Target="http://www.sec.gov/Archives/edgar/data/1662579/000119312520255106/d772024dex43.htm" TargetMode="External"/><Relationship Id="rId119" Type="http://schemas.openxmlformats.org/officeDocument/2006/relationships/hyperlink" Target="http://www.sec.gov/Archives/edgar/data/1662579/000156459021012531/cccc-ex44_220.htm" TargetMode="External"/><Relationship Id="rId120" Type="http://schemas.openxmlformats.org/officeDocument/2006/relationships/hyperlink" Target="http://www.sec.gov/Archives/edgar/data/0001662579/000119312520243234/d772024dex101.htm" TargetMode="External"/><Relationship Id="rId121" Type="http://schemas.openxmlformats.org/officeDocument/2006/relationships/hyperlink" Target="https://www.sec.gov/Archives/edgar/data/1662579/000162828023004711/exhibit102.htm" TargetMode="External"/><Relationship Id="rId122" Type="http://schemas.openxmlformats.org/officeDocument/2006/relationships/hyperlink" Target="http://www.sec.gov/Archives/edgar/data/1662579/000119312520255106/d772024dex103.htm" TargetMode="External"/><Relationship Id="rId123" Type="http://schemas.openxmlformats.org/officeDocument/2006/relationships/hyperlink" Target="http://www.sec.gov/Archives/edgar/data/0001662579/000119312520243234/d772024dex104.htm" TargetMode="External"/><Relationship Id="rId124" Type="http://schemas.openxmlformats.org/officeDocument/2006/relationships/hyperlink" Target="http://www.sec.gov/Archives/edgar/data/0001662579/000119312520243234/d772024dex105.htm" TargetMode="External"/><Relationship Id="rId125" Type="http://schemas.openxmlformats.org/officeDocument/2006/relationships/hyperlink" Target="http://www.sec.gov/Archives/edgar/data/0001662579/000119312520243234/d772024dex106.htm" TargetMode="External"/><Relationship Id="rId126" Type="http://schemas.openxmlformats.org/officeDocument/2006/relationships/hyperlink" Target="http://www.sec.gov/Archives/edgar/data/0001662579/000119312520243234/d772024dex107.htm" TargetMode="External"/><Relationship Id="rId127" Type="http://schemas.openxmlformats.org/officeDocument/2006/relationships/hyperlink" Target="http://www.sec.gov/Archives/edgar/data/0001662579/000119312520243234/d772024dex108.htm" TargetMode="External"/><Relationship Id="rId128" Type="http://schemas.openxmlformats.org/officeDocument/2006/relationships/hyperlink" Target="http://www.sec.gov/Archives/edgar/data/0001662579/000119312520243234/d772024dex1010.htm" TargetMode="External"/><Relationship Id="rId129" Type="http://schemas.openxmlformats.org/officeDocument/2006/relationships/hyperlink" Target="http://www.sec.gov/Archives/edgar/data/1662579/000156459021012531/cccc-ex1011_218.htm" TargetMode="External"/><Relationship Id="rId130" Type="http://schemas.openxmlformats.org/officeDocument/2006/relationships/hyperlink" Target="http://www.sec.gov/Archives/edgar/data/0001662579/000119312520243234/d772024dex1011.htm" TargetMode="External"/><Relationship Id="rId133" Type="http://schemas.openxmlformats.org/officeDocument/2006/relationships/hyperlink" Target="http://www.sec.gov/Archives/edgar/data/1662579/000156459021012531/cccc-ex1013_217.htm" TargetMode="External"/><Relationship Id="rId134" Type="http://schemas.openxmlformats.org/officeDocument/2006/relationships/hyperlink" Target="http://www.sec.gov/Archives/edgar/data/0001662579/000119312520243234/d772024dex1012.htm" TargetMode="External"/><Relationship Id="rId135" Type="http://schemas.openxmlformats.org/officeDocument/2006/relationships/hyperlink" Target="http://www.sec.gov/Archives/edgar/data/0001662579/000119312520243234/d772024dex1014.htm" TargetMode="External"/><Relationship Id="rId136" Type="http://schemas.openxmlformats.org/officeDocument/2006/relationships/hyperlink" Target="http://www.sec.gov/Archives/edgar/data/1662579/000156459021058797/cccc-ex101_7.htm" TargetMode="External"/><Relationship Id="rId137" Type="http://schemas.openxmlformats.org/officeDocument/2006/relationships/hyperlink" Target="https://www.sec.gov/Archives/edgar/data/1662579/000162828023020025/redacted-projectgeoffreyxc.htm" TargetMode="External"/><Relationship Id="rId138" Type="http://schemas.openxmlformats.org/officeDocument/2006/relationships/hyperlink" Target="https://www.sec.gov/Archives/edgar/data/1662579/000162828023020025/projgeoffrey-stockpurchase.htm" TargetMode="External"/><Relationship Id="rId139" Type="http://schemas.openxmlformats.org/officeDocument/2006/relationships/hyperlink" Target="https://www.sec.gov/Archives/edgar/data/1662579/000162828024006144/merck-c4txlicenseandcoll.htm" TargetMode="External"/><Relationship Id="rId140" Type="http://schemas.openxmlformats.org/officeDocument/2006/relationships/hyperlink" Target="https://www.sec.gov/Archives/edgar/data/1662579/000162828024021368/a240301_c4t-mkdgcollabor.htm" TargetMode="External"/><Relationship Id="rId141" Type="http://schemas.openxmlformats.org/officeDocument/2006/relationships/hyperlink" Target="https://www.sec.gov/Archives/edgar/data/1662579/000162828024042879/c4tfisherconsultingagree.htm" TargetMode="External"/><Relationship Id="rId142" Type="http://schemas.openxmlformats.org/officeDocument/2006/relationships/hyperlink" Target="https://www.sec.gov/Archives/edgar/data/1662579/000162828024006144/c4t-formofnsoagreementin.htm" TargetMode="External"/><Relationship Id="rId144" Type="http://schemas.openxmlformats.org/officeDocument/2006/relationships/hyperlink" Target="https://www.sec.gov/Archives/edgar/data/1662579/000162828024006144/ex97-executivecompensat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2025-02-27T06:33:28Z</dcterms:created>
  <dcterms:modified xsi:type="dcterms:W3CDTF">2025-02-27T06:33:28Z</dcterms:modified>
</cp:coreProperties>
</file>