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4826.xml.htm"/>
      <w:bookmarkStart w:id="1" w:name="kswkform4_17839748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 LEONARD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C4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490 ARSENAL WAY #120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C4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74"/>
        <w:gridCol w:w="375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15,325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379,803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7,397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372,406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acquisition of shares of Common Stock upon vesting of previously disclosed grants of restricted stock units ("RSUs"). The grant of RSUs was initially reported in Table I of the Form 4 filed by the Reporting Person on July 12,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withholding obligations in connection with the vesting and settlement of RSUs and does not represent a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Shagha Russell,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8716" TargetMode="External"/><Relationship Id="rId5" Type="http://schemas.openxmlformats.org/officeDocument/2006/relationships/hyperlink" Target="http://www.sec.gov/cgi-bin/browse-edgar?action=getcompany&amp;CIK=00016625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3490</Characters>
  <CharactersWithSpaces>4069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