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C4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Squadron Master Fund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5,550,000.00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5,550,000.00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5,550,000.00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Squadron Capital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5,550,000.00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5,550,000.00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5,550,000.00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right="5159" w:hanging="1112"/>
        <w:spacing w:after="0" w:line="489" w:lineRule="auto"/>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IA, HC</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Matthew Sesterhenn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5,550,000.00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5,550,000.00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5,550,000.00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William Blank</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5,550,000.00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5,550,000.00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5,550,000.00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9960"/>
          </w:cols>
          <w:pgMar w:left="360" w:top="112" w:right="45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C4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490 ARSENAL WAY, SUITE 120, WATERTOWN, MASSACHUSETTS, 02472.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1460"/>
        <w:spacing w:after="0" w:line="280" w:lineRule="auto"/>
        <w:rPr>
          <w:sz w:val="20"/>
          <w:szCs w:val="20"/>
          <w:color w:val="auto"/>
        </w:rPr>
      </w:pPr>
      <w:r>
        <w:rPr>
          <w:rFonts w:ascii="Times New Roman" w:cs="Times New Roman" w:eastAsia="Times New Roman" w:hAnsi="Times New Roman"/>
          <w:sz w:val="22"/>
          <w:szCs w:val="22"/>
          <w:color w:val="auto"/>
        </w:rPr>
        <w:t>Squadron Master Fund LP Squadron Capital Management, LLC Matthew Sesterhenn William Blank Address or principal business office or, if none, residence:</w:t>
      </w:r>
    </w:p>
    <w:p>
      <w:pPr>
        <w:spacing w:after="0" w:line="169" w:lineRule="exact"/>
        <w:rPr>
          <w:sz w:val="20"/>
          <w:szCs w:val="20"/>
          <w:color w:val="auto"/>
        </w:rPr>
      </w:pPr>
    </w:p>
    <w:p>
      <w:pPr>
        <w:ind w:left="920" w:right="100" w:hanging="912"/>
        <w:spacing w:after="0" w:line="201" w:lineRule="auto"/>
        <w:tabs>
          <w:tab w:leader="none" w:pos="920" w:val="left"/>
        </w:tabs>
        <w:numPr>
          <w:ilvl w:val="0"/>
          <w:numId w:val="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Squadron Master Fund LP c/o Squadron Capital Management, LLC 999 Oakmont Plaza Drive, Suite 600 Westmont, IL 60559 Squadron Capital Management, LLC 999 Oakmont Plaza Drive, Suite 600 Westmont, IL 60559 Matthew Sesterhenn c/o Squadron Capital Management, LLC 999 Oakmont Plaza Drive, Suite 600 Westmont, IL 60559 William Blank c/o Squadron Capital Management, LLC 999 Oakmont Plaza Drive, Suite 600 Westmont, IL 60559</w:t>
      </w:r>
    </w:p>
    <w:p>
      <w:pPr>
        <w:sectPr>
          <w:pgSz w:w="11900" w:h="16838" w:orient="portrait"/>
          <w:cols w:equalWidth="0" w:num="1">
            <w:col w:w="11080"/>
          </w:cols>
          <w:pgMar w:left="360" w:top="112" w:right="459" w:bottom="0" w:gutter="0" w:footer="0" w:header="0"/>
          <w:type w:val="continuous"/>
        </w:sect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Squadron Master Fund LP - Delaware Squadron Capital Management, LLC - Delaware Matthew Sesterhenn - United States William Blank - United States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20" w:space="300"/>
            <w:col w:w="10160"/>
          </w:cols>
          <w:pgMar w:left="360" w:top="112" w:right="459" w:bottom="0" w:gutter="0" w:footer="0" w:header="0"/>
          <w:type w:val="continuous"/>
        </w:sectPr>
      </w:pPr>
    </w:p>
    <w:bookmarkStart w:id="4" w:name="page5"/>
    <w:bookmarkEnd w:id="4"/>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40"/>
        <w:spacing w:after="0" w:line="247" w:lineRule="auto"/>
        <w:rPr>
          <w:sz w:val="20"/>
          <w:szCs w:val="20"/>
          <w:color w:val="auto"/>
        </w:rPr>
      </w:pPr>
      <w:r>
        <w:rPr>
          <w:rFonts w:ascii="Times New Roman" w:cs="Times New Roman" w:eastAsia="Times New Roman" w:hAnsi="Times New Roman"/>
          <w:sz w:val="21"/>
          <w:szCs w:val="21"/>
          <w:color w:val="auto"/>
        </w:rPr>
        <w:t>Squadron Capital Management, LLC is an investment adviser that is registered as an Exempt Reporting Adviser with the Securities and Exchange Commission. Squadron Capital Management, LLC, which serves as investment adviser to private funds, including but not limited to Squadron Master Fund LP (collectively, the "Funds"), may be deemed to be the beneficial owner of all shares of Common Stock held by the Funds. Mr. Sesterhenn and Mr. Blank, as Partners</w:t>
      </w:r>
    </w:p>
    <w:p>
      <w:pPr>
        <w:spacing w:after="0" w:line="2" w:lineRule="exact"/>
        <w:rPr>
          <w:sz w:val="20"/>
          <w:szCs w:val="20"/>
          <w:color w:val="auto"/>
        </w:rPr>
      </w:pPr>
    </w:p>
    <w:p>
      <w:pPr>
        <w:ind w:left="920" w:right="40" w:hanging="912"/>
        <w:spacing w:after="0" w:line="207"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of Squadron Capital Management, LLC, with the power to exercise investment and voting discretion, may be deemed to be the beneficial owner of all shares of Common Stock held by the Funds. Pursuant to Rule 13d-4 under the Securities Exchange Act of 1934, as amended, Squadron Capital Management, LLC and Mr. Sesterhenn and Mr. Blank expressly disclaim beneficial ownership over any of the securities reported in this statement, and the filing of this statement shall not be construed as an admission that Squadron Capital Management, LLC or Mr. Sesterhenn and Mr. Blank are the beneficial owner of any of the securities reported herein. Squadron Master Fund LP - 5,550,000 shares Squadron Capital Management, LLC - 5,550,000 shares Matthew Sesterhenn - 5,550,000 shares William Blank - 5,550,000 shares</w:t>
      </w:r>
    </w:p>
    <w:p>
      <w:pPr>
        <w:spacing w:after="0" w:line="20"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jc w:val="both"/>
        <w:ind w:left="920" w:right="100" w:hanging="912"/>
        <w:spacing w:after="0" w:line="193"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Ownership percentage is based on 110,567,222 shares of common stock outstanding, par value $0.0001 per share, as of May 1, 2026, as reported by the Issuer on Form 10-K filed with the Securities and Exchange Commission on May 12, 2026. Squadron Master Fund LP - 5.0% Squadron Capital Management, LLC - 5.0% Matthew Sesterhenn - 5.0% William Blank - 5.0% %</w:t>
      </w:r>
    </w:p>
    <w:p>
      <w:pPr>
        <w:spacing w:after="0" w:line="18"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Squadron Master Fund LP - 0 Squadron Capital Management, LLC - 0 Matthew Sesterhenn - 0 William Blank - 0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580"/>
        <w:spacing w:after="0" w:line="258" w:lineRule="auto"/>
        <w:rPr>
          <w:sz w:val="20"/>
          <w:szCs w:val="20"/>
          <w:color w:val="auto"/>
        </w:rPr>
      </w:pPr>
      <w:r>
        <w:rPr>
          <w:rFonts w:ascii="Times New Roman" w:cs="Times New Roman" w:eastAsia="Times New Roman" w:hAnsi="Times New Roman"/>
          <w:sz w:val="22"/>
          <w:szCs w:val="22"/>
          <w:color w:val="auto"/>
        </w:rPr>
        <w:t>Squadron Master Fund LP - 5,550,000 shares Squadron Capital Management, LLC - 5,550,000 shares Matthew Sesterhenn - 5,550,000 shares William Blank - 5,550,000 shares</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Squadron Master Fund LP - 0 Squadron Capital Management, LLC - 0 Matthew Sesterhenn - 0 William Blank - 0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580"/>
        <w:spacing w:after="0" w:line="258" w:lineRule="auto"/>
        <w:rPr>
          <w:sz w:val="20"/>
          <w:szCs w:val="20"/>
          <w:color w:val="auto"/>
        </w:rPr>
      </w:pPr>
      <w:r>
        <w:rPr>
          <w:rFonts w:ascii="Times New Roman" w:cs="Times New Roman" w:eastAsia="Times New Roman" w:hAnsi="Times New Roman"/>
          <w:sz w:val="22"/>
          <w:szCs w:val="22"/>
          <w:color w:val="auto"/>
        </w:rPr>
        <w:t>Squadron Master Fund LP - 5,550,000 shares Squadron Capital Management, LLC - 5,550,000 shares Matthew Sesterhenn - 5,550,000 shares William Blank - 5,550,000 shares</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26" w:right="39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3"/>
        </w:trPr>
        <w:tc>
          <w:tcPr>
            <w:tcW w:w="820" w:type="dxa"/>
            <w:vAlign w:val="bottom"/>
          </w:tcPr>
          <w:p>
            <w:pPr>
              <w:spacing w:after="0"/>
              <w:rPr>
                <w:sz w:val="22"/>
                <w:szCs w:val="22"/>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The Funds have the right to receive or the power to direct the receipt of dividends from, or the proceeds from the sale</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of, the shares of Common Stock covered by this Statement.</w:t>
            </w:r>
          </w:p>
        </w:tc>
        <w:tc>
          <w:tcPr>
            <w:tcW w:w="0" w:type="dxa"/>
            <w:vAlign w:val="bottom"/>
          </w:tcPr>
          <w:p>
            <w:pPr>
              <w:spacing w:after="0"/>
              <w:rPr>
                <w:sz w:val="1"/>
                <w:szCs w:val="1"/>
                <w:color w:val="auto"/>
              </w:rPr>
            </w:pPr>
          </w:p>
        </w:tc>
      </w:tr>
      <w:tr>
        <w:trPr>
          <w:trHeight w:val="258"/>
        </w:trPr>
        <w:tc>
          <w:tcPr>
            <w:tcW w:w="8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Item 7.</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w:t>
            </w:r>
          </w:p>
        </w:tc>
        <w:tc>
          <w:tcPr>
            <w:tcW w:w="0" w:type="dxa"/>
            <w:vAlign w:val="bottom"/>
          </w:tcPr>
          <w:p>
            <w:pPr>
              <w:spacing w:after="0"/>
              <w:rPr>
                <w:sz w:val="1"/>
                <w:szCs w:val="1"/>
                <w:color w:val="auto"/>
              </w:rPr>
            </w:pPr>
          </w:p>
        </w:tc>
      </w:tr>
      <w:tr>
        <w:trPr>
          <w:trHeight w:val="161"/>
        </w:trPr>
        <w:tc>
          <w:tcPr>
            <w:tcW w:w="820" w:type="dxa"/>
            <w:vAlign w:val="bottom"/>
            <w:vMerge w:val="continue"/>
          </w:tcPr>
          <w:p>
            <w:pPr>
              <w:spacing w:after="0"/>
              <w:rPr>
                <w:sz w:val="13"/>
                <w:szCs w:val="13"/>
                <w:color w:val="auto"/>
              </w:rPr>
            </w:pPr>
          </w:p>
        </w:tc>
        <w:tc>
          <w:tcPr>
            <w:tcW w:w="103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Holding Company or Control Person.</w:t>
            </w: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10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820" w:type="dxa"/>
            <w:vAlign w:val="bottom"/>
          </w:tcPr>
          <w:p>
            <w:pPr>
              <w:spacing w:after="0"/>
              <w:rPr>
                <w:sz w:val="22"/>
                <w:szCs w:val="22"/>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If a parent holding company has filed this schedule, pursuant to Rule 13d-1(b)(ii)(G), so indicate under Item 3(g) and</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attach an exhibit stating the identity and the Item 3 classification of the relevant subsidiary. If a parent holding</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company has filed this schedule pursuant to Rule 13d-1(c) or Rule 13d-1(d), attach an exhibit stating the</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identification of the relevant subsidiary.</w:t>
            </w:r>
          </w:p>
        </w:tc>
        <w:tc>
          <w:tcPr>
            <w:tcW w:w="0" w:type="dxa"/>
            <w:vAlign w:val="bottom"/>
          </w:tcPr>
          <w:p>
            <w:pPr>
              <w:spacing w:after="0"/>
              <w:rPr>
                <w:sz w:val="1"/>
                <w:szCs w:val="1"/>
                <w:color w:val="auto"/>
              </w:rPr>
            </w:pPr>
          </w:p>
        </w:tc>
      </w:tr>
      <w:tr>
        <w:trPr>
          <w:trHeight w:val="729"/>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See Notes above.</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Item 8.</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Item 9.</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Notice of Dissolution of Group.</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567"/>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Item 10.</w:t>
            </w:r>
          </w:p>
        </w:tc>
        <w:tc>
          <w:tcPr>
            <w:tcW w:w="10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Certifications:</w:t>
            </w:r>
          </w:p>
        </w:tc>
        <w:tc>
          <w:tcPr>
            <w:tcW w:w="0" w:type="dxa"/>
            <w:vAlign w:val="bottom"/>
          </w:tcPr>
          <w:p>
            <w:pPr>
              <w:spacing w:after="0"/>
              <w:rPr>
                <w:sz w:val="1"/>
                <w:szCs w:val="1"/>
                <w:color w:val="auto"/>
              </w:rPr>
            </w:pPr>
          </w:p>
        </w:tc>
      </w:tr>
      <w:tr>
        <w:trPr>
          <w:trHeight w:val="258"/>
        </w:trPr>
        <w:tc>
          <w:tcPr>
            <w:tcW w:w="820" w:type="dxa"/>
            <w:vAlign w:val="bottom"/>
          </w:tcPr>
          <w:p>
            <w:pPr>
              <w:spacing w:after="0"/>
              <w:rPr>
                <w:sz w:val="22"/>
                <w:szCs w:val="22"/>
                <w:color w:val="auto"/>
              </w:rPr>
            </w:pPr>
          </w:p>
        </w:tc>
        <w:tc>
          <w:tcPr>
            <w:tcW w:w="10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acquired and are not held for the purpose of or with the effect of changing or influencing the control of the issuer of</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9"/>
              </w:rPr>
              <w:t>the securities and were not acquired and are not held in connection with or as a participant in any transaction having</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4"/>
                <w:szCs w:val="24"/>
                <w:color w:val="auto"/>
              </w:rPr>
            </w:pPr>
          </w:p>
        </w:tc>
        <w:tc>
          <w:tcPr>
            <w:tcW w:w="10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that purpose or effect, other than activities solely in connection with a nomination under § 240.14a-11.</w:t>
            </w:r>
          </w:p>
        </w:tc>
        <w:tc>
          <w:tcPr>
            <w:tcW w:w="0" w:type="dxa"/>
            <w:vAlign w:val="bottom"/>
          </w:tcPr>
          <w:p>
            <w:pPr>
              <w:spacing w:after="0"/>
              <w:rPr>
                <w:sz w:val="1"/>
                <w:szCs w:val="1"/>
                <w:color w:val="auto"/>
              </w:rPr>
            </w:pPr>
          </w:p>
        </w:tc>
      </w:tr>
    </w:tbl>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Squadron Master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Matthew Sesterhenn</w:t>
      </w:r>
    </w:p>
    <w:p>
      <w:pPr>
        <w:spacing w:after="0" w:line="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37"/>
          <w:szCs w:val="37"/>
          <w:color w:val="auto"/>
          <w:vertAlign w:val="subscript"/>
        </w:rPr>
        <w:t>Name/Title:</w:t>
      </w:r>
      <w:r>
        <w:rPr>
          <w:rFonts w:ascii="Times New Roman" w:cs="Times New Roman" w:eastAsia="Times New Roman" w:hAnsi="Times New Roman"/>
          <w:sz w:val="19"/>
          <w:szCs w:val="19"/>
          <w:color w:val="auto"/>
        </w:rPr>
        <w:t xml:space="preserve"> Partner,</w:t>
      </w:r>
      <w:r>
        <w:rPr>
          <w:rFonts w:ascii="Times New Roman" w:cs="Times New Roman" w:eastAsia="Times New Roman" w:hAnsi="Times New Roman"/>
          <w:sz w:val="37"/>
          <w:szCs w:val="37"/>
          <w:color w:val="auto"/>
          <w:vertAlign w:val="subscript"/>
        </w:rPr>
        <w:t>Partner</w:t>
      </w:r>
      <w:r>
        <w:rPr>
          <w:rFonts w:ascii="Times New Roman" w:cs="Times New Roman" w:eastAsia="Times New Roman" w:hAnsi="Times New Roman"/>
          <w:sz w:val="19"/>
          <w:szCs w:val="19"/>
          <w:color w:val="auto"/>
        </w:rPr>
        <w:t xml:space="preserve"> Squadron Partners LLC, its General</w:t>
      </w:r>
    </w:p>
    <w:p>
      <w:pPr>
        <w:spacing w:after="0" w:line="129"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05/19/2026</w:t>
      </w:r>
    </w:p>
    <w:p>
      <w:pPr>
        <w:spacing w:after="0" w:line="15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Squadron Capital Management LLC</w:t>
      </w:r>
    </w:p>
    <w:p>
      <w:pPr>
        <w:spacing w:after="0" w:line="152"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Matthew Sesterhenn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Partner</w:t>
      </w:r>
    </w:p>
    <w:p>
      <w:pPr>
        <w:spacing w:after="0" w:line="44"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05/19/2026</w:t>
      </w:r>
    </w:p>
    <w:p>
      <w:pPr>
        <w:spacing w:after="0" w:line="1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Matthew Sesterhenn</w:t>
      </w:r>
    </w:p>
    <w:p>
      <w:pPr>
        <w:spacing w:after="0" w:line="152"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Matthew Sesterhenn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Matthew Sesterhenn</w:t>
      </w:r>
    </w:p>
    <w:p>
      <w:pPr>
        <w:spacing w:after="0" w:line="44"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05/19/2026</w:t>
      </w:r>
    </w:p>
    <w:p>
      <w:pPr>
        <w:spacing w:after="0" w:line="15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William Blank</w:t>
      </w:r>
    </w:p>
    <w:p>
      <w:pPr>
        <w:spacing w:after="0" w:line="152" w:lineRule="exact"/>
        <w:rPr>
          <w:sz w:val="20"/>
          <w:szCs w:val="20"/>
          <w:color w:val="auto"/>
        </w:rPr>
      </w:pPr>
    </w:p>
    <w:p>
      <w:pPr>
        <w:ind w:left="2820"/>
        <w:spacing w:after="0"/>
        <w:tabs>
          <w:tab w:leader="none" w:pos="3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Blank</w:t>
      </w:r>
    </w:p>
    <w:p>
      <w:pPr>
        <w:spacing w:after="0" w:line="44"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Name/Title: William Blank</w:t>
      </w:r>
    </w:p>
    <w:p>
      <w:pPr>
        <w:spacing w:after="0" w:line="44" w:lineRule="exact"/>
        <w:rPr>
          <w:sz w:val="20"/>
          <w:szCs w:val="20"/>
          <w:color w:val="auto"/>
        </w:rPr>
      </w:pPr>
    </w:p>
    <w:p>
      <w:pPr>
        <w:ind w:left="2820"/>
        <w:spacing w:after="0"/>
        <w:tabs>
          <w:tab w:leader="none" w:pos="39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05/19/2026</w:t>
      </w:r>
    </w:p>
    <w:sectPr>
      <w:pgSz w:w="11900" w:h="16838" w:orient="portrait"/>
      <w:cols w:equalWidth="0" w:num="1">
        <w:col w:w="11140"/>
      </w:cols>
      <w:pgMar w:left="360" w:top="58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decimal"/>
      <w:start w:val="12"/>
    </w:lvl>
  </w:abstractNum>
  <w:abstractNum w:abstractNumId="3">
    <w:nsid w:val="507ED7AB"/>
    <w:multiLevelType w:val="hybridMultilevel"/>
    <w:lvl w:ilvl="0">
      <w:lvlJc w:val="left"/>
      <w:lvlText w:val="2"/>
      <w:numFmt w:val="bullet"/>
      <w:start w:val="1"/>
    </w:lvl>
  </w:abstractNum>
  <w:abstractNum w:abstractNumId="4">
    <w:nsid w:val="2EB141F2"/>
    <w:multiLevelType w:val="hybridMultilevel"/>
    <w:lvl w:ilvl="0">
      <w:lvlJc w:val="left"/>
      <w:lvlText w:val="(%1)"/>
      <w:numFmt w:val="lowerLetter"/>
      <w:start w:val="2"/>
    </w:lvl>
  </w:abstractNum>
  <w:abstractNum w:abstractNumId="5">
    <w:nsid w:val="41B71EFB"/>
    <w:multiLevelType w:val="hybridMultilevel"/>
    <w:lvl w:ilvl="0">
      <w:lvlJc w:val="left"/>
      <w:lvlText w:val="(%1)"/>
      <w:numFmt w:val="lowerLetter"/>
      <w:start w:val="2"/>
    </w:lvl>
  </w:abstractNum>
  <w:abstractNum w:abstractNumId="6">
    <w:nsid w:val="79E2A9E3"/>
    <w:multiLevelType w:val="hybridMultilevel"/>
    <w:lvl w:ilvl="0">
      <w:lvlJc w:val="left"/>
      <w:lvlText w:val="(%1)"/>
      <w:numFmt w:val="lowerLetter"/>
      <w:start w:val="1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2026-05-19T15:15:15Z</dcterms:created>
  <dcterms:modified xsi:type="dcterms:W3CDTF">2026-05-19T15:15:15Z</dcterms:modified>
</cp:coreProperties>
</file>