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WASHINGTON, D.C. 20549</w:t>
      </w:r>
    </w:p>
    <w:p>
      <w:pPr>
        <w:ind w:left="3880"/>
        <w:spacing w:after="0" w:line="191" w:lineRule="auto"/>
        <w:rPr>
          <w:sz w:val="20"/>
          <w:szCs w:val="20"/>
          <w:color w:val="auto"/>
        </w:rPr>
      </w:pPr>
      <w:r>
        <w:rPr>
          <w:rFonts w:ascii="Calibri" w:cs="Calibri" w:eastAsia="Calibri" w:hAnsi="Calibri"/>
          <w:sz w:val="11"/>
          <w:szCs w:val="11"/>
          <w:color w:val="auto"/>
        </w:rPr>
        <w:t>_________________________________________________________________</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212529"/>
        </w:rPr>
        <w:t>FORM 8-K</w:t>
      </w:r>
    </w:p>
    <w:p>
      <w:pPr>
        <w:spacing w:after="0" w:line="30" w:lineRule="exact"/>
        <w:rPr>
          <w:sz w:val="24"/>
          <w:szCs w:val="24"/>
          <w:color w:val="auto"/>
        </w:rPr>
      </w:pPr>
    </w:p>
    <w:p>
      <w:pPr>
        <w:ind w:left="3880"/>
        <w:spacing w:after="0"/>
        <w:rPr>
          <w:sz w:val="20"/>
          <w:szCs w:val="20"/>
          <w:color w:val="auto"/>
        </w:rPr>
      </w:pPr>
      <w:r>
        <w:rPr>
          <w:rFonts w:ascii="Calibri" w:cs="Calibri" w:eastAsia="Calibri" w:hAnsi="Calibri"/>
          <w:sz w:val="11"/>
          <w:szCs w:val="11"/>
          <w:color w:val="auto"/>
        </w:rPr>
        <w:t>_________________________________________________________________</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CURRENT REPORT</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12529"/>
        </w:rPr>
        <w:t>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March 4, 2024 (March 1, 2024)</w:t>
      </w:r>
    </w:p>
    <w:p>
      <w:pPr>
        <w:spacing w:after="0" w:line="4" w:lineRule="exact"/>
        <w:rPr>
          <w:sz w:val="24"/>
          <w:szCs w:val="24"/>
          <w:color w:val="auto"/>
        </w:rPr>
      </w:pPr>
    </w:p>
    <w:p>
      <w:pPr>
        <w:ind w:left="3880"/>
        <w:spacing w:after="0"/>
        <w:rPr>
          <w:sz w:val="20"/>
          <w:szCs w:val="20"/>
          <w:color w:val="auto"/>
        </w:rPr>
      </w:pPr>
      <w:r>
        <w:rPr>
          <w:rFonts w:ascii="Calibri" w:cs="Calibri" w:eastAsia="Calibri" w:hAnsi="Calibri"/>
          <w:sz w:val="11"/>
          <w:szCs w:val="11"/>
          <w:color w:val="auto"/>
        </w:rPr>
        <w:t>_________________________________________________________________</w:t>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212529"/>
        </w:rPr>
        <w:t>C4 THERAPEUTICS, INC.</w:t>
      </w:r>
    </w:p>
    <w:p>
      <w:pPr>
        <w:sectPr>
          <w:pgSz w:w="11900" w:h="16838" w:orient="portrait"/>
          <w:cols w:equalWidth="0" w:num="1">
            <w:col w:w="11220"/>
          </w:cols>
          <w:pgMar w:left="320" w:top="1440" w:right="359" w:bottom="1440" w:gutter="0" w:footer="0" w:header="0"/>
        </w:sectPr>
      </w:pPr>
    </w:p>
    <w:p>
      <w:pPr>
        <w:spacing w:after="0" w:line="63" w:lineRule="exact"/>
        <w:rPr>
          <w:sz w:val="24"/>
          <w:szCs w:val="24"/>
          <w:color w:val="auto"/>
        </w:rPr>
      </w:pPr>
    </w:p>
    <w:tbl>
      <w:tblPr>
        <w:tblLayout w:type="fixed"/>
        <w:tblInd w:w="66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38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212529"/>
              </w:rPr>
              <w:t>(Exact name of Registrant as Specified in Its Charter)</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3880" w:type="dxa"/>
            <w:vAlign w:val="bottom"/>
          </w:tcPr>
          <w:p>
            <w:pPr>
              <w:jc w:val="center"/>
              <w:ind w:left="308"/>
              <w:spacing w:after="0" w:line="127" w:lineRule="exact"/>
              <w:rPr>
                <w:sz w:val="20"/>
                <w:szCs w:val="20"/>
                <w:color w:val="auto"/>
              </w:rPr>
            </w:pPr>
            <w:r>
              <w:rPr>
                <w:rFonts w:ascii="Calibri" w:cs="Calibri" w:eastAsia="Calibri" w:hAnsi="Calibri"/>
                <w:sz w:val="11"/>
                <w:szCs w:val="11"/>
                <w:color w:val="auto"/>
                <w:w w:val="98"/>
              </w:rPr>
              <w:t>_________________________________________________________________</w:t>
            </w:r>
          </w:p>
        </w:tc>
        <w:tc>
          <w:tcPr>
            <w:tcW w:w="0" w:type="dxa"/>
            <w:vAlign w:val="bottom"/>
          </w:tcPr>
          <w:p>
            <w:pPr>
              <w:spacing w:after="0"/>
              <w:rPr>
                <w:sz w:val="1"/>
                <w:szCs w:val="1"/>
                <w:color w:val="auto"/>
              </w:rPr>
            </w:pPr>
          </w:p>
        </w:tc>
      </w:tr>
      <w:tr>
        <w:trPr>
          <w:trHeight w:val="514"/>
        </w:trPr>
        <w:tc>
          <w:tcPr>
            <w:tcW w:w="2840" w:type="dxa"/>
            <w:vAlign w:val="bottom"/>
          </w:tcPr>
          <w:p>
            <w:pPr>
              <w:jc w:val="center"/>
              <w:ind w:right="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jc w:val="center"/>
              <w:ind w:left="268"/>
              <w:spacing w:after="0"/>
              <w:rPr>
                <w:sz w:val="20"/>
                <w:szCs w:val="20"/>
                <w:color w:val="auto"/>
              </w:rPr>
            </w:pPr>
            <w:r>
              <w:rPr>
                <w:rFonts w:ascii="Times New Roman" w:cs="Times New Roman" w:eastAsia="Times New Roman" w:hAnsi="Times New Roman"/>
                <w:sz w:val="18"/>
                <w:szCs w:val="18"/>
                <w:b w:val="1"/>
                <w:bCs w:val="1"/>
                <w:color w:val="auto"/>
                <w:w w:val="99"/>
              </w:rPr>
              <w:t>001-39567</w:t>
            </w:r>
          </w:p>
        </w:tc>
        <w:tc>
          <w:tcPr>
            <w:tcW w:w="0" w:type="dxa"/>
            <w:vAlign w:val="bottom"/>
          </w:tcPr>
          <w:p>
            <w:pPr>
              <w:spacing w:after="0"/>
              <w:rPr>
                <w:sz w:val="1"/>
                <w:szCs w:val="1"/>
                <w:color w:val="auto"/>
              </w:rPr>
            </w:pPr>
          </w:p>
        </w:tc>
      </w:tr>
      <w:tr>
        <w:trPr>
          <w:trHeight w:val="178"/>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8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0" w:type="dxa"/>
            <w:vAlign w:val="bottom"/>
          </w:tcPr>
          <w:p>
            <w:pPr>
              <w:spacing w:after="0"/>
              <w:rPr>
                <w:sz w:val="1"/>
                <w:szCs w:val="1"/>
                <w:color w:val="auto"/>
              </w:rPr>
            </w:pPr>
          </w:p>
        </w:tc>
      </w:tr>
      <w:tr>
        <w:trPr>
          <w:trHeight w:val="190"/>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490 Arsenal Way,  Suite 120</w:t>
            </w: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Watertown, MA</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8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jc w:val="center"/>
        <w:ind w:left="2940"/>
        <w:spacing w:after="0"/>
        <w:rPr>
          <w:sz w:val="20"/>
          <w:szCs w:val="20"/>
          <w:color w:val="auto"/>
        </w:rPr>
      </w:pPr>
      <w:r>
        <w:rPr>
          <w:rFonts w:ascii="Times New Roman" w:cs="Times New Roman" w:eastAsia="Times New Roman" w:hAnsi="Times New Roman"/>
          <w:sz w:val="17"/>
          <w:szCs w:val="17"/>
          <w:b w:val="1"/>
          <w:bCs w:val="1"/>
          <w:color w:val="212529"/>
        </w:rPr>
        <w:t>Registrant’s Telephone Number, Including Area Code: (617) 231-0700</w:t>
      </w:r>
    </w:p>
    <w:p>
      <w:pPr>
        <w:spacing w:after="0" w:line="237" w:lineRule="exact"/>
        <w:rPr>
          <w:sz w:val="24"/>
          <w:szCs w:val="24"/>
          <w:color w:val="auto"/>
        </w:rPr>
      </w:pPr>
    </w:p>
    <w:p>
      <w:pPr>
        <w:jc w:val="center"/>
        <w:ind w:left="2940"/>
        <w:spacing w:after="0"/>
        <w:rPr>
          <w:sz w:val="20"/>
          <w:szCs w:val="20"/>
          <w:color w:val="auto"/>
        </w:rPr>
      </w:pPr>
      <w:r>
        <w:rPr>
          <w:rFonts w:ascii="Times New Roman" w:cs="Times New Roman" w:eastAsia="Times New Roman" w:hAnsi="Times New Roman"/>
          <w:sz w:val="18"/>
          <w:szCs w:val="18"/>
          <w:b w:val="1"/>
          <w:bCs w:val="1"/>
          <w:color w:val="212529"/>
        </w:rPr>
        <w:t>Not Applicable</w:t>
      </w:r>
    </w:p>
    <w:p>
      <w:pPr>
        <w:spacing w:after="0" w:line="2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212529"/>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47-5617627</w:t>
      </w:r>
    </w:p>
    <w:p>
      <w:pPr>
        <w:spacing w:after="0" w:line="6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02472</w:t>
      </w:r>
    </w:p>
    <w:p>
      <w:pPr>
        <w:spacing w:after="0" w:line="6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93" w:lineRule="exact"/>
        <w:rPr>
          <w:sz w:val="24"/>
          <w:szCs w:val="24"/>
          <w:color w:val="auto"/>
        </w:rPr>
      </w:pPr>
    </w:p>
    <w:p>
      <w:pPr>
        <w:sectPr>
          <w:pgSz w:w="11900" w:h="16838" w:orient="portrait"/>
          <w:cols w:equalWidth="0" w:num="2">
            <w:col w:w="8300" w:space="500"/>
            <w:col w:w="2420"/>
          </w:cols>
          <w:pgMar w:left="320" w:top="1440" w:right="359" w:bottom="1440" w:gutter="0" w:footer="0" w:header="0"/>
          <w:type w:val="continuous"/>
        </w:sectPr>
      </w:pPr>
    </w:p>
    <w:p>
      <w:pPr>
        <w:ind w:left="3880"/>
        <w:spacing w:after="0" w:line="229" w:lineRule="auto"/>
        <w:rPr>
          <w:sz w:val="20"/>
          <w:szCs w:val="20"/>
          <w:color w:val="auto"/>
        </w:rPr>
      </w:pPr>
      <w:r>
        <w:rPr>
          <w:rFonts w:ascii="Calibri" w:cs="Calibri" w:eastAsia="Calibri" w:hAnsi="Calibri"/>
          <w:sz w:val="11"/>
          <w:szCs w:val="11"/>
          <w:color w:val="auto"/>
        </w:rPr>
        <w:t>_________________________________________________________________</w:t>
      </w:r>
    </w:p>
    <w:p>
      <w:pPr>
        <w:spacing w:after="0" w:line="21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Wingdings" w:cs="Wingdings" w:eastAsia="Wingdings" w:hAnsi="Wingdings"/>
          <w:sz w:val="18"/>
          <w:szCs w:val="18"/>
          <w:b w:val="1"/>
          <w:bCs w:val="1"/>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vMerge w:val="restart"/>
          </w:tcPr>
          <w:p>
            <w:pPr>
              <w:spacing w:after="0"/>
              <w:rPr>
                <w:sz w:val="13"/>
                <w:szCs w:val="13"/>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CCCC</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333"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Emerging growth company </w:t>
      </w:r>
      <w:r>
        <w:rPr>
          <w:rFonts w:ascii="Wingdings" w:cs="Wingdings" w:eastAsia="Wingdings" w:hAnsi="Wingdings"/>
          <w:sz w:val="18"/>
          <w:szCs w:val="18"/>
          <w:b w:val="1"/>
          <w:bCs w:val="1"/>
          <w:color w:val="212529"/>
        </w:rPr>
        <w:t>o</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March 1, 2024, C4 Therapeutics, Inc. (“</w:t>
      </w:r>
      <w:r>
        <w:rPr>
          <w:rFonts w:ascii="Times New Roman" w:cs="Times New Roman" w:eastAsia="Times New Roman" w:hAnsi="Times New Roman"/>
          <w:sz w:val="18"/>
          <w:szCs w:val="18"/>
          <w:b w:val="1"/>
          <w:bCs w:val="1"/>
          <w:color w:val="auto"/>
        </w:rPr>
        <w:t>C4T</w:t>
      </w:r>
      <w:r>
        <w:rPr>
          <w:rFonts w:ascii="Times New Roman" w:cs="Times New Roman" w:eastAsia="Times New Roman" w:hAnsi="Times New Roman"/>
          <w:sz w:val="18"/>
          <w:szCs w:val="18"/>
          <w:color w:val="auto"/>
        </w:rPr>
        <w:t>”) entered into a Research Collaboration and License Agreement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with Merck KGaA, Darmstadt, Germany (“</w:t>
      </w:r>
      <w:r>
        <w:rPr>
          <w:rFonts w:ascii="Times New Roman" w:cs="Times New Roman" w:eastAsia="Times New Roman" w:hAnsi="Times New Roman"/>
          <w:sz w:val="18"/>
          <w:szCs w:val="18"/>
          <w:b w:val="1"/>
          <w:bCs w:val="1"/>
          <w:color w:val="auto"/>
        </w:rPr>
        <w:t>MKDG</w:t>
      </w:r>
      <w:r>
        <w:rPr>
          <w:rFonts w:ascii="Times New Roman" w:cs="Times New Roman" w:eastAsia="Times New Roman" w:hAnsi="Times New Roman"/>
          <w:sz w:val="18"/>
          <w:szCs w:val="18"/>
          <w:color w:val="auto"/>
        </w:rPr>
        <w:t>”), which operates its healthcare business as EMD Serono in the U.S. and Canada, to exclusively discover two targeted protein degraders against critical oncogenic proteins that C4T has progressed within its internal discovery pipeline.</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License Agreement, C4T grants MKDG a worldwide, exclusive license under certain of C4T’s intellectual property rights to discover two targeted protein degraders against critical oncogenic proteins. MKDG is responsible for all development, regulatory approval, manufacturing and commercialization costs. Under the terms of the License Agreement, MKDG has agreed to make an upfront cash payment of $16.0 million and will fund C4T’s discovery research efforts. C4T is eligible to receive approximately $740 million in aggregate in discovery, regulatory, and commercial milestone payments across the collaboration, plus tiered royalties on net sales. Royalties payable from MKDG to C4T range from mid-single digit to low-double digit percent, subject to reductions under certain circumstances as described in the License Agreement.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License Agreement, the royalty term for all contemplated royalties shall terminate on a product-by-product and country-by-country basis on the latest of (i) the ten (10) year anniversary of the first commercial sale of such product in such country, and (ii) the expiration of the last-to-expire licensed patent that covers such product in such country.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License Agreement includes customary representations and warranties, covenants and indemnification obligations for a transaction of this nature. The License Agreement became effective upon signing and will continue until all of MKDG’s applicable payment obligations under the License Agreement have been performed or have expired, or the agreement is earlier terminated. Under the terms of the License Agreement, each of C4T and MKDG has the right to terminate the License Agreement for material breach by, or insolvency of, the other party. MKDG may also terminate the License Agreement in its entirety, or on a product-by-product or country-by-country basis, for convenience upon sixty (60) days’ notice.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License Agreement is only a summary and is qualified in its entirety by reference to the License Agreement, a copy of which C4T intends to file as an exhibit to C4T’s Quarterly Report on Form 10-Q for the period ending March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7.01 Regulation FD Disclosure.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4, 2024, C4T issued a press release relating to the License Agreement. A copy of this press release is attached hereto as Exhibit 99.1 and is incorporated herein by reference.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is being furnished and shall not be deemed “filed” for the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9" w:lineRule="exact"/>
        <w:rPr>
          <w:sz w:val="20"/>
          <w:szCs w:val="20"/>
          <w:color w:val="auto"/>
        </w:rPr>
      </w:pPr>
    </w:p>
    <w:p>
      <w:pPr>
        <w:ind w:right="4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u w:val="single" w:color="auto"/>
          <w:color w:val="212529"/>
        </w:rPr>
        <w:t>Exhibits</w:t>
      </w:r>
      <w:r>
        <w:rPr>
          <w:rFonts w:ascii="Times New Roman" w:cs="Times New Roman" w:eastAsia="Times New Roman" w:hAnsi="Times New Roman"/>
          <w:sz w:val="18"/>
          <w:szCs w:val="18"/>
          <w:color w:val="212529"/>
        </w:rPr>
        <w:t>. The exhibits shall be deemed to be filed or furnished, depending on the relevant item requiring such exhibit, in accordance with the provisions of Item 601 of Regulation S-K (17 CFR 229.601) and Instruction B.2 to this form.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66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76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March 4, 2024</w:t>
            </w:r>
          </w:p>
        </w:tc>
        <w:tc>
          <w:tcPr>
            <w:tcW w:w="76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360" w:lineRule="exact"/>
        <w:rPr>
          <w:sz w:val="20"/>
          <w:szCs w:val="20"/>
          <w:color w:val="auto"/>
        </w:rPr>
      </w:pPr>
    </w:p>
    <w:p>
      <w:pPr>
        <w:ind w:left="20"/>
        <w:spacing w:after="0"/>
        <w:tabs>
          <w:tab w:leader="none" w:pos="5400" w:val="left"/>
          <w:tab w:leader="none" w:pos="5820" w:val="left"/>
        </w:tabs>
        <w:rPr>
          <w:sz w:val="20"/>
          <w:szCs w:val="20"/>
          <w:color w:val="auto"/>
        </w:rPr>
      </w:pPr>
      <w:r>
        <w:rPr>
          <w:rFonts w:ascii="Times New Roman" w:cs="Times New Roman" w:eastAsia="Times New Roman" w:hAnsi="Times New Roman"/>
          <w:sz w:val="18"/>
          <w:szCs w:val="18"/>
          <w:color w:val="auto"/>
        </w:rPr>
        <w:t xml:space="preserve">Date: March </w:t>
      </w:r>
      <w:r>
        <w:rPr>
          <w:rFonts w:ascii="Times New Roman" w:cs="Times New Roman" w:eastAsia="Times New Roman" w:hAnsi="Times New Roman"/>
          <w:sz w:val="18"/>
          <w:szCs w:val="18"/>
          <w:color w:val="212529"/>
        </w:rPr>
        <w:t>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Jolie M.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43180</wp:posOffset>
            </wp:positionV>
            <wp:extent cx="342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Jolie M. Siegel</w:t>
      </w:r>
    </w:p>
    <w:p>
      <w:pPr>
        <w:spacing w:after="0" w:line="9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ectPr>
          <w:pgSz w:w="11900" w:h="16838" w:orient="portrait"/>
          <w:cols w:equalWidth="0" w:num="1">
            <w:col w:w="11200"/>
          </w:cols>
          <w:pgMar w:left="320" w:top="1143" w:right="379" w:bottom="1440" w:gutter="0" w:footer="0" w:header="0"/>
        </w:sectPr>
      </w:pPr>
    </w:p>
    <w:bookmarkStart w:id="3" w:name="page4"/>
    <w:bookmarkEnd w:id="3"/>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0274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40" w:right="60"/>
        <w:spacing w:after="0" w:line="287" w:lineRule="auto"/>
        <w:rPr>
          <w:sz w:val="20"/>
          <w:szCs w:val="20"/>
          <w:color w:val="auto"/>
        </w:rPr>
      </w:pPr>
      <w:r>
        <w:rPr>
          <w:rFonts w:ascii="Times New Roman" w:cs="Times New Roman" w:eastAsia="Times New Roman" w:hAnsi="Times New Roman"/>
          <w:sz w:val="20"/>
          <w:szCs w:val="20"/>
          <w:b w:val="1"/>
          <w:bCs w:val="1"/>
          <w:color w:val="auto"/>
        </w:rPr>
        <w:t>C4 Therapeutics Announces Strategic Discovery Research Collaboration with Merck KGaA, Darmstadt, Germany, Against Critical Oncogenic Proteins</w:t>
      </w:r>
    </w:p>
    <w:p>
      <w:pPr>
        <w:spacing w:after="0" w:line="3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i w:val="1"/>
          <w:iCs w:val="1"/>
          <w:color w:val="auto"/>
        </w:rPr>
        <w:t>Collaboration Focused on Two Targeted Protein Degraders from C4T’s Internal Discovery Pipeline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i w:val="1"/>
          <w:iCs w:val="1"/>
          <w:color w:val="auto"/>
        </w:rPr>
        <w:t>C4T to Receive a $16 Million Upfront Payment; Merck KGaA, Darmstadt, Germany, to Cover Discovery Research Costs Under the</w:t>
      </w:r>
    </w:p>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i w:val="1"/>
          <w:iCs w:val="1"/>
          <w:color w:val="auto"/>
        </w:rPr>
        <w:t>Collaboration</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C4T Eligible for up to Approximately $740 Million in Discovery, Development and Commercial Milestone Payments, in Addition to Future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Royalties, Across Entire Collaboration</w:t>
      </w:r>
    </w:p>
    <w:p>
      <w:pPr>
        <w:spacing w:after="0" w:line="20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WATERTOWN, Mass., March 4, 2024 (GLOBE NEWSWIRE) -- C4 Therapeutics, Inc. (C4T) (Nasdaq: CCCC), a clinical-stage biopharmaceutical company dedicated to advancing targeted protein degradation science, today announced it has entered into a license and collaboration agreement with Merck KGaA, Darmstadt, Germany, which operates its healthcare business as EMD Serono in the U.S. and Canada, to exclusively discover two targeted protein degraders against critical oncogenic proteins that C4T has progressed within its internal discovery pipeline.</w:t>
      </w:r>
    </w:p>
    <w:p>
      <w:pPr>
        <w:spacing w:after="0" w:line="6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“We look forward to partnering with Merck KGaA, Darmstadt, Germany, and leveraging our collective strengths to advance an exciting program from C4T’s internal oncology pipeline that has the potential to transform how cancer is treated,” said Andrew Hirsch, president and chief executive officer of C4 Therapeutics. “This new partnership highlights C4T’s differentiated approach to targeted protein degradation science and our strong track record of designing novel targeted protein degrader medicines with desirable drug-like properties that have the potential to treat patients with unmet medical needs.”</w:t>
      </w:r>
    </w:p>
    <w:p>
      <w:pPr>
        <w:spacing w:after="0" w:line="6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9"/>
          <w:szCs w:val="19"/>
          <w:color w:val="auto"/>
        </w:rPr>
        <w:t>“The collaboration adds to Merck KGaA, Darmstadt, Germany's growing portfolio of targeted protein degradation projects and accelerates our efforts to expand our presence in this highly dynamic field,” said Paul Lyne, Head of Research Unit Oncology at the Healthcare business sector of Merck KGaA, Darmstadt, Germany. “We look forward to capitalizing on C4 Therapeutics’ experience in advancing degrader candidates targeting disease-causing proteins from discovery to the clinical stage, with the shared goal of improving patient outcomes.”</w:t>
      </w:r>
    </w:p>
    <w:p>
      <w:pPr>
        <w:spacing w:after="0" w:line="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Under the terms of the agreement, C4T and Merck KGaA, Darmstadt, Germany, will collaborate to discover two targeted protein degraders against critical oncogenic proteins. C4T will receive an upfront payment of $16 million. Merck KGaA Darmstadt, Germany, will fund C4T’s discovery research efforts. C4T has the potential to receive up to approximately $740 million in discovery, regulatory, and commercial milestone payments across the collaboration. In addition, C4T is eligible for mid-single to low-double digit tiered royalties on future sales for each program.</w:t>
      </w:r>
    </w:p>
    <w:p>
      <w:pPr>
        <w:spacing w:after="0" w:line="8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0"/>
          <w:szCs w:val="20"/>
          <w:color w:val="auto"/>
        </w:rPr>
        <w:t>As part of the collaboration, C4T will utilize its proprietary TORPEDO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platform to discover degraders targeting the partnership’s oncogenic proteins of interest. Merck KGaA, Darmstadt, Germany, will be responsible for clinical development and commercialization for drug candidates coming out of these programs.</w:t>
      </w:r>
    </w:p>
    <w:p>
      <w:pPr>
        <w:spacing w:after="0" w:line="77"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b w:val="1"/>
          <w:bCs w:val="1"/>
          <w:color w:val="auto"/>
        </w:rPr>
        <w:t xml:space="preserve">About C4 Therapeutics </w:t>
      </w:r>
      <w:r>
        <w:rPr>
          <w:rFonts w:ascii="Times New Roman" w:cs="Times New Roman" w:eastAsia="Times New Roman" w:hAnsi="Times New Roman"/>
          <w:sz w:val="20"/>
          <w:szCs w:val="20"/>
          <w:color w:val="auto"/>
        </w:rPr>
        <w:t>C4 Therapeutics (C4T) (Nasdaq: CCCC) is a clinical-stage biopharmaceutical company dedicated to delivering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promise of targeted protein degradation science to create a new generation of medicines that transforms patients’ lives. C4T is progressing targeted oncology programs through clinical studies and leveraging its TORPEDO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platform to efficiently design and optimize small-</w:t>
      </w:r>
    </w:p>
    <w:p>
      <w:pPr>
        <w:sectPr>
          <w:pgSz w:w="11900" w:h="16838" w:orient="portrait"/>
          <w:cols w:equalWidth="0" w:num="1">
            <w:col w:w="11240"/>
          </w:cols>
          <w:pgMar w:left="320" w:top="1440" w:right="339" w:bottom="1440" w:gutter="0" w:footer="0" w:header="0"/>
        </w:sectPr>
      </w:pPr>
    </w:p>
    <w:bookmarkStart w:id="4" w:name="page5"/>
    <w:bookmarkEnd w:id="4"/>
    <w:p>
      <w:pPr>
        <w:spacing w:after="0" w:line="8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 xml:space="preserve">molecule medicines to address difficult-to-treat diseases. C4T’s degrader medicines are designed to harness the body’s natural protein recycling system to rapidly degrade disease-causing proteins, offering the potential to overcome drug resistance, drug undruggable targets and improve patient outcomes. For more information, please visit </w:t>
      </w:r>
      <w:r>
        <w:rPr>
          <w:rFonts w:ascii="Times New Roman" w:cs="Times New Roman" w:eastAsia="Times New Roman" w:hAnsi="Times New Roman"/>
          <w:sz w:val="20"/>
          <w:szCs w:val="20"/>
          <w:color w:val="3051F2"/>
        </w:rPr>
        <w:t>www.c4therapeutics.com</w:t>
      </w:r>
      <w:r>
        <w:rPr>
          <w:rFonts w:ascii="Times New Roman" w:cs="Times New Roman" w:eastAsia="Times New Roman" w:hAnsi="Times New Roman"/>
          <w:sz w:val="20"/>
          <w:szCs w:val="20"/>
          <w:color w:val="auto"/>
        </w:rPr>
        <w:t>.</w:t>
      </w:r>
    </w:p>
    <w:p>
      <w:pPr>
        <w:spacing w:after="0" w:line="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Forward-Looking Statements </w:t>
      </w:r>
      <w:r>
        <w:rPr>
          <w:rFonts w:ascii="Times New Roman" w:cs="Times New Roman" w:eastAsia="Times New Roman" w:hAnsi="Times New Roman"/>
          <w:sz w:val="20"/>
          <w:szCs w:val="20"/>
          <w:color w:val="auto"/>
        </w:rPr>
        <w:t>This press release contains “forward-looking statements” of C4 Therapeutics, Inc. within the meaning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Private Securities Litigation Reform Act of 1995. These forward-looking statements may include, but may not be limited to, express or implied statements regarding our ability to develop potential therapies for patients; the design and potential efficacy of our therapeutic approaches; the predictive capability of our TORPEDO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platform in the development of novel, selective, orally bioavailable BiDAC™ and MonoDAC™ degraders; our ability to achieve potential future milestone or royalty payments; and our ability to fund our future operations. 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For a discussion of the risks and uncertainties, and other important factors, any of which could cause our actual results to differ from those contained in the forward-looking statements, see the section entitled “Risk Factors” in C4 Therapeutics’ most recent Annual Report on Form 10-K and/or Quarterly Report on Form 10-Q, as filed with the Securities and Exchange Commission. All information in this press release is as of the date of the release and C4 Therapeutics undertakes no duty to update this information unless required by law.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Courtney Solberg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Manager,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CSolberg@c4therapeutics.com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Loraine Spreen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Corporate Communications &amp; Patient Advocacy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LSpreen@c4therapeutics.co</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2024-03-04T06:09:20Z</dcterms:created>
  <dcterms:modified xsi:type="dcterms:W3CDTF">2024-03-04T06:09:20Z</dcterms:modified>
</cp:coreProperties>
</file>