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843280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212529"/>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212529"/>
        </w:rPr>
        <w:t>SECURITIES AND EXCHANGE COMMISSION</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212529"/>
        </w:rPr>
        <w:t>WASHINGTON, D.C. 20549</w:t>
      </w:r>
    </w:p>
    <w:p>
      <w:pPr>
        <w:ind w:left="3680"/>
        <w:spacing w:after="0"/>
        <w:rPr>
          <w:sz w:val="20"/>
          <w:szCs w:val="20"/>
          <w:color w:val="auto"/>
        </w:rPr>
      </w:pPr>
      <w:r>
        <w:rPr>
          <w:rFonts w:ascii="Arial" w:cs="Arial" w:eastAsia="Arial" w:hAnsi="Arial"/>
          <w:sz w:val="11"/>
          <w:szCs w:val="11"/>
          <w:color w:val="auto"/>
        </w:rPr>
        <w:t>_________________________________________________________________</w:t>
      </w:r>
    </w:p>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212529"/>
        </w:rPr>
        <w:t>FORM 8-K</w:t>
      </w:r>
    </w:p>
    <w:p>
      <w:pPr>
        <w:spacing w:after="0" w:line="54" w:lineRule="exact"/>
        <w:rPr>
          <w:sz w:val="24"/>
          <w:szCs w:val="24"/>
          <w:color w:val="auto"/>
        </w:rPr>
      </w:pPr>
    </w:p>
    <w:p>
      <w:pPr>
        <w:ind w:left="3680"/>
        <w:spacing w:after="0"/>
        <w:rPr>
          <w:sz w:val="20"/>
          <w:szCs w:val="20"/>
          <w:color w:val="auto"/>
        </w:rPr>
      </w:pPr>
      <w:r>
        <w:rPr>
          <w:rFonts w:ascii="Arial" w:cs="Arial" w:eastAsia="Arial" w:hAnsi="Arial"/>
          <w:sz w:val="11"/>
          <w:szCs w:val="11"/>
          <w:color w:val="auto"/>
        </w:rPr>
        <w:t>_________________________________________________________________</w:t>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212529"/>
        </w:rPr>
        <w:t>CURRENT REPORT</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212529"/>
        </w:rPr>
        <w:t>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May 15, 2026 (May 12, 2026)</w:t>
      </w:r>
    </w:p>
    <w:p>
      <w:pPr>
        <w:spacing w:after="0" w:line="28" w:lineRule="exact"/>
        <w:rPr>
          <w:sz w:val="24"/>
          <w:szCs w:val="24"/>
          <w:color w:val="auto"/>
        </w:rPr>
      </w:pPr>
    </w:p>
    <w:p>
      <w:pPr>
        <w:ind w:left="3680"/>
        <w:spacing w:after="0"/>
        <w:rPr>
          <w:sz w:val="20"/>
          <w:szCs w:val="20"/>
          <w:color w:val="auto"/>
        </w:rPr>
      </w:pPr>
      <w:r>
        <w:rPr>
          <w:rFonts w:ascii="Arial" w:cs="Arial" w:eastAsia="Arial" w:hAnsi="Arial"/>
          <w:sz w:val="11"/>
          <w:szCs w:val="11"/>
          <w:color w:val="auto"/>
        </w:rPr>
        <w:t>_________________________________________________________________</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212529"/>
        </w:rPr>
        <w:t>C4 THERAPEUTICS, INC.</w:t>
      </w:r>
    </w:p>
    <w:p>
      <w:pPr>
        <w:sectPr>
          <w:pgSz w:w="11900" w:h="16838" w:orient="portrait"/>
          <w:cols w:equalWidth="0" w:num="1">
            <w:col w:w="11220"/>
          </w:cols>
          <w:pgMar w:left="320" w:top="1440" w:right="359" w:bottom="1440" w:gutter="0" w:footer="0" w:header="0"/>
        </w:sectPr>
      </w:pPr>
    </w:p>
    <w:p>
      <w:pPr>
        <w:spacing w:after="0" w:line="63" w:lineRule="exact"/>
        <w:rPr>
          <w:sz w:val="24"/>
          <w:szCs w:val="24"/>
          <w:color w:val="auto"/>
        </w:rPr>
      </w:pPr>
    </w:p>
    <w:tbl>
      <w:tblPr>
        <w:tblLayout w:type="fixed"/>
        <w:tblInd w:w="660" w:type="dxa"/>
        <w:tblCellMar>
          <w:top w:w="0" w:type="dxa"/>
          <w:left w:w="0" w:type="dxa"/>
          <w:bottom w:w="0" w:type="dxa"/>
          <w:right w:w="0" w:type="dxa"/>
        </w:tblCellMar>
      </w:tblPr>
      <w:tr>
        <w:trPr>
          <w:trHeight w:val="169"/>
        </w:trPr>
        <w:tc>
          <w:tcPr>
            <w:tcW w:w="2740" w:type="dxa"/>
            <w:vAlign w:val="bottom"/>
          </w:tcPr>
          <w:p>
            <w:pPr>
              <w:spacing w:after="0"/>
              <w:rPr>
                <w:sz w:val="14"/>
                <w:szCs w:val="14"/>
                <w:color w:val="auto"/>
              </w:rPr>
            </w:pPr>
          </w:p>
        </w:tc>
        <w:tc>
          <w:tcPr>
            <w:tcW w:w="41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212529"/>
              </w:rPr>
              <w:t>(Exact name of Registrant as Specified in Its Charter)</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4180" w:type="dxa"/>
            <w:vAlign w:val="bottom"/>
          </w:tcPr>
          <w:p>
            <w:pPr>
              <w:jc w:val="center"/>
              <w:ind w:left="208"/>
              <w:spacing w:after="0"/>
              <w:rPr>
                <w:sz w:val="20"/>
                <w:szCs w:val="20"/>
                <w:color w:val="auto"/>
              </w:rPr>
            </w:pPr>
            <w:r>
              <w:rPr>
                <w:rFonts w:ascii="Arial" w:cs="Arial" w:eastAsia="Arial" w:hAnsi="Arial"/>
                <w:sz w:val="11"/>
                <w:szCs w:val="11"/>
                <w:color w:val="auto"/>
                <w:w w:val="98"/>
              </w:rPr>
              <w:t>_________________________________________________________________</w:t>
            </w:r>
          </w:p>
        </w:tc>
        <w:tc>
          <w:tcPr>
            <w:tcW w:w="0" w:type="dxa"/>
            <w:vAlign w:val="bottom"/>
          </w:tcPr>
          <w:p>
            <w:pPr>
              <w:spacing w:after="0"/>
              <w:rPr>
                <w:sz w:val="1"/>
                <w:szCs w:val="1"/>
                <w:color w:val="auto"/>
              </w:rPr>
            </w:pPr>
          </w:p>
        </w:tc>
      </w:tr>
      <w:tr>
        <w:trPr>
          <w:trHeight w:val="493"/>
        </w:trPr>
        <w:tc>
          <w:tcPr>
            <w:tcW w:w="274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80" w:type="dxa"/>
            <w:vAlign w:val="bottom"/>
          </w:tcPr>
          <w:p>
            <w:pPr>
              <w:jc w:val="center"/>
              <w:ind w:left="168"/>
              <w:spacing w:after="0"/>
              <w:rPr>
                <w:sz w:val="20"/>
                <w:szCs w:val="20"/>
                <w:color w:val="auto"/>
              </w:rPr>
            </w:pPr>
            <w:r>
              <w:rPr>
                <w:rFonts w:ascii="Times New Roman" w:cs="Times New Roman" w:eastAsia="Times New Roman" w:hAnsi="Times New Roman"/>
                <w:sz w:val="18"/>
                <w:szCs w:val="18"/>
                <w:b w:val="1"/>
                <w:bCs w:val="1"/>
                <w:color w:val="auto"/>
                <w:w w:val="99"/>
              </w:rPr>
              <w:t>001-39567</w:t>
            </w:r>
          </w:p>
        </w:tc>
        <w:tc>
          <w:tcPr>
            <w:tcW w:w="0" w:type="dxa"/>
            <w:vAlign w:val="bottom"/>
          </w:tcPr>
          <w:p>
            <w:pPr>
              <w:spacing w:after="0"/>
              <w:rPr>
                <w:sz w:val="1"/>
                <w:szCs w:val="1"/>
                <w:color w:val="auto"/>
              </w:rPr>
            </w:pPr>
          </w:p>
        </w:tc>
      </w:tr>
      <w:tr>
        <w:trPr>
          <w:trHeight w:val="178"/>
        </w:trPr>
        <w:tc>
          <w:tcPr>
            <w:tcW w:w="274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1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0" w:type="dxa"/>
            <w:vAlign w:val="bottom"/>
          </w:tcPr>
          <w:p>
            <w:pPr>
              <w:spacing w:after="0"/>
              <w:rPr>
                <w:sz w:val="1"/>
                <w:szCs w:val="1"/>
                <w:color w:val="auto"/>
              </w:rPr>
            </w:pPr>
          </w:p>
        </w:tc>
      </w:tr>
      <w:tr>
        <w:trPr>
          <w:trHeight w:val="190"/>
        </w:trPr>
        <w:tc>
          <w:tcPr>
            <w:tcW w:w="274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74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490 Arsenal Way,  Suite 120</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74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Watertown, MA</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4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5" w:lineRule="exact"/>
        <w:rPr>
          <w:sz w:val="24"/>
          <w:szCs w:val="24"/>
          <w:color w:val="auto"/>
        </w:rPr>
      </w:pPr>
    </w:p>
    <w:p>
      <w:pPr>
        <w:jc w:val="center"/>
        <w:ind w:left="2940"/>
        <w:spacing w:after="0"/>
        <w:rPr>
          <w:sz w:val="20"/>
          <w:szCs w:val="20"/>
          <w:color w:val="auto"/>
        </w:rPr>
      </w:pPr>
      <w:r>
        <w:rPr>
          <w:rFonts w:ascii="Times New Roman" w:cs="Times New Roman" w:eastAsia="Times New Roman" w:hAnsi="Times New Roman"/>
          <w:sz w:val="17"/>
          <w:szCs w:val="17"/>
          <w:b w:val="1"/>
          <w:bCs w:val="1"/>
          <w:color w:val="212529"/>
        </w:rPr>
        <w:t>Registrant’s Telephone Number, Including Area Code: (617) 231-0700</w:t>
      </w:r>
    </w:p>
    <w:p>
      <w:pPr>
        <w:spacing w:after="0" w:line="237" w:lineRule="exact"/>
        <w:rPr>
          <w:sz w:val="24"/>
          <w:szCs w:val="24"/>
          <w:color w:val="auto"/>
        </w:rPr>
      </w:pPr>
    </w:p>
    <w:p>
      <w:pPr>
        <w:jc w:val="center"/>
        <w:ind w:left="2940"/>
        <w:spacing w:after="0"/>
        <w:rPr>
          <w:sz w:val="20"/>
          <w:szCs w:val="20"/>
          <w:color w:val="auto"/>
        </w:rPr>
      </w:pPr>
      <w:r>
        <w:rPr>
          <w:rFonts w:ascii="Times New Roman" w:cs="Times New Roman" w:eastAsia="Times New Roman" w:hAnsi="Times New Roman"/>
          <w:sz w:val="18"/>
          <w:szCs w:val="18"/>
          <w:b w:val="1"/>
          <w:bCs w:val="1"/>
          <w:color w:val="212529"/>
        </w:rPr>
        <w:t>Not Applicable</w:t>
      </w:r>
    </w:p>
    <w:p>
      <w:pPr>
        <w:spacing w:after="0" w:line="2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212529"/>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47-5617627</w:t>
      </w:r>
    </w:p>
    <w:p>
      <w:pPr>
        <w:spacing w:after="0" w:line="6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28"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02472</w:t>
      </w:r>
    </w:p>
    <w:p>
      <w:pPr>
        <w:spacing w:after="0" w:line="6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03" w:lineRule="exact"/>
        <w:rPr>
          <w:sz w:val="24"/>
          <w:szCs w:val="24"/>
          <w:color w:val="auto"/>
        </w:rPr>
      </w:pPr>
    </w:p>
    <w:p>
      <w:pPr>
        <w:sectPr>
          <w:pgSz w:w="11900" w:h="16838" w:orient="portrait"/>
          <w:cols w:equalWidth="0" w:num="2">
            <w:col w:w="8300" w:space="500"/>
            <w:col w:w="2420"/>
          </w:cols>
          <w:pgMar w:left="320" w:top="1440" w:right="359" w:bottom="1440" w:gutter="0" w:footer="0" w:header="0"/>
          <w:type w:val="continuous"/>
        </w:sectPr>
      </w:pPr>
    </w:p>
    <w:p>
      <w:pPr>
        <w:ind w:left="3680"/>
        <w:spacing w:after="0"/>
        <w:rPr>
          <w:sz w:val="20"/>
          <w:szCs w:val="20"/>
          <w:color w:val="auto"/>
        </w:rPr>
      </w:pPr>
      <w:r>
        <w:rPr>
          <w:rFonts w:ascii="Arial" w:cs="Arial" w:eastAsia="Arial" w:hAnsi="Arial"/>
          <w:sz w:val="11"/>
          <w:szCs w:val="11"/>
          <w:color w:val="auto"/>
        </w:rPr>
        <w:t>_________________________________________________________________</w:t>
      </w:r>
    </w:p>
    <w:p>
      <w:pPr>
        <w:spacing w:after="0" w:line="203"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vMerge w:val="restart"/>
          </w:tcPr>
          <w:p>
            <w:pPr>
              <w:spacing w:after="0"/>
              <w:rPr>
                <w:sz w:val="13"/>
                <w:szCs w:val="13"/>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80" w:type="dxa"/>
            <w:vAlign w:val="bottom"/>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CCCC</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333"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Emerging growth company </w:t>
      </w:r>
      <w:r>
        <w:rPr>
          <w:rFonts w:ascii="Wingdings" w:cs="Wingdings" w:eastAsia="Wingdings" w:hAnsi="Wingdings"/>
          <w:sz w:val="18"/>
          <w:szCs w:val="18"/>
          <w:b w:val="1"/>
          <w:bCs w:val="1"/>
          <w:color w:val="212529"/>
        </w:rPr>
        <w:t>o</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Principal Accounting Officer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12, 2026, C4 Therapeutics, Inc. (the “Company”) determined that Mark Mossler will no longer serve as the Company’s Chief Accounting Officer, effective May 15, 2026. Mr. Mossler’s departure from the Company is not due to any disagreement with the Company or the Company’s Board of Directors on any matter relating to the Company’s financial reporting, operations, policies or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Principal Accounting Officer</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Kendra R. Adams, the Company’s Chief Financial Officer, Head of Corporate Affairs and Treasurer, has been designated as the Company’s principal accounting officer, effective May 15, 2026. Information regarding Ms. Adams’ background and business experience, contracts between the Company and Ms. Adams and any related party transactions involving Ms. Adams is incorporated by reference herein from the Company’s 2026 definitive proxy statement on Schedule 14A, which was filed with the U.S. Securities and Exchange Commission on April 29, 2026. Ms. Adams will not receive any additional compensation for assuming the additional role of principal accounting officer, and no changes have been made to any plans or arrangements in which Ms. Adams participates as a result of this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360" w:lineRule="exact"/>
        <w:rPr>
          <w:sz w:val="20"/>
          <w:szCs w:val="20"/>
          <w:color w:val="auto"/>
        </w:rPr>
      </w:pPr>
    </w:p>
    <w:p>
      <w:pPr>
        <w:ind w:left="20"/>
        <w:spacing w:after="0"/>
        <w:tabs>
          <w:tab w:leader="none" w:pos="5400" w:val="left"/>
          <w:tab w:leader="none" w:pos="582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color w:val="212529"/>
        </w:rPr>
        <w:t>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43180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8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Kendra R. Adams</w:t>
      </w:r>
    </w:p>
    <w:p>
      <w:pPr>
        <w:spacing w:after="0" w:line="9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2026-05-15T15:13:36Z</dcterms:created>
  <dcterms:modified xsi:type="dcterms:W3CDTF">2026-05-15T15:13:36Z</dcterms:modified>
</cp:coreProperties>
</file>