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9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955" cy="8255"/>
                    </a:xfrm>
                    <a:prstGeom prst="rect">
                      <a:avLst/>
                    </a:prstGeom>
                    <a:noFill/>
                  </pic:spPr>
                </pic:pic>
              </a:graphicData>
            </a:graphic>
          </wp:anchor>
        </w:drawing>
        <w:t>UNITED STATES</w:t>
      </w:r>
    </w:p>
    <w:p>
      <w:pPr>
        <w:spacing w:after="0" w:line="29"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64135</wp:posOffset>
            </wp:positionV>
            <wp:extent cx="14198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9860" cy="8255"/>
                    </a:xfrm>
                    <a:prstGeom prst="rect">
                      <a:avLst/>
                    </a:prstGeom>
                    <a:noFill/>
                  </pic:spPr>
                </pic:pic>
              </a:graphicData>
            </a:graphic>
          </wp:anchor>
        </w:drawing>
      </w:r>
    </w:p>
    <w:p>
      <w:pPr>
        <w:spacing w:after="0" w:line="120"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83185</wp:posOffset>
            </wp:positionV>
            <wp:extent cx="14198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9860" cy="8255"/>
                    </a:xfrm>
                    <a:prstGeom prst="rect">
                      <a:avLst/>
                    </a:prstGeom>
                    <a:noFill/>
                  </pic:spPr>
                </pic:pic>
              </a:graphicData>
            </a:graphic>
          </wp:anchor>
        </w:drawing>
      </w:r>
    </w:p>
    <w:p>
      <w:pPr>
        <w:spacing w:after="0" w:line="18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660" w:right="1680" w:hanging="3652"/>
        <w:spacing w:after="0" w:line="343" w:lineRule="auto"/>
        <w:tabs>
          <w:tab w:leader="none" w:pos="464"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2021</w:t>
      </w:r>
    </w:p>
    <w:p>
      <w:pPr>
        <w:spacing w:after="0" w:line="257" w:lineRule="exact"/>
        <w:rPr>
          <w:sz w:val="24"/>
          <w:szCs w:val="24"/>
          <w:color w:val="auto"/>
        </w:rPr>
      </w:pPr>
    </w:p>
    <w:p>
      <w:pPr>
        <w:ind w:left="2620" w:right="1660" w:hanging="2612"/>
        <w:spacing w:after="0" w:line="355" w:lineRule="auto"/>
        <w:tabs>
          <w:tab w:leader="none" w:pos="469"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 For the transition period from ___________________ to ___________________</w:t>
      </w:r>
    </w:p>
    <w:p>
      <w:pPr>
        <w:ind w:left="4200"/>
        <w:spacing w:after="0"/>
        <w:rPr>
          <w:rFonts w:ascii="MS PGothic" w:cs="MS PGothic" w:eastAsia="MS PGothic" w:hAnsi="MS PGothic"/>
          <w:sz w:val="17"/>
          <w:szCs w:val="17"/>
          <w:color w:val="auto"/>
          <w:highlight w:val="black"/>
        </w:rPr>
      </w:pPr>
      <w:r>
        <w:rPr>
          <w:rFonts w:ascii="Arial" w:cs="Arial" w:eastAsia="Arial" w:hAnsi="Arial"/>
          <w:sz w:val="18"/>
          <w:szCs w:val="18"/>
          <w:b w:val="1"/>
          <w:bCs w:val="1"/>
          <w:color w:val="auto"/>
        </w:rPr>
        <w:t>Commission File Number: 001-39567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76835</wp:posOffset>
            </wp:positionV>
            <wp:extent cx="1419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9860" cy="8255"/>
                    </a:xfrm>
                    <a:prstGeom prst="rect">
                      <a:avLst/>
                    </a:prstGeom>
                    <a:noFill/>
                  </pic:spPr>
                </pic:pic>
              </a:graphicData>
            </a:graphic>
          </wp:anchor>
        </w:drawing>
      </w:r>
    </w:p>
    <w:p>
      <w:pPr>
        <w:spacing w:after="0" w:line="157" w:lineRule="exact"/>
        <w:rPr>
          <w:sz w:val="24"/>
          <w:szCs w:val="24"/>
          <w:color w:val="auto"/>
        </w:rPr>
      </w:pPr>
    </w:p>
    <w:tbl>
      <w:tblPr>
        <w:tblLayout w:type="fixed"/>
        <w:tblInd w:w="1620" w:type="dxa"/>
        <w:tblCellMar>
          <w:top w:w="0" w:type="dxa"/>
          <w:left w:w="0" w:type="dxa"/>
          <w:bottom w:w="0" w:type="dxa"/>
          <w:right w:w="0" w:type="dxa"/>
        </w:tblCellMar>
      </w:tblPr>
      <w:tr>
        <w:trPr>
          <w:trHeight w:val="433"/>
        </w:trPr>
        <w:tc>
          <w:tcPr>
            <w:tcW w:w="5960" w:type="dxa"/>
            <w:vAlign w:val="bottom"/>
            <w:gridSpan w:val="3"/>
          </w:tcPr>
          <w:p>
            <w:pPr>
              <w:ind w:left="2340"/>
              <w:spacing w:after="0"/>
              <w:rPr>
                <w:sz w:val="20"/>
                <w:szCs w:val="20"/>
                <w:color w:val="auto"/>
              </w:rPr>
            </w:pPr>
            <w:r>
              <w:rPr>
                <w:rFonts w:ascii="Arial" w:cs="Arial" w:eastAsia="Arial" w:hAnsi="Arial"/>
                <w:sz w:val="36"/>
                <w:szCs w:val="36"/>
                <w:b w:val="1"/>
                <w:bCs w:val="1"/>
                <w:color w:val="auto"/>
                <w:w w:val="99"/>
              </w:rPr>
              <w:t>C4 Therapeutics, Inc.</w:t>
            </w:r>
          </w:p>
        </w:tc>
        <w:tc>
          <w:tcPr>
            <w:tcW w:w="1420" w:type="dxa"/>
            <w:vAlign w:val="bottom"/>
          </w:tcPr>
          <w:p>
            <w:pPr>
              <w:spacing w:after="0"/>
              <w:rPr>
                <w:sz w:val="24"/>
                <w:szCs w:val="24"/>
                <w:color w:val="auto"/>
              </w:rPr>
            </w:pPr>
          </w:p>
        </w:tc>
      </w:tr>
      <w:tr>
        <w:trPr>
          <w:trHeight w:val="186"/>
        </w:trPr>
        <w:tc>
          <w:tcPr>
            <w:tcW w:w="5960" w:type="dxa"/>
            <w:vAlign w:val="bottom"/>
            <w:gridSpan w:val="3"/>
          </w:tcPr>
          <w:p>
            <w:pPr>
              <w:ind w:left="2360"/>
              <w:spacing w:after="0"/>
              <w:rPr>
                <w:sz w:val="20"/>
                <w:szCs w:val="20"/>
                <w:color w:val="auto"/>
              </w:rPr>
            </w:pPr>
            <w:r>
              <w:rPr>
                <w:rFonts w:ascii="Arial" w:cs="Arial" w:eastAsia="Arial" w:hAnsi="Arial"/>
                <w:sz w:val="14"/>
                <w:szCs w:val="14"/>
                <w:b w:val="1"/>
                <w:bCs w:val="1"/>
                <w:color w:val="auto"/>
              </w:rPr>
              <w:t>(Exact Name of Registrant as Specified in its Charter)</w:t>
            </w:r>
          </w:p>
        </w:tc>
        <w:tc>
          <w:tcPr>
            <w:tcW w:w="1420" w:type="dxa"/>
            <w:vAlign w:val="bottom"/>
          </w:tcPr>
          <w:p>
            <w:pPr>
              <w:spacing w:after="0"/>
              <w:rPr>
                <w:sz w:val="16"/>
                <w:szCs w:val="16"/>
                <w:color w:val="auto"/>
              </w:rPr>
            </w:pPr>
          </w:p>
        </w:tc>
      </w:tr>
      <w:tr>
        <w:trPr>
          <w:trHeight w:val="79"/>
        </w:trPr>
        <w:tc>
          <w:tcPr>
            <w:tcW w:w="2880" w:type="dxa"/>
            <w:vAlign w:val="bottom"/>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c>
          <w:tcPr>
            <w:tcW w:w="840" w:type="dxa"/>
            <w:vAlign w:val="bottom"/>
          </w:tcPr>
          <w:p>
            <w:pPr>
              <w:spacing w:after="0"/>
              <w:rPr>
                <w:sz w:val="6"/>
                <w:szCs w:val="6"/>
                <w:color w:val="auto"/>
              </w:rPr>
            </w:pPr>
          </w:p>
        </w:tc>
        <w:tc>
          <w:tcPr>
            <w:tcW w:w="1420" w:type="dxa"/>
            <w:vAlign w:val="bottom"/>
          </w:tcPr>
          <w:p>
            <w:pPr>
              <w:spacing w:after="0"/>
              <w:rPr>
                <w:sz w:val="6"/>
                <w:szCs w:val="6"/>
                <w:color w:val="auto"/>
              </w:rPr>
            </w:pPr>
          </w:p>
        </w:tc>
      </w:tr>
      <w:tr>
        <w:trPr>
          <w:trHeight w:val="254"/>
        </w:trPr>
        <w:tc>
          <w:tcPr>
            <w:tcW w:w="5960" w:type="dxa"/>
            <w:vAlign w:val="bottom"/>
            <w:gridSpan w:val="3"/>
          </w:tcPr>
          <w:p>
            <w:pPr>
              <w:jc w:val="center"/>
              <w:ind w:right="3580"/>
              <w:spacing w:after="0"/>
              <w:rPr>
                <w:sz w:val="20"/>
                <w:szCs w:val="20"/>
                <w:color w:val="auto"/>
              </w:rPr>
            </w:pPr>
            <w:r>
              <w:rPr>
                <w:rFonts w:ascii="Arial" w:cs="Arial" w:eastAsia="Arial" w:hAnsi="Arial"/>
                <w:sz w:val="16"/>
                <w:szCs w:val="16"/>
                <w:b w:val="1"/>
                <w:bCs w:val="1"/>
                <w:color w:val="auto"/>
                <w:w w:val="93"/>
              </w:rPr>
              <w:t>Delaware</w:t>
            </w:r>
          </w:p>
        </w:tc>
        <w:tc>
          <w:tcPr>
            <w:tcW w:w="1420" w:type="dxa"/>
            <w:vAlign w:val="bottom"/>
          </w:tcPr>
          <w:p>
            <w:pPr>
              <w:jc w:val="right"/>
              <w:ind w:right="105"/>
              <w:spacing w:after="0"/>
              <w:rPr>
                <w:sz w:val="20"/>
                <w:szCs w:val="20"/>
                <w:color w:val="auto"/>
              </w:rPr>
            </w:pPr>
            <w:r>
              <w:rPr>
                <w:rFonts w:ascii="Arial" w:cs="Arial" w:eastAsia="Arial" w:hAnsi="Arial"/>
                <w:sz w:val="16"/>
                <w:szCs w:val="16"/>
                <w:b w:val="1"/>
                <w:bCs w:val="1"/>
                <w:color w:val="auto"/>
              </w:rPr>
              <w:t>47-5617627</w:t>
            </w:r>
          </w:p>
        </w:tc>
      </w:tr>
      <w:tr>
        <w:trPr>
          <w:trHeight w:val="148"/>
        </w:trPr>
        <w:tc>
          <w:tcPr>
            <w:tcW w:w="5960" w:type="dxa"/>
            <w:vAlign w:val="bottom"/>
            <w:gridSpan w:val="3"/>
          </w:tcPr>
          <w:p>
            <w:pPr>
              <w:jc w:val="center"/>
              <w:ind w:right="3560"/>
              <w:spacing w:after="0" w:line="148" w:lineRule="exact"/>
              <w:rPr>
                <w:sz w:val="20"/>
                <w:szCs w:val="20"/>
                <w:color w:val="auto"/>
              </w:rPr>
            </w:pPr>
            <w:r>
              <w:rPr>
                <w:rFonts w:ascii="Arial" w:cs="Arial" w:eastAsia="Arial" w:hAnsi="Arial"/>
                <w:sz w:val="14"/>
                <w:szCs w:val="14"/>
                <w:b w:val="1"/>
                <w:bCs w:val="1"/>
                <w:color w:val="auto"/>
                <w:w w:val="93"/>
              </w:rPr>
              <w:t>(State or other jurisdiction of</w:t>
            </w:r>
          </w:p>
        </w:tc>
        <w:tc>
          <w:tcPr>
            <w:tcW w:w="1420" w:type="dxa"/>
            <w:vAlign w:val="bottom"/>
          </w:tcPr>
          <w:p>
            <w:pPr>
              <w:jc w:val="center"/>
              <w:ind w:left="225"/>
              <w:spacing w:after="0" w:line="148"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5960" w:type="dxa"/>
            <w:vAlign w:val="bottom"/>
            <w:gridSpan w:val="3"/>
          </w:tcPr>
          <w:p>
            <w:pPr>
              <w:jc w:val="center"/>
              <w:ind w:right="3560"/>
              <w:spacing w:after="0"/>
              <w:rPr>
                <w:sz w:val="20"/>
                <w:szCs w:val="20"/>
                <w:color w:val="auto"/>
              </w:rPr>
            </w:pPr>
            <w:r>
              <w:rPr>
                <w:rFonts w:ascii="Arial" w:cs="Arial" w:eastAsia="Arial" w:hAnsi="Arial"/>
                <w:sz w:val="14"/>
                <w:szCs w:val="14"/>
                <w:b w:val="1"/>
                <w:bCs w:val="1"/>
                <w:color w:val="auto"/>
                <w:w w:val="94"/>
              </w:rPr>
              <w:t>incorporation or organization)</w:t>
            </w:r>
          </w:p>
        </w:tc>
        <w:tc>
          <w:tcPr>
            <w:tcW w:w="1420" w:type="dxa"/>
            <w:vAlign w:val="bottom"/>
          </w:tcPr>
          <w:p>
            <w:pPr>
              <w:jc w:val="center"/>
              <w:ind w:left="225"/>
              <w:spacing w:after="0"/>
              <w:rPr>
                <w:sz w:val="20"/>
                <w:szCs w:val="20"/>
                <w:color w:val="auto"/>
              </w:rPr>
            </w:pPr>
            <w:r>
              <w:rPr>
                <w:rFonts w:ascii="Arial" w:cs="Arial" w:eastAsia="Arial" w:hAnsi="Arial"/>
                <w:sz w:val="14"/>
                <w:szCs w:val="14"/>
                <w:b w:val="1"/>
                <w:bCs w:val="1"/>
                <w:color w:val="auto"/>
                <w:w w:val="94"/>
              </w:rPr>
              <w:t>Identification No.)</w:t>
            </w:r>
          </w:p>
        </w:tc>
      </w:tr>
      <w:tr>
        <w:trPr>
          <w:trHeight w:val="254"/>
        </w:trPr>
        <w:tc>
          <w:tcPr>
            <w:tcW w:w="5960" w:type="dxa"/>
            <w:vAlign w:val="bottom"/>
            <w:gridSpan w:val="3"/>
          </w:tcPr>
          <w:p>
            <w:pPr>
              <w:jc w:val="center"/>
              <w:ind w:right="3560"/>
              <w:spacing w:after="0"/>
              <w:rPr>
                <w:sz w:val="20"/>
                <w:szCs w:val="20"/>
                <w:color w:val="auto"/>
              </w:rPr>
            </w:pPr>
            <w:r>
              <w:rPr>
                <w:rFonts w:ascii="Arial" w:cs="Arial" w:eastAsia="Arial" w:hAnsi="Arial"/>
                <w:sz w:val="16"/>
                <w:szCs w:val="16"/>
                <w:b w:val="1"/>
                <w:bCs w:val="1"/>
                <w:color w:val="auto"/>
                <w:w w:val="91"/>
              </w:rPr>
              <w:t>490 Arsenal Way, Suite 200</w:t>
            </w:r>
          </w:p>
        </w:tc>
        <w:tc>
          <w:tcPr>
            <w:tcW w:w="1420" w:type="dxa"/>
            <w:vAlign w:val="bottom"/>
          </w:tcPr>
          <w:p>
            <w:pPr>
              <w:spacing w:after="0"/>
              <w:rPr>
                <w:sz w:val="22"/>
                <w:szCs w:val="22"/>
                <w:color w:val="auto"/>
              </w:rPr>
            </w:pPr>
          </w:p>
        </w:tc>
      </w:tr>
      <w:tr>
        <w:trPr>
          <w:trHeight w:val="193"/>
        </w:trPr>
        <w:tc>
          <w:tcPr>
            <w:tcW w:w="5960" w:type="dxa"/>
            <w:vAlign w:val="bottom"/>
            <w:gridSpan w:val="3"/>
          </w:tcPr>
          <w:p>
            <w:pPr>
              <w:jc w:val="center"/>
              <w:ind w:right="3560"/>
              <w:spacing w:after="0"/>
              <w:rPr>
                <w:sz w:val="20"/>
                <w:szCs w:val="20"/>
                <w:color w:val="auto"/>
              </w:rPr>
            </w:pPr>
            <w:r>
              <w:rPr>
                <w:rFonts w:ascii="Arial" w:cs="Arial" w:eastAsia="Arial" w:hAnsi="Arial"/>
                <w:sz w:val="16"/>
                <w:szCs w:val="16"/>
                <w:b w:val="1"/>
                <w:bCs w:val="1"/>
                <w:color w:val="auto"/>
                <w:w w:val="96"/>
              </w:rPr>
              <w:t>Watertown, MA</w:t>
            </w:r>
          </w:p>
        </w:tc>
        <w:tc>
          <w:tcPr>
            <w:tcW w:w="1420" w:type="dxa"/>
            <w:vAlign w:val="bottom"/>
          </w:tcPr>
          <w:p>
            <w:pPr>
              <w:jc w:val="right"/>
              <w:ind w:right="285"/>
              <w:spacing w:after="0"/>
              <w:rPr>
                <w:sz w:val="20"/>
                <w:szCs w:val="20"/>
                <w:color w:val="auto"/>
              </w:rPr>
            </w:pPr>
            <w:r>
              <w:rPr>
                <w:rFonts w:ascii="Arial" w:cs="Arial" w:eastAsia="Arial" w:hAnsi="Arial"/>
                <w:sz w:val="16"/>
                <w:szCs w:val="16"/>
                <w:b w:val="1"/>
                <w:bCs w:val="1"/>
                <w:color w:val="auto"/>
              </w:rPr>
              <w:t>02472</w:t>
            </w:r>
          </w:p>
        </w:tc>
      </w:tr>
      <w:tr>
        <w:trPr>
          <w:trHeight w:val="186"/>
        </w:trPr>
        <w:tc>
          <w:tcPr>
            <w:tcW w:w="5960" w:type="dxa"/>
            <w:vAlign w:val="bottom"/>
            <w:gridSpan w:val="3"/>
          </w:tcPr>
          <w:p>
            <w:pPr>
              <w:jc w:val="center"/>
              <w:ind w:right="35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20" w:type="dxa"/>
            <w:vAlign w:val="bottom"/>
          </w:tcPr>
          <w:p>
            <w:pPr>
              <w:jc w:val="center"/>
              <w:ind w:left="205"/>
              <w:spacing w:after="0"/>
              <w:rPr>
                <w:sz w:val="20"/>
                <w:szCs w:val="20"/>
                <w:color w:val="auto"/>
              </w:rPr>
            </w:pPr>
            <w:r>
              <w:rPr>
                <w:rFonts w:ascii="Arial" w:cs="Arial" w:eastAsia="Arial" w:hAnsi="Arial"/>
                <w:sz w:val="14"/>
                <w:szCs w:val="14"/>
                <w:b w:val="1"/>
                <w:bCs w:val="1"/>
                <w:color w:val="auto"/>
                <w:w w:val="95"/>
              </w:rPr>
              <w:t>(Zip Code)</w:t>
            </w:r>
          </w:p>
        </w:tc>
      </w:tr>
    </w:tbl>
    <w:p>
      <w:pPr>
        <w:spacing w:after="0" w:line="34"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(617) 231-0700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85725</wp:posOffset>
            </wp:positionV>
            <wp:extent cx="14198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9860" cy="8255"/>
                    </a:xfrm>
                    <a:prstGeom prst="rect">
                      <a:avLst/>
                    </a:prstGeom>
                    <a:noFill/>
                  </pic:spPr>
                </pic:pic>
              </a:graphicData>
            </a:graphic>
          </wp:anchor>
        </w:drawing>
      </w:r>
    </w:p>
    <w:p>
      <w:pPr>
        <w:spacing w:after="0" w:line="186"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7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7"/>
              </w:rPr>
              <w:t>Title of each class</w:t>
            </w:r>
          </w:p>
        </w:tc>
        <w:tc>
          <w:tcPr>
            <w:tcW w:w="1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Trading</w:t>
            </w:r>
          </w:p>
        </w:tc>
        <w:tc>
          <w:tcPr>
            <w:tcW w:w="466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1"/>
        </w:trPr>
        <w:tc>
          <w:tcPr>
            <w:tcW w:w="4620" w:type="dxa"/>
            <w:vAlign w:val="bottom"/>
            <w:gridSpan w:val="2"/>
            <w:vMerge w:val="continue"/>
          </w:tcPr>
          <w:p>
            <w:pPr>
              <w:spacing w:after="0"/>
              <w:rPr>
                <w:sz w:val="14"/>
                <w:szCs w:val="14"/>
                <w:color w:val="auto"/>
              </w:rPr>
            </w:pPr>
          </w:p>
        </w:tc>
        <w:tc>
          <w:tcPr>
            <w:tcW w:w="1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4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$0.0001 par value per share</w:t>
            </w:r>
          </w:p>
        </w:tc>
        <w:tc>
          <w:tcPr>
            <w:tcW w:w="120" w:type="dxa"/>
            <w:vAlign w:val="bottom"/>
          </w:tcPr>
          <w:p>
            <w:pPr>
              <w:spacing w:after="0"/>
              <w:rPr>
                <w:sz w:val="19"/>
                <w:szCs w:val="19"/>
                <w:color w:val="auto"/>
              </w:rPr>
            </w:pP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CCCC</w:t>
            </w:r>
          </w:p>
        </w:tc>
        <w:tc>
          <w:tcPr>
            <w:tcW w:w="120" w:type="dxa"/>
            <w:vAlign w:val="bottom"/>
          </w:tcPr>
          <w:p>
            <w:pPr>
              <w:spacing w:after="0"/>
              <w:rPr>
                <w:sz w:val="19"/>
                <w:szCs w:val="19"/>
                <w:color w:val="auto"/>
              </w:rPr>
            </w:pPr>
          </w:p>
        </w:tc>
        <w:tc>
          <w:tcPr>
            <w:tcW w:w="4660" w:type="dxa"/>
            <w:vAlign w:val="bottom"/>
            <w:tcBorders>
              <w:top w:val="single" w:sz="8" w:color="auto"/>
            </w:tcBorders>
          </w:tcPr>
          <w:p>
            <w:pPr>
              <w:ind w:left="1080"/>
              <w:spacing w:after="0"/>
              <w:rPr>
                <w:sz w:val="20"/>
                <w:szCs w:val="20"/>
                <w:color w:val="auto"/>
              </w:rPr>
            </w:pPr>
            <w:r>
              <w:rPr>
                <w:rFonts w:ascii="Arial" w:cs="Arial" w:eastAsia="Arial" w:hAnsi="Arial"/>
                <w:sz w:val="18"/>
                <w:szCs w:val="18"/>
                <w:color w:val="auto"/>
              </w:rPr>
              <w:t>The Nasdaq Global Select Market</w:t>
            </w:r>
          </w:p>
        </w:tc>
        <w:tc>
          <w:tcPr>
            <w:tcW w:w="0" w:type="dxa"/>
            <w:vAlign w:val="bottom"/>
          </w:tcPr>
          <w:p>
            <w:pPr>
              <w:spacing w:after="0"/>
              <w:rPr>
                <w:sz w:val="1"/>
                <w:szCs w:val="1"/>
                <w:color w:val="auto"/>
              </w:rPr>
            </w:pPr>
          </w:p>
        </w:tc>
      </w:tr>
    </w:tbl>
    <w:p>
      <w:pPr>
        <w:spacing w:after="0" w:line="56" w:lineRule="exact"/>
        <w:rPr>
          <w:sz w:val="24"/>
          <w:szCs w:val="24"/>
          <w:color w:val="auto"/>
        </w:rPr>
      </w:pPr>
    </w:p>
    <w:p>
      <w:pPr>
        <w:ind w:right="40"/>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60"/>
        <w:spacing w:after="0" w:line="184" w:lineRule="exact"/>
        <w:tabs>
          <w:tab w:leader="none" w:pos="76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81" w:lineRule="exact"/>
        <w:rPr>
          <w:sz w:val="24"/>
          <w:szCs w:val="24"/>
          <w:color w:val="auto"/>
        </w:rPr>
      </w:pPr>
    </w:p>
    <w:p>
      <w:pPr>
        <w:ind w:right="460"/>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59" w:lineRule="exact"/>
        <w:rPr>
          <w:sz w:val="24"/>
          <w:szCs w:val="24"/>
          <w:color w:val="auto"/>
        </w:rPr>
      </w:pPr>
    </w:p>
    <w:p>
      <w:pPr>
        <w:ind w:right="180"/>
        <w:spacing w:after="0" w:line="277"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18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8"/>
        </w:trPr>
        <w:tc>
          <w:tcPr>
            <w:tcW w:w="1860" w:type="dxa"/>
            <w:vAlign w:val="bottom"/>
          </w:tcPr>
          <w:p>
            <w:pPr>
              <w:spacing w:after="0"/>
              <w:rPr>
                <w:sz w:val="20"/>
                <w:szCs w:val="20"/>
                <w:color w:val="auto"/>
              </w:rPr>
            </w:pPr>
            <w:r>
              <w:rPr>
                <w:rFonts w:ascii="Arial" w:cs="Arial" w:eastAsia="Arial" w:hAnsi="Arial"/>
                <w:sz w:val="16"/>
                <w:szCs w:val="16"/>
                <w:color w:val="auto"/>
              </w:rPr>
              <w:t>Non-accelerated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86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5200" w:type="dxa"/>
            <w:vAlign w:val="bottom"/>
          </w:tcPr>
          <w:p>
            <w:pPr>
              <w:ind w:left="3140"/>
              <w:spacing w:after="0"/>
              <w:rPr>
                <w:sz w:val="20"/>
                <w:szCs w:val="20"/>
                <w:color w:val="auto"/>
              </w:rPr>
            </w:pPr>
            <w:r>
              <w:rPr>
                <w:rFonts w:ascii="Arial" w:cs="Arial" w:eastAsia="Arial" w:hAnsi="Arial"/>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59" w:lineRule="exact"/>
        <w:rPr>
          <w:sz w:val="24"/>
          <w:szCs w:val="24"/>
          <w:color w:val="auto"/>
        </w:rPr>
      </w:pPr>
    </w:p>
    <w:p>
      <w:pPr>
        <w:ind w:right="2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 w:lineRule="exact"/>
        <w:rPr>
          <w:sz w:val="24"/>
          <w:szCs w:val="24"/>
          <w:color w:val="auto"/>
        </w:rPr>
      </w:pPr>
    </w:p>
    <w:p>
      <w:pPr>
        <w:ind w:right="2620"/>
        <w:spacing w:after="0" w:line="25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November 1, 2021, the registrant had 48,625,608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9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89535</wp:posOffset>
            </wp:positionV>
            <wp:extent cx="71329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162560</wp:posOffset>
            </wp:positionV>
            <wp:extent cx="71583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60"/>
          </w:cols>
          <w:pgMar w:left="320" w:top="341" w:right="31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Quarterly Report on Form 10-Q, or Form 10-Q, including the section entitled “Management’s Discussion and Analysis of Financial Condition and Results of Operations,” contains express or implied forward-looking statements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Form 10-Q may include, but are not limited to, statements about:</w:t>
      </w:r>
    </w:p>
    <w:p>
      <w:pPr>
        <w:spacing w:after="0" w:line="83" w:lineRule="exact"/>
        <w:rPr>
          <w:sz w:val="20"/>
          <w:szCs w:val="20"/>
          <w:color w:val="auto"/>
        </w:rPr>
      </w:pPr>
    </w:p>
    <w:p>
      <w:pPr>
        <w:ind w:left="740" w:right="100" w:hanging="369"/>
        <w:spacing w:after="0" w:line="263"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timing, progress, results, safety and efficacy, and cost of our research and development programs and our current and future preclinical studies and clinical trials, including statements regarding the timing of initiation and completion of studies or trials, the period during which the results of the trials will become available, and our research and development programs;</w:t>
      </w:r>
    </w:p>
    <w:p>
      <w:pPr>
        <w:spacing w:after="0" w:line="181" w:lineRule="exact"/>
        <w:rPr>
          <w:rFonts w:ascii="Arial" w:cs="Arial" w:eastAsia="Arial" w:hAnsi="Arial"/>
          <w:sz w:val="18"/>
          <w:szCs w:val="18"/>
          <w:color w:val="auto"/>
        </w:rPr>
      </w:pPr>
    </w:p>
    <w:p>
      <w:pPr>
        <w:ind w:left="740" w:right="120" w:hanging="369"/>
        <w:spacing w:after="0" w:line="306" w:lineRule="auto"/>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ultimate impact of the ongoing coronavirus, or COVID-19, pandemic, or any other health epidemic, on our business, manufacturing, clinical trials, research programs, supply chain, regulatory review, healthcare systems or the global economy as a whole;</w:t>
      </w:r>
    </w:p>
    <w:p>
      <w:pPr>
        <w:spacing w:after="0" w:line="148" w:lineRule="exact"/>
        <w:rPr>
          <w:rFonts w:ascii="Arial" w:cs="Arial" w:eastAsia="Arial" w:hAnsi="Arial"/>
          <w:sz w:val="17"/>
          <w:szCs w:val="17"/>
          <w:color w:val="auto"/>
        </w:rPr>
      </w:pPr>
    </w:p>
    <w:p>
      <w:pPr>
        <w:ind w:left="740" w:hanging="369"/>
        <w:spacing w:after="0" w:line="273" w:lineRule="auto"/>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related to the direct or indirect impact of the ongoing COVID-19 pandemic or any future large-scale adverse health event, such as the scope and duration of the outbreak, government actions and restrictive measures implemented in response, material delays in diagnoses, initiation or continuation of treatment for diseases that may be addressed by our development candidates and investigational medicines, or in patient enrollment in clinical trials, potential clinical trials, regulatory review or supply chain disruptions, and other potential impacts to our business, the effectiveness or timeliness of steps taken by us to mitigate the impact of the pandemic, and our ability to execute business continuity plans to address disruptions caused by the ongoing COVID-19 pandemic or future large-scale adverse health event;</w:t>
      </w:r>
    </w:p>
    <w:p>
      <w:pPr>
        <w:spacing w:after="0" w:line="174" w:lineRule="exact"/>
        <w:rPr>
          <w:rFonts w:ascii="Arial" w:cs="Arial" w:eastAsia="Arial" w:hAnsi="Arial"/>
          <w:sz w:val="17"/>
          <w:szCs w:val="17"/>
          <w:color w:val="auto"/>
        </w:rPr>
      </w:pPr>
    </w:p>
    <w:p>
      <w:pPr>
        <w:ind w:left="740" w:right="80" w:hanging="369"/>
        <w:spacing w:after="0" w:line="276"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funding for our operations necessary to complete further development, manufacturing and commercialization of our product candidates;</w:t>
      </w:r>
    </w:p>
    <w:p>
      <w:pPr>
        <w:spacing w:after="0" w:line="170" w:lineRule="exact"/>
        <w:rPr>
          <w:rFonts w:ascii="Arial" w:cs="Arial" w:eastAsia="Arial" w:hAnsi="Arial"/>
          <w:sz w:val="18"/>
          <w:szCs w:val="18"/>
          <w:color w:val="auto"/>
        </w:rPr>
      </w:pPr>
    </w:p>
    <w:p>
      <w:pPr>
        <w:ind w:left="740" w:hanging="369"/>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for any of our current or future product candidates;</w:t>
      </w:r>
    </w:p>
    <w:p>
      <w:pPr>
        <w:spacing w:after="0" w:line="224" w:lineRule="exact"/>
        <w:rPr>
          <w:rFonts w:ascii="Arial" w:cs="Arial" w:eastAsia="Arial" w:hAnsi="Arial"/>
          <w:sz w:val="18"/>
          <w:szCs w:val="18"/>
          <w:color w:val="auto"/>
        </w:rPr>
      </w:pPr>
    </w:p>
    <w:p>
      <w:pPr>
        <w:ind w:left="740" w:right="540" w:hanging="369"/>
        <w:spacing w:after="0" w:line="276"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period of time over which we anticipate our existing cash and cash equivalents, and marketable securities will be sufficient to fund our operating expenses and capital expenditure requirements;</w:t>
      </w:r>
    </w:p>
    <w:p>
      <w:pPr>
        <w:spacing w:after="0" w:line="170" w:lineRule="exact"/>
        <w:rPr>
          <w:rFonts w:ascii="Arial" w:cs="Arial" w:eastAsia="Arial" w:hAnsi="Arial"/>
          <w:sz w:val="18"/>
          <w:szCs w:val="18"/>
          <w:color w:val="auto"/>
        </w:rPr>
      </w:pPr>
    </w:p>
    <w:p>
      <w:pPr>
        <w:ind w:left="740" w:hanging="369"/>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and develop product candidates for treatment of additional disease indications;</w:t>
      </w:r>
    </w:p>
    <w:p>
      <w:pPr>
        <w:spacing w:after="0" w:line="223" w:lineRule="exact"/>
        <w:rPr>
          <w:rFonts w:ascii="Arial" w:cs="Arial" w:eastAsia="Arial" w:hAnsi="Arial"/>
          <w:sz w:val="18"/>
          <w:szCs w:val="18"/>
          <w:color w:val="auto"/>
        </w:rPr>
      </w:pPr>
    </w:p>
    <w:p>
      <w:pPr>
        <w:ind w:left="740" w:hanging="369"/>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attributes and benefits of our product candidates;</w:t>
      </w:r>
    </w:p>
    <w:p>
      <w:pPr>
        <w:spacing w:after="0" w:line="223" w:lineRule="exact"/>
        <w:rPr>
          <w:rFonts w:ascii="Arial" w:cs="Arial" w:eastAsia="Arial" w:hAnsi="Arial"/>
          <w:sz w:val="18"/>
          <w:szCs w:val="18"/>
          <w:color w:val="auto"/>
        </w:rPr>
      </w:pPr>
    </w:p>
    <w:p>
      <w:pPr>
        <w:ind w:left="740" w:hanging="369"/>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for any product candidates we may develop;</w:t>
      </w:r>
    </w:p>
    <w:p>
      <w:pPr>
        <w:spacing w:after="0" w:line="223" w:lineRule="exact"/>
        <w:rPr>
          <w:rFonts w:ascii="Arial" w:cs="Arial" w:eastAsia="Arial" w:hAnsi="Arial"/>
          <w:sz w:val="18"/>
          <w:szCs w:val="18"/>
          <w:color w:val="auto"/>
        </w:rPr>
      </w:pPr>
    </w:p>
    <w:p>
      <w:pPr>
        <w:ind w:left="740" w:hanging="369"/>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223" w:lineRule="exact"/>
        <w:rPr>
          <w:rFonts w:ascii="Arial" w:cs="Arial" w:eastAsia="Arial" w:hAnsi="Arial"/>
          <w:sz w:val="18"/>
          <w:szCs w:val="18"/>
          <w:color w:val="auto"/>
        </w:rPr>
      </w:pPr>
    </w:p>
    <w:p>
      <w:pPr>
        <w:ind w:left="740" w:right="20" w:hanging="369"/>
        <w:spacing w:after="0" w:line="276"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competition with respect to any of our current or future product candidates, as well as innovations by current and future competitors in our industry;</w:t>
      </w:r>
    </w:p>
    <w:p>
      <w:pPr>
        <w:spacing w:after="0" w:line="170" w:lineRule="exact"/>
        <w:rPr>
          <w:rFonts w:ascii="Arial" w:cs="Arial" w:eastAsia="Arial" w:hAnsi="Arial"/>
          <w:sz w:val="18"/>
          <w:szCs w:val="18"/>
          <w:color w:val="auto"/>
        </w:rPr>
      </w:pPr>
    </w:p>
    <w:p>
      <w:pPr>
        <w:ind w:left="740" w:hanging="369"/>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strategic plans for our business, any product candidates we may develop and our TORPEDO</w:t>
      </w:r>
      <w:r>
        <w:rPr>
          <w:rFonts w:ascii="Arial" w:cs="Arial" w:eastAsia="Arial" w:hAnsi="Arial"/>
          <w:sz w:val="15"/>
          <w:szCs w:val="15"/>
          <w:color w:val="auto"/>
        </w:rPr>
        <w:t>®</w:t>
      </w:r>
      <w:r>
        <w:rPr>
          <w:rFonts w:ascii="Arial" w:cs="Arial" w:eastAsia="Arial" w:hAnsi="Arial"/>
          <w:sz w:val="18"/>
          <w:szCs w:val="18"/>
          <w:color w:val="auto"/>
        </w:rPr>
        <w:t xml:space="preserve"> platform;</w:t>
      </w:r>
    </w:p>
    <w:p>
      <w:pPr>
        <w:spacing w:after="0" w:line="223" w:lineRule="exact"/>
        <w:rPr>
          <w:rFonts w:ascii="Arial" w:cs="Arial" w:eastAsia="Arial" w:hAnsi="Arial"/>
          <w:sz w:val="18"/>
          <w:szCs w:val="18"/>
          <w:color w:val="auto"/>
        </w:rPr>
      </w:pPr>
    </w:p>
    <w:p>
      <w:pPr>
        <w:ind w:left="740" w:hanging="369"/>
        <w:spacing w:after="0" w:line="258"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and willingness of our third-party strategic collaborators to continue research, development and manufacturing activities relating to our product candidates, including our ability to advance programs under our existing collaboration agreements with F. Hoffmann-La Roche Ltd and Hoffmann-La Roche Inc., or Roche, Biogen MA, Inc., or Biogen, and Calico Life Sciences LLC, or Calico, or other new collaboration agreements;</w:t>
      </w:r>
    </w:p>
    <w:p>
      <w:pPr>
        <w:spacing w:after="0" w:line="187" w:lineRule="exact"/>
        <w:rPr>
          <w:rFonts w:ascii="Arial" w:cs="Arial" w:eastAsia="Arial" w:hAnsi="Arial"/>
          <w:sz w:val="18"/>
          <w:szCs w:val="18"/>
          <w:color w:val="auto"/>
        </w:rPr>
      </w:pPr>
    </w:p>
    <w:p>
      <w:pPr>
        <w:ind w:left="740" w:hanging="369"/>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product candidates;</w:t>
      </w:r>
    </w:p>
    <w:p>
      <w:pPr>
        <w:spacing w:after="0" w:line="223" w:lineRule="exact"/>
        <w:rPr>
          <w:rFonts w:ascii="Arial" w:cs="Arial" w:eastAsia="Arial" w:hAnsi="Arial"/>
          <w:sz w:val="18"/>
          <w:szCs w:val="18"/>
          <w:color w:val="auto"/>
        </w:rPr>
      </w:pPr>
    </w:p>
    <w:p>
      <w:pPr>
        <w:ind w:left="740" w:hanging="369"/>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of our future expenses, revenues, capital requirements, and our needs for additional financing;</w:t>
      </w:r>
    </w:p>
    <w:p>
      <w:pPr>
        <w:spacing w:after="0" w:line="223" w:lineRule="exact"/>
        <w:rPr>
          <w:rFonts w:ascii="Arial" w:cs="Arial" w:eastAsia="Arial" w:hAnsi="Arial"/>
          <w:sz w:val="18"/>
          <w:szCs w:val="18"/>
          <w:color w:val="auto"/>
        </w:rPr>
      </w:pPr>
    </w:p>
    <w:p>
      <w:pPr>
        <w:ind w:left="740" w:hanging="369"/>
        <w:spacing w:after="0"/>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color w:val="auto"/>
        </w:rPr>
        <w:t>future agreements with third parties in connection with the manufacturing and commercialization of our product candidates, if approved;</w:t>
      </w:r>
    </w:p>
    <w:p>
      <w:pPr>
        <w:spacing w:after="0" w:line="235" w:lineRule="exact"/>
        <w:rPr>
          <w:rFonts w:ascii="Arial" w:cs="Arial" w:eastAsia="Arial" w:hAnsi="Arial"/>
          <w:sz w:val="17"/>
          <w:szCs w:val="17"/>
          <w:color w:val="auto"/>
        </w:rPr>
      </w:pPr>
    </w:p>
    <w:p>
      <w:pPr>
        <w:ind w:left="740" w:hanging="369"/>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223" w:lineRule="exact"/>
        <w:rPr>
          <w:rFonts w:ascii="Arial" w:cs="Arial" w:eastAsia="Arial" w:hAnsi="Arial"/>
          <w:sz w:val="18"/>
          <w:szCs w:val="18"/>
          <w:color w:val="auto"/>
        </w:rPr>
      </w:pPr>
    </w:p>
    <w:p>
      <w:pPr>
        <w:ind w:left="740" w:hanging="369"/>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223" w:lineRule="exact"/>
        <w:rPr>
          <w:rFonts w:ascii="Arial" w:cs="Arial" w:eastAsia="Arial" w:hAnsi="Arial"/>
          <w:sz w:val="18"/>
          <w:szCs w:val="18"/>
          <w:color w:val="auto"/>
        </w:rPr>
      </w:pPr>
    </w:p>
    <w:p>
      <w:pPr>
        <w:ind w:left="740" w:hanging="369"/>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223" w:lineRule="exact"/>
        <w:rPr>
          <w:rFonts w:ascii="Arial" w:cs="Arial" w:eastAsia="Arial" w:hAnsi="Arial"/>
          <w:sz w:val="18"/>
          <w:szCs w:val="18"/>
          <w:color w:val="auto"/>
        </w:rPr>
      </w:pPr>
    </w:p>
    <w:p>
      <w:pPr>
        <w:ind w:left="740" w:hanging="369"/>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71583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444" w:right="379" w:bottom="1440" w:gutter="0" w:footer="0" w:header="0"/>
        </w:sectPr>
      </w:pPr>
    </w:p>
    <w:bookmarkStart w:id="2" w:name="page3"/>
    <w:bookmarkEnd w:id="2"/>
    <w:p>
      <w:pPr>
        <w:ind w:left="740" w:hanging="369"/>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224" w:lineRule="exact"/>
        <w:rPr>
          <w:rFonts w:ascii="Arial" w:cs="Arial" w:eastAsia="Arial" w:hAnsi="Arial"/>
          <w:sz w:val="18"/>
          <w:szCs w:val="18"/>
          <w:color w:val="auto"/>
        </w:rPr>
      </w:pPr>
    </w:p>
    <w:p>
      <w:pPr>
        <w:ind w:left="740" w:hanging="369"/>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224" w:lineRule="exact"/>
        <w:rPr>
          <w:rFonts w:ascii="Arial" w:cs="Arial" w:eastAsia="Arial" w:hAnsi="Arial"/>
          <w:sz w:val="18"/>
          <w:szCs w:val="18"/>
          <w:color w:val="auto"/>
        </w:rPr>
      </w:pPr>
    </w:p>
    <w:p>
      <w:pPr>
        <w:ind w:left="740" w:hanging="369"/>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and</w:t>
      </w:r>
    </w:p>
    <w:p>
      <w:pPr>
        <w:spacing w:after="0" w:line="223" w:lineRule="exact"/>
        <w:rPr>
          <w:rFonts w:ascii="Arial" w:cs="Arial" w:eastAsia="Arial" w:hAnsi="Arial"/>
          <w:sz w:val="18"/>
          <w:szCs w:val="18"/>
          <w:color w:val="auto"/>
        </w:rPr>
      </w:pPr>
    </w:p>
    <w:p>
      <w:pPr>
        <w:ind w:left="740" w:hanging="369"/>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and uncertainties, including those discussed in Part II, Item 1A - Risk Factors in this Form 10-Q.</w:t>
      </w:r>
    </w:p>
    <w:p>
      <w:pPr>
        <w:spacing w:after="0" w:line="22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some cases, forward-looking statements can be identified by terminology such as “will,” “may,” “should,” “could,” “expects,” “intends,” “plans,” “aims,” “anticipates,” “believes,” “estimates,” “predicts,” “potential,” “continue,” or the negative of these terms or other comparable terminology, although not all forward-looking statements contain these words.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section titled “Risk Factors” and elsewhere in this Form 10-Q. If one or more of these risks or uncertainties occur, or if our underlying assumptions prove to be incorrect, actual events or results may vary significantly from those expressed or implied by the forward-looking statements. No forward-looking statement is a promise or a guarantee of future performance.</w:t>
      </w:r>
    </w:p>
    <w:p>
      <w:pPr>
        <w:spacing w:after="0" w:line="72"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The forward-looking statements in this Form 10-Q represent our views as of the date of this Form 10-Q.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Form 10-Q.</w:t>
      </w:r>
    </w:p>
    <w:p>
      <w:pPr>
        <w:spacing w:after="0" w:line="80"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This Form 10-Q may include statistical and other industry and market data that we obtained from industry publications and research, surveys, and studies conducted by third parties. Industry publications and third-party research, surveys, and studies generally indicate that their information has been obtained from sources believed to be reliable, although they do not guarantee the accuracy or completeness of such information. We have not independently verified the information contained in such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320675</wp:posOffset>
            </wp:positionV>
            <wp:extent cx="71583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60"/>
          </w:cols>
          <w:pgMar w:left="320" w:top="448" w:right="41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SUMMARY OF RISK FACTORS</w:t>
      </w:r>
    </w:p>
    <w:p>
      <w:pPr>
        <w:spacing w:after="0" w:line="228" w:lineRule="exact"/>
        <w:rPr>
          <w:sz w:val="20"/>
          <w:szCs w:val="20"/>
          <w:color w:val="auto"/>
        </w:rPr>
      </w:pPr>
    </w:p>
    <w:p>
      <w:pPr>
        <w:ind w:right="140"/>
        <w:spacing w:after="0" w:line="276" w:lineRule="auto"/>
        <w:rPr>
          <w:sz w:val="20"/>
          <w:szCs w:val="20"/>
          <w:color w:val="auto"/>
        </w:rPr>
      </w:pPr>
      <w:r>
        <w:rPr>
          <w:rFonts w:ascii="Arial" w:cs="Arial" w:eastAsia="Arial" w:hAnsi="Arial"/>
          <w:sz w:val="18"/>
          <w:szCs w:val="18"/>
          <w:color w:val="auto"/>
        </w:rPr>
        <w:t>Our ability to implement our business strategy is subject to numerous risks that you should be aware of before making an investment decision. These risks are described more fully in Part II, Item 1A - Risk Factors in this Form 10-Q. These risks include, among others:</w:t>
      </w:r>
    </w:p>
    <w:p>
      <w:pPr>
        <w:spacing w:after="0" w:line="63" w:lineRule="exact"/>
        <w:rPr>
          <w:sz w:val="20"/>
          <w:szCs w:val="20"/>
          <w:color w:val="auto"/>
        </w:rPr>
      </w:pPr>
    </w:p>
    <w:p>
      <w:pPr>
        <w:ind w:left="740" w:right="140" w:hanging="369"/>
        <w:spacing w:after="0" w:line="258"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a clinical-stage biopharmaceutical company with a limited operating history and have incurred significant losses since our inception. To date, we have not generated any revenue from product sales. We expect to continue to incur significant expenses and increasing operating losses for at least the next several years and may never achieve or maintain profitability. Our net loss was $68.2 million and $44.5 million for the nine months ended September 30, 2021 and 2020, respectively.</w:t>
      </w:r>
    </w:p>
    <w:p>
      <w:pPr>
        <w:spacing w:after="0" w:line="187" w:lineRule="exact"/>
        <w:rPr>
          <w:rFonts w:ascii="Arial" w:cs="Arial" w:eastAsia="Arial" w:hAnsi="Arial"/>
          <w:sz w:val="18"/>
          <w:szCs w:val="18"/>
          <w:color w:val="auto"/>
        </w:rPr>
      </w:pPr>
    </w:p>
    <w:p>
      <w:pPr>
        <w:ind w:left="740" w:right="140" w:hanging="369"/>
        <w:spacing w:after="0" w:line="263"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will need substantial additional funding to pursue our business objectives and continue our operations. If we are unable to raise capital when needed, we may be required to delay, limit, reduce or terminate our research or product development programs or future commercialization efforts.</w:t>
      </w:r>
    </w:p>
    <w:p>
      <w:pPr>
        <w:spacing w:after="0" w:line="181" w:lineRule="exact"/>
        <w:rPr>
          <w:rFonts w:ascii="Arial" w:cs="Arial" w:eastAsia="Arial" w:hAnsi="Arial"/>
          <w:sz w:val="18"/>
          <w:szCs w:val="18"/>
          <w:color w:val="auto"/>
        </w:rPr>
      </w:pPr>
    </w:p>
    <w:p>
      <w:pPr>
        <w:ind w:left="740" w:right="100" w:hanging="369"/>
        <w:spacing w:after="0" w:line="276"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approach to the discovery and development of product candidates based on our TORPEDO platform is unproven, which makes it difficult to predict the time, cost of development and likelihood of successfully developing any products.</w:t>
      </w:r>
    </w:p>
    <w:p>
      <w:pPr>
        <w:spacing w:after="0" w:line="170" w:lineRule="exact"/>
        <w:rPr>
          <w:rFonts w:ascii="Arial" w:cs="Arial" w:eastAsia="Arial" w:hAnsi="Arial"/>
          <w:sz w:val="18"/>
          <w:szCs w:val="18"/>
          <w:color w:val="auto"/>
        </w:rPr>
      </w:pPr>
    </w:p>
    <w:p>
      <w:pPr>
        <w:jc w:val="both"/>
        <w:ind w:left="740" w:right="80" w:hanging="369"/>
        <w:spacing w:after="0" w:line="311" w:lineRule="auto"/>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Most of our product candidates are still in preclinical development and we have never completed a clinical trial of any of our product candidates. Our business could be harmed if we are unable to advance to clinical development, develop, obtain regulatory approval for and/or commercialize our product candidates; if we experience significant delays in doing any of these things; or if we experience significant cost increases.</w:t>
      </w:r>
    </w:p>
    <w:p>
      <w:pPr>
        <w:spacing w:after="0" w:line="146" w:lineRule="exact"/>
        <w:rPr>
          <w:rFonts w:ascii="Arial" w:cs="Arial" w:eastAsia="Arial" w:hAnsi="Arial"/>
          <w:sz w:val="16"/>
          <w:szCs w:val="16"/>
          <w:color w:val="auto"/>
        </w:rPr>
      </w:pPr>
    </w:p>
    <w:p>
      <w:pPr>
        <w:ind w:left="740" w:hanging="369"/>
        <w:spacing w:after="0" w:line="263"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cannot be certain of the timely completion or outcome of our preclinical testing and clinical trials. In addition, the results of preclinical studies may not be predictive of the results of clinical trials and the results of any early-stage clinical trials we commence may not be predictive of the results of later-stage clinical trials.</w:t>
      </w:r>
    </w:p>
    <w:p>
      <w:pPr>
        <w:spacing w:after="0" w:line="181" w:lineRule="exact"/>
        <w:rPr>
          <w:rFonts w:ascii="Arial" w:cs="Arial" w:eastAsia="Arial" w:hAnsi="Arial"/>
          <w:sz w:val="18"/>
          <w:szCs w:val="18"/>
          <w:color w:val="auto"/>
        </w:rPr>
      </w:pPr>
    </w:p>
    <w:p>
      <w:pPr>
        <w:ind w:left="740" w:right="100" w:hanging="369"/>
        <w:spacing w:after="0" w:line="341" w:lineRule="auto"/>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preclinical studies and clinical trials may fail to demonstrate adequately the safety, potency, purity and efficacy of any of our product candidates, which would prevent or delay development, regulatory approval and commercialization of our current and future product candidates.</w:t>
      </w:r>
    </w:p>
    <w:p>
      <w:pPr>
        <w:spacing w:after="0" w:line="123" w:lineRule="exact"/>
        <w:rPr>
          <w:rFonts w:ascii="Arial" w:cs="Arial" w:eastAsia="Arial" w:hAnsi="Arial"/>
          <w:sz w:val="16"/>
          <w:szCs w:val="16"/>
          <w:color w:val="auto"/>
        </w:rPr>
      </w:pPr>
    </w:p>
    <w:p>
      <w:pPr>
        <w:ind w:left="740" w:right="100" w:hanging="369"/>
        <w:spacing w:after="0" w:line="256"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entered into collaboration agreements with Roche, Biogen and Calico and may in the future seek to enter into collaborations with third parties for the development and/or commercialization of certain of our product candidates. If we fail to enter into these types of new collaborations, or if our existing collaborations are not successful, we may be unable to continue development of our product candidates, we will not receive any contemplated or potential future milestone payments or royalties, and we could fail to capitalize on the market potential of our product candidates.</w:t>
      </w:r>
    </w:p>
    <w:p>
      <w:pPr>
        <w:spacing w:after="0" w:line="189" w:lineRule="exact"/>
        <w:rPr>
          <w:rFonts w:ascii="Arial" w:cs="Arial" w:eastAsia="Arial" w:hAnsi="Arial"/>
          <w:sz w:val="18"/>
          <w:szCs w:val="18"/>
          <w:color w:val="auto"/>
        </w:rPr>
      </w:pPr>
    </w:p>
    <w:p>
      <w:pPr>
        <w:ind w:left="740" w:hanging="369"/>
        <w:spacing w:after="0" w:line="276"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continuing effects of the ongoing COVID-19 pandemic, including the spread of new strains of the virus, could adversely impact our business, including our preclinical studies and clinical trials.</w:t>
      </w:r>
    </w:p>
    <w:p>
      <w:pPr>
        <w:spacing w:after="0" w:line="170" w:lineRule="exact"/>
        <w:rPr>
          <w:rFonts w:ascii="Arial" w:cs="Arial" w:eastAsia="Arial" w:hAnsi="Arial"/>
          <w:sz w:val="18"/>
          <w:szCs w:val="18"/>
          <w:color w:val="auto"/>
        </w:rPr>
      </w:pPr>
    </w:p>
    <w:p>
      <w:pPr>
        <w:ind w:left="740" w:right="300" w:hanging="369"/>
        <w:spacing w:after="0" w:line="276"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face substantial competition, which may result in others discovering, developing or commercializing products before or more successfully than we do.</w:t>
      </w:r>
    </w:p>
    <w:p>
      <w:pPr>
        <w:spacing w:after="0" w:line="170" w:lineRule="exact"/>
        <w:rPr>
          <w:rFonts w:ascii="Arial" w:cs="Arial" w:eastAsia="Arial" w:hAnsi="Arial"/>
          <w:sz w:val="18"/>
          <w:szCs w:val="18"/>
          <w:color w:val="auto"/>
        </w:rPr>
      </w:pPr>
    </w:p>
    <w:p>
      <w:pPr>
        <w:jc w:val="both"/>
        <w:ind w:left="740" w:right="180" w:hanging="369"/>
        <w:spacing w:after="0" w:line="311" w:lineRule="auto"/>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rely, and expect to continue to rely, on third parties for the manufacture of our product candidates for preclinical and clinical testing, as well as for commercial manufacture if any of our product candidates receive marketing approval. This reliance on third parties may increase the risk that we will not have sufficient quantities of our product candidates in a timely manner, or at an acceptable cost or quality.</w:t>
      </w:r>
    </w:p>
    <w:p>
      <w:pPr>
        <w:spacing w:after="0" w:line="146" w:lineRule="exact"/>
        <w:rPr>
          <w:rFonts w:ascii="Arial" w:cs="Arial" w:eastAsia="Arial" w:hAnsi="Arial"/>
          <w:sz w:val="16"/>
          <w:szCs w:val="16"/>
          <w:color w:val="auto"/>
        </w:rPr>
      </w:pPr>
    </w:p>
    <w:p>
      <w:pPr>
        <w:jc w:val="both"/>
        <w:ind w:left="740" w:right="20" w:hanging="369"/>
        <w:spacing w:after="0" w:line="263"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obtain required marketing approvals for, commercialize, manufacture, obtain and maintain patent protection for or gain market acceptance of our product candidates, or if we experience significant delays in doing so, our business will be materially harmed and our ability to generate revenue from product sales will be materially impaired.</w:t>
      </w:r>
    </w:p>
    <w:p>
      <w:pPr>
        <w:spacing w:after="0" w:line="181" w:lineRule="exact"/>
        <w:rPr>
          <w:rFonts w:ascii="Arial" w:cs="Arial" w:eastAsia="Arial" w:hAnsi="Arial"/>
          <w:sz w:val="18"/>
          <w:szCs w:val="18"/>
          <w:color w:val="auto"/>
        </w:rPr>
      </w:pPr>
    </w:p>
    <w:p>
      <w:pPr>
        <w:ind w:left="740" w:right="200" w:hanging="369"/>
        <w:spacing w:after="0" w:line="263"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obtain and maintain patent protection for our technology and products or if the scope of the patent protection obtained is not sufficiently broad, our competitors could develop and commercialize technology and products similar or identical to ours, and our ability to successfully commercialize our technology and products may be impaired.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83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NOTE REGARDING COMPANY REFERENCES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Unless the context otherwise requires, the terms “C4 Therapeutics,” “the Company,” “we,” “us,” and “our” in this Form 10-Q refer to C4 Therapeutics,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its consolidated subsidiary.</w:t>
      </w: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 REGARDING TRADEMARKS</w:t>
      </w:r>
    </w:p>
    <w:p>
      <w:pPr>
        <w:spacing w:after="0" w:line="12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We own or have rights to various trademarks, service marks and trade names that are used in connection with the operation of our business, including our company name, C4 Therapeutics, our logo, the name of our TORPEDO technology platform and the names of our BIDAC and MONODAC protein degrader product candidates. This Form 10-Q may also contain trademarks, service marks and trade names of third parties, which are the property of their respective owners. Our use or display of third parties’ trademarks, service marks, trade names or products in this prospectus is not intended to and does not imply a relationship with, or endorsement or sponsorship by us. Solely for convenience, the trademarks, service marks and trade names referred to in this prospectus may appear without the ®, </w:t>
      </w:r>
      <w:r>
        <w:rPr>
          <w:rFonts w:ascii="Arial" w:cs="Arial" w:eastAsia="Arial" w:hAnsi="Arial"/>
          <w:sz w:val="13"/>
          <w:szCs w:val="13"/>
          <w:color w:val="auto"/>
        </w:rPr>
        <w:t>TM</w:t>
      </w:r>
      <w:r>
        <w:rPr>
          <w:rFonts w:ascii="Arial" w:cs="Arial" w:eastAsia="Arial" w:hAnsi="Arial"/>
          <w:sz w:val="16"/>
          <w:szCs w:val="16"/>
          <w:color w:val="auto"/>
        </w:rPr>
        <w:t xml:space="preserve"> or </w:t>
      </w:r>
      <w:r>
        <w:rPr>
          <w:rFonts w:ascii="Arial" w:cs="Arial" w:eastAsia="Arial" w:hAnsi="Arial"/>
          <w:sz w:val="13"/>
          <w:szCs w:val="13"/>
          <w:color w:val="auto"/>
        </w:rPr>
        <w:t>SM</w:t>
      </w:r>
      <w:r>
        <w:rPr>
          <w:rFonts w:ascii="Arial" w:cs="Arial" w:eastAsia="Arial" w:hAnsi="Arial"/>
          <w:sz w:val="16"/>
          <w:szCs w:val="16"/>
          <w:color w:val="auto"/>
        </w:rPr>
        <w:t xml:space="preserve"> symbols, but the omission of such references is not intended to indicate, in any way, that we will not assert, to the fullest extent under applicable law, our rights or the right of the applicable owner of these trademarks, service marks and trade 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835025</wp:posOffset>
            </wp:positionV>
            <wp:extent cx="71583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52" w:right="3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720" w:type="dxa"/>
            <w:vAlign w:val="bottom"/>
            <w:gridSpan w:val="7"/>
          </w:tcPr>
          <w:p>
            <w:pPr>
              <w:ind w:left="80"/>
              <w:spacing w:after="0"/>
              <w:rPr>
                <w:sz w:val="20"/>
                <w:szCs w:val="20"/>
                <w:color w:val="auto"/>
              </w:rPr>
            </w:pPr>
            <w:r>
              <w:rPr>
                <w:rFonts w:ascii="Arial" w:cs="Arial" w:eastAsia="Arial" w:hAnsi="Arial"/>
                <w:sz w:val="18"/>
                <w:szCs w:val="18"/>
                <w:b w:val="1"/>
                <w:bCs w:val="1"/>
                <w:color w:val="auto"/>
              </w:rPr>
              <w:t>Table of Contents</w:t>
            </w:r>
          </w:p>
        </w:tc>
        <w:tc>
          <w:tcPr>
            <w:tcW w:w="660" w:type="dxa"/>
            <w:vAlign w:val="bottom"/>
          </w:tcPr>
          <w:p>
            <w:pPr>
              <w:spacing w:after="0"/>
              <w:rPr>
                <w:sz w:val="20"/>
                <w:szCs w:val="20"/>
                <w:color w:val="auto"/>
              </w:rPr>
            </w:pPr>
          </w:p>
        </w:tc>
      </w:tr>
      <w:tr>
        <w:trPr>
          <w:trHeight w:val="471"/>
        </w:trPr>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Page</w:t>
            </w:r>
          </w:p>
        </w:tc>
      </w:tr>
      <w:tr>
        <w:trPr>
          <w:trHeight w:val="222"/>
        </w:trPr>
        <w:tc>
          <w:tcPr>
            <w:tcW w:w="116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420" w:type="dxa"/>
            <w:vAlign w:val="bottom"/>
            <w:gridSpan w:val="18"/>
          </w:tcPr>
          <w:p>
            <w:pPr>
              <w:spacing w:after="0"/>
              <w:rPr>
                <w:sz w:val="20"/>
                <w:szCs w:val="20"/>
                <w:color w:val="auto"/>
              </w:rPr>
            </w:pPr>
            <w:r>
              <w:rPr>
                <w:rFonts w:ascii="Arial" w:cs="Arial" w:eastAsia="Arial" w:hAnsi="Arial"/>
                <w:sz w:val="18"/>
                <w:szCs w:val="18"/>
                <w:color w:val="auto"/>
              </w:rPr>
              <w:t>FINANCIAL INFORMATION</w:t>
            </w:r>
          </w:p>
        </w:tc>
        <w:tc>
          <w:tcPr>
            <w:tcW w:w="660" w:type="dxa"/>
            <w:vAlign w:val="bottom"/>
          </w:tcPr>
          <w:p>
            <w:pPr>
              <w:spacing w:after="0"/>
              <w:rPr>
                <w:sz w:val="19"/>
                <w:szCs w:val="19"/>
                <w:color w:val="auto"/>
              </w:rPr>
            </w:pPr>
          </w:p>
        </w:tc>
      </w:tr>
      <w:tr>
        <w:trPr>
          <w:trHeight w:val="189"/>
        </w:trPr>
        <w:tc>
          <w:tcPr>
            <w:tcW w:w="1160" w:type="dxa"/>
            <w:vAlign w:val="bottom"/>
          </w:tcPr>
          <w:p>
            <w:pPr>
              <w:spacing w:after="0" w:line="189" w:lineRule="exact"/>
              <w:rPr>
                <w:sz w:val="20"/>
                <w:szCs w:val="20"/>
                <w:color w:val="auto"/>
              </w:rPr>
            </w:pPr>
            <w:r>
              <w:rPr>
                <w:rFonts w:ascii="Arial" w:cs="Arial" w:eastAsia="Arial" w:hAnsi="Arial"/>
                <w:sz w:val="18"/>
                <w:szCs w:val="18"/>
                <w:color w:val="auto"/>
              </w:rPr>
              <w:t>Item 1.</w:t>
            </w:r>
          </w:p>
        </w:tc>
        <w:tc>
          <w:tcPr>
            <w:tcW w:w="9420" w:type="dxa"/>
            <w:vAlign w:val="bottom"/>
            <w:gridSpan w:val="18"/>
          </w:tcPr>
          <w:p>
            <w:pPr>
              <w:spacing w:after="0" w:line="189" w:lineRule="exact"/>
              <w:rPr>
                <w:rFonts w:ascii="Arial" w:cs="Arial" w:eastAsia="Arial" w:hAnsi="Arial"/>
                <w:sz w:val="18"/>
                <w:szCs w:val="18"/>
                <w:color w:val="0000EE"/>
              </w:rPr>
            </w:pPr>
            <w:hyperlink w:anchor="page7">
              <w:r>
                <w:rPr>
                  <w:rFonts w:ascii="Arial" w:cs="Arial" w:eastAsia="Arial" w:hAnsi="Arial"/>
                  <w:sz w:val="18"/>
                  <w:szCs w:val="18"/>
                  <w:color w:val="0000EE"/>
                </w:rPr>
                <w:t>Financial Statements (Unaudited)</w:t>
              </w:r>
            </w:hyperlink>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1</w:t>
            </w: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292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Condensed Consolidated Balance Sheets</w:t>
              </w:r>
            </w:hyperlink>
          </w:p>
        </w:tc>
        <w:tc>
          <w:tcPr>
            <w:tcW w:w="6500" w:type="dxa"/>
            <w:vAlign w:val="bottom"/>
            <w:gridSpan w:val="8"/>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9"/>
        </w:trPr>
        <w:tc>
          <w:tcPr>
            <w:tcW w:w="1160" w:type="dxa"/>
            <w:vAlign w:val="bottom"/>
          </w:tcPr>
          <w:p>
            <w:pPr>
              <w:spacing w:after="0"/>
              <w:rPr>
                <w:sz w:val="18"/>
                <w:szCs w:val="18"/>
                <w:color w:val="auto"/>
              </w:rPr>
            </w:pPr>
          </w:p>
        </w:tc>
        <w:tc>
          <w:tcPr>
            <w:tcW w:w="544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Condensed Consolidated Statement of Operations and Comprehensive Loss</w:t>
              </w:r>
            </w:hyperlink>
          </w:p>
        </w:tc>
        <w:tc>
          <w:tcPr>
            <w:tcW w:w="3980" w:type="dxa"/>
            <w:vAlign w:val="bottom"/>
            <w:gridSpan w:val="2"/>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9"/>
        </w:trPr>
        <w:tc>
          <w:tcPr>
            <w:tcW w:w="1160" w:type="dxa"/>
            <w:vAlign w:val="bottom"/>
          </w:tcPr>
          <w:p>
            <w:pPr>
              <w:spacing w:after="0"/>
              <w:rPr>
                <w:sz w:val="18"/>
                <w:szCs w:val="18"/>
                <w:color w:val="auto"/>
              </w:rPr>
            </w:pPr>
          </w:p>
        </w:tc>
        <w:tc>
          <w:tcPr>
            <w:tcW w:w="9420" w:type="dxa"/>
            <w:vAlign w:val="bottom"/>
            <w:gridSpan w:val="18"/>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Condensed Consolidated Statement of Stockholder’s Equity (Deficit)</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9"/>
        </w:trPr>
        <w:tc>
          <w:tcPr>
            <w:tcW w:w="1160" w:type="dxa"/>
            <w:vAlign w:val="bottom"/>
          </w:tcPr>
          <w:p>
            <w:pPr>
              <w:spacing w:after="0"/>
              <w:rPr>
                <w:sz w:val="18"/>
                <w:szCs w:val="18"/>
                <w:color w:val="auto"/>
              </w:rPr>
            </w:pPr>
          </w:p>
        </w:tc>
        <w:tc>
          <w:tcPr>
            <w:tcW w:w="370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8"/>
              </w:rPr>
            </w:pPr>
            <w:hyperlink w:anchor="page11">
              <w:r>
                <w:rPr>
                  <w:rFonts w:ascii="Arial" w:cs="Arial" w:eastAsia="Arial" w:hAnsi="Arial"/>
                  <w:sz w:val="18"/>
                  <w:szCs w:val="18"/>
                  <w:color w:val="0000EE"/>
                  <w:w w:val="88"/>
                </w:rPr>
                <w:t>Condensed Consolidated Statements of Cash Flows</w:t>
              </w:r>
            </w:hyperlink>
          </w:p>
        </w:tc>
        <w:tc>
          <w:tcPr>
            <w:tcW w:w="1260" w:type="dxa"/>
            <w:vAlign w:val="bottom"/>
            <w:tcBorders>
              <w:top w:val="single" w:sz="8" w:color="0000EE"/>
            </w:tcBorders>
            <w:gridSpan w:val="4"/>
          </w:tcPr>
          <w:p>
            <w:pPr>
              <w:spacing w:after="0"/>
              <w:rPr>
                <w:sz w:val="18"/>
                <w:szCs w:val="18"/>
                <w:color w:val="auto"/>
              </w:rPr>
            </w:pPr>
          </w:p>
        </w:tc>
        <w:tc>
          <w:tcPr>
            <w:tcW w:w="4460" w:type="dxa"/>
            <w:vAlign w:val="bottom"/>
            <w:gridSpan w:val="3"/>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9"/>
        </w:trPr>
        <w:tc>
          <w:tcPr>
            <w:tcW w:w="1160" w:type="dxa"/>
            <w:vAlign w:val="bottom"/>
          </w:tcPr>
          <w:p>
            <w:pPr>
              <w:spacing w:after="0"/>
              <w:rPr>
                <w:sz w:val="18"/>
                <w:szCs w:val="18"/>
                <w:color w:val="auto"/>
              </w:rPr>
            </w:pPr>
          </w:p>
        </w:tc>
        <w:tc>
          <w:tcPr>
            <w:tcW w:w="9420" w:type="dxa"/>
            <w:vAlign w:val="bottom"/>
            <w:gridSpan w:val="18"/>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Notes to Unaudited Condensed Consolidated Financial Statements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09"/>
        </w:trPr>
        <w:tc>
          <w:tcPr>
            <w:tcW w:w="1160" w:type="dxa"/>
            <w:vAlign w:val="bottom"/>
          </w:tcPr>
          <w:p>
            <w:pPr>
              <w:spacing w:after="0"/>
              <w:rPr>
                <w:sz w:val="20"/>
                <w:szCs w:val="20"/>
                <w:color w:val="auto"/>
              </w:rPr>
            </w:pPr>
            <w:r>
              <w:rPr>
                <w:rFonts w:ascii="Arial" w:cs="Arial" w:eastAsia="Arial" w:hAnsi="Arial"/>
                <w:sz w:val="18"/>
                <w:szCs w:val="18"/>
                <w:color w:val="auto"/>
              </w:rPr>
              <w:t>Item 2.</w:t>
            </w:r>
          </w:p>
        </w:tc>
        <w:tc>
          <w:tcPr>
            <w:tcW w:w="644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Management’s Discussion and Analysis of Financial Condition and Results of Operations</w:t>
              </w:r>
            </w:hyperlink>
          </w:p>
        </w:tc>
        <w:tc>
          <w:tcPr>
            <w:tcW w:w="2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09"/>
        </w:trPr>
        <w:tc>
          <w:tcPr>
            <w:tcW w:w="1160" w:type="dxa"/>
            <w:vAlign w:val="bottom"/>
          </w:tcPr>
          <w:p>
            <w:pPr>
              <w:spacing w:after="0"/>
              <w:rPr>
                <w:sz w:val="20"/>
                <w:szCs w:val="20"/>
                <w:color w:val="auto"/>
              </w:rPr>
            </w:pPr>
            <w:r>
              <w:rPr>
                <w:rFonts w:ascii="Arial" w:cs="Arial" w:eastAsia="Arial" w:hAnsi="Arial"/>
                <w:sz w:val="18"/>
                <w:szCs w:val="18"/>
                <w:color w:val="auto"/>
              </w:rPr>
              <w:t>Item 3.</w:t>
            </w:r>
          </w:p>
        </w:tc>
        <w:tc>
          <w:tcPr>
            <w:tcW w:w="4340" w:type="dxa"/>
            <w:vAlign w:val="bottom"/>
            <w:tcBorders>
              <w:bottom w:val="single" w:sz="8" w:color="0000EE"/>
            </w:tcBorders>
            <w:gridSpan w:val="13"/>
          </w:tcPr>
          <w:p>
            <w:pPr>
              <w:spacing w:after="0"/>
              <w:rPr>
                <w:rFonts w:ascii="Arial" w:cs="Arial" w:eastAsia="Arial" w:hAnsi="Arial"/>
                <w:sz w:val="18"/>
                <w:szCs w:val="18"/>
                <w:color w:val="0000EE"/>
                <w:w w:val="91"/>
              </w:rPr>
            </w:pPr>
            <w:hyperlink w:anchor="page32">
              <w:r>
                <w:rPr>
                  <w:rFonts w:ascii="Arial" w:cs="Arial" w:eastAsia="Arial" w:hAnsi="Arial"/>
                  <w:sz w:val="18"/>
                  <w:szCs w:val="18"/>
                  <w:color w:val="0000EE"/>
                  <w:w w:val="91"/>
                </w:rPr>
                <w:t>Quantitative and Qualitative Disclosures About Market Risk</w:t>
              </w:r>
            </w:hyperlink>
          </w:p>
        </w:tc>
        <w:tc>
          <w:tcPr>
            <w:tcW w:w="5080" w:type="dxa"/>
            <w:vAlign w:val="bottom"/>
            <w:gridSpan w:val="5"/>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9"/>
        </w:trPr>
        <w:tc>
          <w:tcPr>
            <w:tcW w:w="116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33">
              <w:r>
                <w:rPr>
                  <w:rFonts w:ascii="Arial" w:cs="Arial" w:eastAsia="Arial" w:hAnsi="Arial"/>
                  <w:sz w:val="18"/>
                  <w:szCs w:val="18"/>
                  <w:color w:val="0000EE"/>
                  <w:w w:val="88"/>
                </w:rPr>
                <w:t>Controls and Procedures</w:t>
              </w:r>
            </w:hyperlink>
          </w:p>
        </w:tc>
        <w:tc>
          <w:tcPr>
            <w:tcW w:w="7640" w:type="dxa"/>
            <w:vAlign w:val="bottom"/>
            <w:gridSpan w:val="11"/>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48"/>
        </w:trPr>
        <w:tc>
          <w:tcPr>
            <w:tcW w:w="11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420" w:type="dxa"/>
            <w:vAlign w:val="bottom"/>
            <w:gridSpan w:val="18"/>
          </w:tcPr>
          <w:p>
            <w:pPr>
              <w:spacing w:after="0"/>
              <w:rPr>
                <w:sz w:val="20"/>
                <w:szCs w:val="20"/>
                <w:color w:val="auto"/>
              </w:rPr>
            </w:pPr>
            <w:r>
              <w:rPr>
                <w:rFonts w:ascii="Arial" w:cs="Arial" w:eastAsia="Arial" w:hAnsi="Arial"/>
                <w:sz w:val="18"/>
                <w:szCs w:val="18"/>
                <w:color w:val="auto"/>
              </w:rPr>
              <w:t>OTHER INFORMATION</w:t>
            </w:r>
          </w:p>
        </w:tc>
        <w:tc>
          <w:tcPr>
            <w:tcW w:w="660" w:type="dxa"/>
            <w:vAlign w:val="bottom"/>
          </w:tcPr>
          <w:p>
            <w:pPr>
              <w:spacing w:after="0"/>
              <w:rPr>
                <w:sz w:val="21"/>
                <w:szCs w:val="21"/>
                <w:color w:val="auto"/>
              </w:rPr>
            </w:pPr>
          </w:p>
        </w:tc>
      </w:tr>
      <w:tr>
        <w:trPr>
          <w:trHeight w:val="189"/>
        </w:trPr>
        <w:tc>
          <w:tcPr>
            <w:tcW w:w="1160" w:type="dxa"/>
            <w:vAlign w:val="bottom"/>
          </w:tcPr>
          <w:p>
            <w:pPr>
              <w:spacing w:after="0" w:line="189" w:lineRule="exact"/>
              <w:rPr>
                <w:sz w:val="20"/>
                <w:szCs w:val="20"/>
                <w:color w:val="auto"/>
              </w:rPr>
            </w:pPr>
            <w:r>
              <w:rPr>
                <w:rFonts w:ascii="Arial" w:cs="Arial" w:eastAsia="Arial" w:hAnsi="Arial"/>
                <w:sz w:val="18"/>
                <w:szCs w:val="18"/>
                <w:color w:val="auto"/>
              </w:rPr>
              <w:t>Item 1.</w:t>
            </w:r>
          </w:p>
        </w:tc>
        <w:tc>
          <w:tcPr>
            <w:tcW w:w="9420" w:type="dxa"/>
            <w:vAlign w:val="bottom"/>
            <w:gridSpan w:val="18"/>
          </w:tcPr>
          <w:p>
            <w:pPr>
              <w:spacing w:after="0" w:line="189" w:lineRule="exact"/>
              <w:rPr>
                <w:rFonts w:ascii="Arial" w:cs="Arial" w:eastAsia="Arial" w:hAnsi="Arial"/>
                <w:sz w:val="18"/>
                <w:szCs w:val="18"/>
                <w:color w:val="0000EE"/>
              </w:rPr>
            </w:pPr>
            <w:hyperlink w:anchor="page35">
              <w:r>
                <w:rPr>
                  <w:rFonts w:ascii="Arial" w:cs="Arial" w:eastAsia="Arial" w:hAnsi="Arial"/>
                  <w:sz w:val="18"/>
                  <w:szCs w:val="18"/>
                  <w:color w:val="0000EE"/>
                </w:rPr>
                <w:t>Legal Proceedings</w:t>
              </w:r>
            </w:hyperlink>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29</w:t>
            </w:r>
          </w:p>
        </w:tc>
      </w:tr>
      <w:tr>
        <w:trPr>
          <w:trHeight w:val="209"/>
        </w:trPr>
        <w:tc>
          <w:tcPr>
            <w:tcW w:w="116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35">
              <w:r>
                <w:rPr>
                  <w:rFonts w:ascii="Arial" w:cs="Arial" w:eastAsia="Arial" w:hAnsi="Arial"/>
                  <w:sz w:val="18"/>
                  <w:szCs w:val="18"/>
                  <w:color w:val="0000EE"/>
                  <w:w w:val="87"/>
                </w:rPr>
                <w:t>Risk Factors</w:t>
              </w:r>
            </w:hyperlink>
          </w:p>
        </w:tc>
        <w:tc>
          <w:tcPr>
            <w:tcW w:w="420" w:type="dxa"/>
            <w:vAlign w:val="bottom"/>
            <w:tcBorders>
              <w:top w:val="single" w:sz="8" w:color="0000EE"/>
            </w:tcBorders>
            <w:gridSpan w:val="3"/>
          </w:tcPr>
          <w:p>
            <w:pPr>
              <w:spacing w:after="0"/>
              <w:rPr>
                <w:sz w:val="18"/>
                <w:szCs w:val="18"/>
                <w:color w:val="auto"/>
              </w:rPr>
            </w:pPr>
          </w:p>
        </w:tc>
        <w:tc>
          <w:tcPr>
            <w:tcW w:w="8100" w:type="dxa"/>
            <w:vAlign w:val="bottom"/>
            <w:gridSpan w:val="13"/>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9"/>
        </w:trPr>
        <w:tc>
          <w:tcPr>
            <w:tcW w:w="1160" w:type="dxa"/>
            <w:vAlign w:val="bottom"/>
          </w:tcPr>
          <w:p>
            <w:pPr>
              <w:spacing w:after="0"/>
              <w:rPr>
                <w:sz w:val="20"/>
                <w:szCs w:val="20"/>
                <w:color w:val="auto"/>
              </w:rPr>
            </w:pPr>
            <w:r>
              <w:rPr>
                <w:rFonts w:ascii="Arial" w:cs="Arial" w:eastAsia="Arial" w:hAnsi="Arial"/>
                <w:sz w:val="18"/>
                <w:szCs w:val="18"/>
                <w:color w:val="auto"/>
              </w:rPr>
              <w:t>Item 2.</w:t>
            </w:r>
          </w:p>
        </w:tc>
        <w:tc>
          <w:tcPr>
            <w:tcW w:w="9420" w:type="dxa"/>
            <w:vAlign w:val="bottom"/>
            <w:gridSpan w:val="18"/>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Unregistered Sales of Equity Securities and Use of Proceeds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09"/>
        </w:trPr>
        <w:tc>
          <w:tcPr>
            <w:tcW w:w="1160" w:type="dxa"/>
            <w:vAlign w:val="bottom"/>
          </w:tcPr>
          <w:p>
            <w:pPr>
              <w:spacing w:after="0"/>
              <w:rPr>
                <w:sz w:val="20"/>
                <w:szCs w:val="20"/>
                <w:color w:val="auto"/>
              </w:rPr>
            </w:pPr>
            <w:r>
              <w:rPr>
                <w:rFonts w:ascii="Arial" w:cs="Arial" w:eastAsia="Arial" w:hAnsi="Arial"/>
                <w:sz w:val="18"/>
                <w:szCs w:val="18"/>
                <w:color w:val="auto"/>
              </w:rPr>
              <w:t>Item 3.</w:t>
            </w:r>
          </w:p>
        </w:tc>
        <w:tc>
          <w:tcPr>
            <w:tcW w:w="23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0"/>
              </w:rPr>
            </w:pPr>
            <w:hyperlink w:anchor="page75">
              <w:r>
                <w:rPr>
                  <w:rFonts w:ascii="Arial" w:cs="Arial" w:eastAsia="Arial" w:hAnsi="Arial"/>
                  <w:sz w:val="18"/>
                  <w:szCs w:val="18"/>
                  <w:color w:val="0000EE"/>
                  <w:w w:val="90"/>
                </w:rPr>
                <w:t>Defaults Upon Senior Securities</w:t>
              </w:r>
            </w:hyperlink>
          </w:p>
        </w:tc>
        <w:tc>
          <w:tcPr>
            <w:tcW w:w="2000" w:type="dxa"/>
            <w:vAlign w:val="bottom"/>
            <w:tcBorders>
              <w:top w:val="single" w:sz="8" w:color="0000EE"/>
            </w:tcBorders>
            <w:gridSpan w:val="4"/>
          </w:tcPr>
          <w:p>
            <w:pPr>
              <w:spacing w:after="0"/>
              <w:rPr>
                <w:sz w:val="18"/>
                <w:szCs w:val="18"/>
                <w:color w:val="auto"/>
              </w:rPr>
            </w:pPr>
          </w:p>
        </w:tc>
        <w:tc>
          <w:tcPr>
            <w:tcW w:w="5100" w:type="dxa"/>
            <w:vAlign w:val="bottom"/>
            <w:gridSpan w:val="6"/>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09"/>
        </w:trPr>
        <w:tc>
          <w:tcPr>
            <w:tcW w:w="1160" w:type="dxa"/>
            <w:vAlign w:val="bottom"/>
          </w:tcPr>
          <w:p>
            <w:pPr>
              <w:spacing w:after="0"/>
              <w:rPr>
                <w:sz w:val="20"/>
                <w:szCs w:val="20"/>
                <w:color w:val="auto"/>
              </w:rPr>
            </w:pPr>
            <w:r>
              <w:rPr>
                <w:rFonts w:ascii="Arial" w:cs="Arial" w:eastAsia="Arial" w:hAnsi="Arial"/>
                <w:sz w:val="18"/>
                <w:szCs w:val="18"/>
                <w:color w:val="auto"/>
              </w:rPr>
              <w:t>Item 4.</w:t>
            </w:r>
          </w:p>
        </w:tc>
        <w:tc>
          <w:tcPr>
            <w:tcW w:w="176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75">
              <w:r>
                <w:rPr>
                  <w:rFonts w:ascii="Arial" w:cs="Arial" w:eastAsia="Arial" w:hAnsi="Arial"/>
                  <w:sz w:val="18"/>
                  <w:szCs w:val="18"/>
                  <w:color w:val="0000EE"/>
                  <w:w w:val="90"/>
                </w:rPr>
                <w:t>Mine Safety Disclosures</w:t>
              </w:r>
            </w:hyperlink>
          </w:p>
        </w:tc>
        <w:tc>
          <w:tcPr>
            <w:tcW w:w="7660" w:type="dxa"/>
            <w:vAlign w:val="bottom"/>
            <w:gridSpan w:val="12"/>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09"/>
        </w:trPr>
        <w:tc>
          <w:tcPr>
            <w:tcW w:w="1160" w:type="dxa"/>
            <w:vAlign w:val="bottom"/>
          </w:tcPr>
          <w:p>
            <w:pPr>
              <w:spacing w:after="0"/>
              <w:rPr>
                <w:sz w:val="20"/>
                <w:szCs w:val="20"/>
                <w:color w:val="auto"/>
              </w:rPr>
            </w:pPr>
            <w:r>
              <w:rPr>
                <w:rFonts w:ascii="Arial" w:cs="Arial" w:eastAsia="Arial" w:hAnsi="Arial"/>
                <w:sz w:val="18"/>
                <w:szCs w:val="18"/>
                <w:color w:val="auto"/>
              </w:rPr>
              <w:t>Item 5.</w:t>
            </w:r>
          </w:p>
        </w:tc>
        <w:tc>
          <w:tcPr>
            <w:tcW w:w="9420" w:type="dxa"/>
            <w:vAlign w:val="bottom"/>
            <w:gridSpan w:val="18"/>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Other Information</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09"/>
        </w:trPr>
        <w:tc>
          <w:tcPr>
            <w:tcW w:w="116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76">
              <w:r>
                <w:rPr>
                  <w:rFonts w:ascii="Arial" w:cs="Arial" w:eastAsia="Arial" w:hAnsi="Arial"/>
                  <w:sz w:val="18"/>
                  <w:szCs w:val="18"/>
                  <w:color w:val="0000EE"/>
                  <w:w w:val="91"/>
                </w:rPr>
                <w:t>Exhibits</w:t>
              </w:r>
            </w:hyperlink>
          </w:p>
        </w:tc>
        <w:tc>
          <w:tcPr>
            <w:tcW w:w="700" w:type="dxa"/>
            <w:vAlign w:val="bottom"/>
            <w:tcBorders>
              <w:top w:val="single" w:sz="8" w:color="0000EE"/>
            </w:tcBorders>
            <w:gridSpan w:val="3"/>
          </w:tcPr>
          <w:p>
            <w:pPr>
              <w:spacing w:after="0"/>
              <w:rPr>
                <w:sz w:val="18"/>
                <w:szCs w:val="18"/>
                <w:color w:val="auto"/>
              </w:rPr>
            </w:pPr>
          </w:p>
        </w:tc>
        <w:tc>
          <w:tcPr>
            <w:tcW w:w="8120" w:type="dxa"/>
            <w:vAlign w:val="bottom"/>
            <w:gridSpan w:val="14"/>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09"/>
        </w:trPr>
        <w:tc>
          <w:tcPr>
            <w:tcW w:w="1160" w:type="dxa"/>
            <w:vAlign w:val="bottom"/>
          </w:tcPr>
          <w:p>
            <w:pPr>
              <w:spacing w:after="0"/>
              <w:rPr>
                <w:sz w:val="18"/>
                <w:szCs w:val="18"/>
                <w:color w:val="auto"/>
              </w:rPr>
            </w:pPr>
          </w:p>
        </w:tc>
        <w:tc>
          <w:tcPr>
            <w:tcW w:w="9420" w:type="dxa"/>
            <w:vAlign w:val="bottom"/>
            <w:gridSpan w:val="18"/>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SIGNATURES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83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C4 Therapeutics, Inc.</w:t>
      </w:r>
    </w:p>
    <w:p>
      <w:pPr>
        <w:spacing w:after="0" w:line="165"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520" w:type="dxa"/>
            <w:vAlign w:val="bottom"/>
          </w:tcPr>
          <w:p>
            <w:pPr>
              <w:jc w:val="right"/>
              <w:ind w:right="45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5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71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2"/>
        </w:trPr>
        <w:tc>
          <w:tcPr>
            <w:tcW w:w="7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162,745</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181,727</w:t>
            </w:r>
          </w:p>
        </w:tc>
        <w:tc>
          <w:tcPr>
            <w:tcW w:w="0" w:type="dxa"/>
            <w:vAlign w:val="bottom"/>
          </w:tcPr>
          <w:p>
            <w:pPr>
              <w:spacing w:after="0"/>
              <w:rPr>
                <w:sz w:val="1"/>
                <w:szCs w:val="1"/>
                <w:color w:val="auto"/>
              </w:rPr>
            </w:pPr>
          </w:p>
        </w:tc>
      </w:tr>
      <w:tr>
        <w:trPr>
          <w:trHeight w:val="229"/>
        </w:trPr>
        <w:tc>
          <w:tcPr>
            <w:tcW w:w="7540" w:type="dxa"/>
            <w:vAlign w:val="bottom"/>
          </w:tcPr>
          <w:p>
            <w:pPr>
              <w:ind w:left="260"/>
              <w:spacing w:after="0"/>
              <w:rPr>
                <w:sz w:val="20"/>
                <w:szCs w:val="20"/>
                <w:color w:val="auto"/>
              </w:rPr>
            </w:pPr>
            <w:r>
              <w:rPr>
                <w:rFonts w:ascii="Arial" w:cs="Arial" w:eastAsia="Arial" w:hAnsi="Arial"/>
                <w:sz w:val="18"/>
                <w:szCs w:val="18"/>
                <w:color w:val="auto"/>
              </w:rPr>
              <w:t>Marketable securities, current</w:t>
            </w:r>
          </w:p>
        </w:tc>
        <w:tc>
          <w:tcPr>
            <w:tcW w:w="24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239,326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ind w:right="51"/>
              <w:spacing w:after="0"/>
              <w:rPr>
                <w:sz w:val="20"/>
                <w:szCs w:val="20"/>
                <w:color w:val="auto"/>
              </w:rPr>
            </w:pPr>
            <w:r>
              <w:rPr>
                <w:rFonts w:ascii="Arial" w:cs="Arial" w:eastAsia="Arial" w:hAnsi="Arial"/>
                <w:sz w:val="18"/>
                <w:szCs w:val="18"/>
                <w:color w:val="auto"/>
              </w:rPr>
              <w:t>189,962</w:t>
            </w:r>
          </w:p>
        </w:tc>
        <w:tc>
          <w:tcPr>
            <w:tcW w:w="0" w:type="dxa"/>
            <w:vAlign w:val="bottom"/>
          </w:tcPr>
          <w:p>
            <w:pPr>
              <w:spacing w:after="0"/>
              <w:rPr>
                <w:sz w:val="1"/>
                <w:szCs w:val="1"/>
                <w:color w:val="auto"/>
              </w:rPr>
            </w:pPr>
          </w:p>
        </w:tc>
      </w:tr>
      <w:tr>
        <w:trPr>
          <w:trHeight w:val="229"/>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4,845</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4,484</w:t>
            </w:r>
          </w:p>
        </w:tc>
        <w:tc>
          <w:tcPr>
            <w:tcW w:w="0" w:type="dxa"/>
            <w:vAlign w:val="bottom"/>
          </w:tcPr>
          <w:p>
            <w:pPr>
              <w:spacing w:after="0"/>
              <w:rPr>
                <w:sz w:val="1"/>
                <w:szCs w:val="1"/>
                <w:color w:val="auto"/>
              </w:rPr>
            </w:pPr>
          </w:p>
        </w:tc>
      </w:tr>
      <w:tr>
        <w:trPr>
          <w:trHeight w:val="229"/>
        </w:trPr>
        <w:tc>
          <w:tcPr>
            <w:tcW w:w="75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5,378</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4,836</w:t>
            </w:r>
          </w:p>
        </w:tc>
        <w:tc>
          <w:tcPr>
            <w:tcW w:w="0" w:type="dxa"/>
            <w:vAlign w:val="bottom"/>
          </w:tcPr>
          <w:p>
            <w:pPr>
              <w:spacing w:after="0"/>
              <w:rPr>
                <w:sz w:val="1"/>
                <w:szCs w:val="1"/>
                <w:color w:val="auto"/>
              </w:rPr>
            </w:pPr>
          </w:p>
        </w:tc>
      </w:tr>
      <w:tr>
        <w:trPr>
          <w:trHeight w:val="222"/>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412,294</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381,009</w:t>
            </w:r>
          </w:p>
        </w:tc>
        <w:tc>
          <w:tcPr>
            <w:tcW w:w="0" w:type="dxa"/>
            <w:vAlign w:val="bottom"/>
          </w:tcPr>
          <w:p>
            <w:pPr>
              <w:spacing w:after="0"/>
              <w:rPr>
                <w:sz w:val="1"/>
                <w:szCs w:val="1"/>
                <w:color w:val="auto"/>
              </w:rPr>
            </w:pPr>
          </w:p>
        </w:tc>
      </w:tr>
      <w:tr>
        <w:trPr>
          <w:trHeight w:val="229"/>
        </w:trPr>
        <w:tc>
          <w:tcPr>
            <w:tcW w:w="7540" w:type="dxa"/>
            <w:vAlign w:val="bottom"/>
          </w:tcPr>
          <w:p>
            <w:pPr>
              <w:spacing w:after="0"/>
              <w:rPr>
                <w:sz w:val="20"/>
                <w:szCs w:val="20"/>
                <w:color w:val="auto"/>
              </w:rPr>
            </w:pPr>
            <w:r>
              <w:rPr>
                <w:rFonts w:ascii="Arial" w:cs="Arial" w:eastAsia="Arial" w:hAnsi="Arial"/>
                <w:sz w:val="18"/>
                <w:szCs w:val="18"/>
                <w:color w:val="auto"/>
              </w:rPr>
              <w:t>Marketable securities, non-current</w:t>
            </w:r>
          </w:p>
        </w:tc>
        <w:tc>
          <w:tcPr>
            <w:tcW w:w="24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78,191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3,323</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3,323</w:t>
            </w:r>
          </w:p>
        </w:tc>
        <w:tc>
          <w:tcPr>
            <w:tcW w:w="0" w:type="dxa"/>
            <w:vAlign w:val="bottom"/>
          </w:tcPr>
          <w:p>
            <w:pPr>
              <w:spacing w:after="0"/>
              <w:rPr>
                <w:sz w:val="1"/>
                <w:szCs w:val="1"/>
                <w:color w:val="auto"/>
              </w:rPr>
            </w:pPr>
          </w:p>
        </w:tc>
      </w:tr>
      <w:tr>
        <w:trPr>
          <w:trHeight w:val="229"/>
        </w:trPr>
        <w:tc>
          <w:tcPr>
            <w:tcW w:w="7540" w:type="dxa"/>
            <w:vAlign w:val="bottom"/>
          </w:tcPr>
          <w:p>
            <w:pPr>
              <w:spacing w:after="0"/>
              <w:rPr>
                <w:sz w:val="20"/>
                <w:szCs w:val="20"/>
                <w:color w:val="auto"/>
              </w:rPr>
            </w:pPr>
            <w:r>
              <w:rPr>
                <w:rFonts w:ascii="Arial" w:cs="Arial" w:eastAsia="Arial" w:hAnsi="Arial"/>
                <w:sz w:val="18"/>
                <w:szCs w:val="18"/>
                <w:color w:val="auto"/>
              </w:rPr>
              <w:t>Right-of-use asset</w:t>
            </w:r>
          </w:p>
        </w:tc>
        <w:tc>
          <w:tcPr>
            <w:tcW w:w="24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12,249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ind w:right="51"/>
              <w:spacing w:after="0"/>
              <w:rPr>
                <w:sz w:val="20"/>
                <w:szCs w:val="20"/>
                <w:color w:val="auto"/>
              </w:rPr>
            </w:pPr>
            <w:r>
              <w:rPr>
                <w:rFonts w:ascii="Arial" w:cs="Arial" w:eastAsia="Arial" w:hAnsi="Arial"/>
                <w:sz w:val="18"/>
                <w:szCs w:val="18"/>
                <w:color w:val="auto"/>
              </w:rPr>
              <w:t>13,229</w:t>
            </w:r>
          </w:p>
        </w:tc>
        <w:tc>
          <w:tcPr>
            <w:tcW w:w="0" w:type="dxa"/>
            <w:vAlign w:val="bottom"/>
          </w:tcPr>
          <w:p>
            <w:pPr>
              <w:spacing w:after="0"/>
              <w:rPr>
                <w:sz w:val="1"/>
                <w:szCs w:val="1"/>
                <w:color w:val="auto"/>
              </w:rPr>
            </w:pPr>
          </w:p>
        </w:tc>
      </w:tr>
      <w:tr>
        <w:trPr>
          <w:trHeight w:val="229"/>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1,276</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2,577</w:t>
            </w:r>
          </w:p>
        </w:tc>
        <w:tc>
          <w:tcPr>
            <w:tcW w:w="0" w:type="dxa"/>
            <w:vAlign w:val="bottom"/>
          </w:tcPr>
          <w:p>
            <w:pPr>
              <w:spacing w:after="0"/>
              <w:rPr>
                <w:sz w:val="1"/>
                <w:szCs w:val="1"/>
                <w:color w:val="auto"/>
              </w:rPr>
            </w:pPr>
          </w:p>
        </w:tc>
      </w:tr>
      <w:tr>
        <w:trPr>
          <w:trHeight w:val="229"/>
        </w:trPr>
        <w:tc>
          <w:tcPr>
            <w:tcW w:w="7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578</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7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507,911</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400,138</w:t>
            </w: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5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3,745</w:t>
            </w:r>
          </w:p>
        </w:tc>
        <w:tc>
          <w:tcPr>
            <w:tcW w:w="20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ind w:right="51"/>
              <w:spacing w:after="0"/>
              <w:rPr>
                <w:sz w:val="20"/>
                <w:szCs w:val="20"/>
                <w:color w:val="auto"/>
              </w:rPr>
            </w:pPr>
            <w:r>
              <w:rPr>
                <w:rFonts w:ascii="Arial" w:cs="Arial" w:eastAsia="Arial" w:hAnsi="Arial"/>
                <w:sz w:val="18"/>
                <w:szCs w:val="18"/>
                <w:color w:val="auto"/>
              </w:rPr>
              <w:t>5,683</w:t>
            </w:r>
          </w:p>
        </w:tc>
        <w:tc>
          <w:tcPr>
            <w:tcW w:w="0" w:type="dxa"/>
            <w:vAlign w:val="bottom"/>
          </w:tcPr>
          <w:p>
            <w:pPr>
              <w:spacing w:after="0"/>
              <w:rPr>
                <w:sz w:val="1"/>
                <w:szCs w:val="1"/>
                <w:color w:val="auto"/>
              </w:rPr>
            </w:pPr>
          </w:p>
        </w:tc>
      </w:tr>
      <w:tr>
        <w:trPr>
          <w:trHeight w:val="229"/>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11,471</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9,524</w:t>
            </w:r>
          </w:p>
        </w:tc>
        <w:tc>
          <w:tcPr>
            <w:tcW w:w="0" w:type="dxa"/>
            <w:vAlign w:val="bottom"/>
          </w:tcPr>
          <w:p>
            <w:pPr>
              <w:spacing w:after="0"/>
              <w:rPr>
                <w:sz w:val="1"/>
                <w:szCs w:val="1"/>
                <w:color w:val="auto"/>
              </w:rPr>
            </w:pPr>
          </w:p>
        </w:tc>
      </w:tr>
      <w:tr>
        <w:trPr>
          <w:trHeight w:val="229"/>
        </w:trPr>
        <w:tc>
          <w:tcPr>
            <w:tcW w:w="7540" w:type="dxa"/>
            <w:vAlign w:val="bottom"/>
          </w:tcPr>
          <w:p>
            <w:pPr>
              <w:ind w:left="260"/>
              <w:spacing w:after="0"/>
              <w:rPr>
                <w:sz w:val="20"/>
                <w:szCs w:val="20"/>
                <w:color w:val="auto"/>
              </w:rPr>
            </w:pPr>
            <w:r>
              <w:rPr>
                <w:rFonts w:ascii="Arial" w:cs="Arial" w:eastAsia="Arial" w:hAnsi="Arial"/>
                <w:sz w:val="18"/>
                <w:szCs w:val="18"/>
                <w:color w:val="auto"/>
              </w:rPr>
              <w:t>Deferred revenue, current</w:t>
            </w:r>
          </w:p>
        </w:tc>
        <w:tc>
          <w:tcPr>
            <w:tcW w:w="24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32,294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ind w:right="51"/>
              <w:spacing w:after="0"/>
              <w:rPr>
                <w:sz w:val="20"/>
                <w:szCs w:val="20"/>
                <w:color w:val="auto"/>
              </w:rPr>
            </w:pPr>
            <w:r>
              <w:rPr>
                <w:rFonts w:ascii="Arial" w:cs="Arial" w:eastAsia="Arial" w:hAnsi="Arial"/>
                <w:sz w:val="18"/>
                <w:szCs w:val="18"/>
                <w:color w:val="auto"/>
              </w:rPr>
              <w:t>27,603</w:t>
            </w:r>
          </w:p>
        </w:tc>
        <w:tc>
          <w:tcPr>
            <w:tcW w:w="0" w:type="dxa"/>
            <w:vAlign w:val="bottom"/>
          </w:tcPr>
          <w:p>
            <w:pPr>
              <w:spacing w:after="0"/>
              <w:rPr>
                <w:sz w:val="1"/>
                <w:szCs w:val="1"/>
                <w:color w:val="auto"/>
              </w:rPr>
            </w:pPr>
          </w:p>
        </w:tc>
      </w:tr>
      <w:tr>
        <w:trPr>
          <w:trHeight w:val="229"/>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liability, current</w:t>
            </w:r>
          </w:p>
        </w:tc>
        <w:tc>
          <w:tcPr>
            <w:tcW w:w="24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1,177</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1,042</w:t>
            </w:r>
          </w:p>
        </w:tc>
        <w:tc>
          <w:tcPr>
            <w:tcW w:w="0" w:type="dxa"/>
            <w:vAlign w:val="bottom"/>
          </w:tcPr>
          <w:p>
            <w:pPr>
              <w:spacing w:after="0"/>
              <w:rPr>
                <w:sz w:val="1"/>
                <w:szCs w:val="1"/>
                <w:color w:val="auto"/>
              </w:rPr>
            </w:pPr>
          </w:p>
        </w:tc>
      </w:tr>
      <w:tr>
        <w:trPr>
          <w:trHeight w:val="222"/>
        </w:trPr>
        <w:tc>
          <w:tcPr>
            <w:tcW w:w="7540" w:type="dxa"/>
            <w:vAlign w:val="bottom"/>
          </w:tcPr>
          <w:p>
            <w:pPr>
              <w:ind w:left="26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48,687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ind w:right="51"/>
              <w:spacing w:after="0"/>
              <w:rPr>
                <w:sz w:val="20"/>
                <w:szCs w:val="20"/>
                <w:color w:val="auto"/>
              </w:rPr>
            </w:pPr>
            <w:r>
              <w:rPr>
                <w:rFonts w:ascii="Arial" w:cs="Arial" w:eastAsia="Arial" w:hAnsi="Arial"/>
                <w:sz w:val="18"/>
                <w:szCs w:val="18"/>
                <w:color w:val="auto"/>
              </w:rPr>
              <w:t>43,852</w:t>
            </w:r>
          </w:p>
        </w:tc>
        <w:tc>
          <w:tcPr>
            <w:tcW w:w="0" w:type="dxa"/>
            <w:vAlign w:val="bottom"/>
          </w:tcPr>
          <w:p>
            <w:pPr>
              <w:spacing w:after="0"/>
              <w:rPr>
                <w:sz w:val="1"/>
                <w:szCs w:val="1"/>
                <w:color w:val="auto"/>
              </w:rPr>
            </w:pPr>
          </w:p>
        </w:tc>
      </w:tr>
      <w:tr>
        <w:trPr>
          <w:trHeight w:val="229"/>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net of current</w:t>
            </w: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38,936</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53,617</w:t>
            </w:r>
          </w:p>
        </w:tc>
        <w:tc>
          <w:tcPr>
            <w:tcW w:w="0" w:type="dxa"/>
            <w:vAlign w:val="bottom"/>
          </w:tcPr>
          <w:p>
            <w:pPr>
              <w:spacing w:after="0"/>
              <w:rPr>
                <w:sz w:val="1"/>
                <w:szCs w:val="1"/>
                <w:color w:val="auto"/>
              </w:rPr>
            </w:pPr>
          </w:p>
        </w:tc>
      </w:tr>
      <w:tr>
        <w:trPr>
          <w:trHeight w:val="229"/>
        </w:trPr>
        <w:tc>
          <w:tcPr>
            <w:tcW w:w="7540" w:type="dxa"/>
            <w:vAlign w:val="bottom"/>
          </w:tcPr>
          <w:p>
            <w:pPr>
              <w:spacing w:after="0"/>
              <w:rPr>
                <w:sz w:val="20"/>
                <w:szCs w:val="20"/>
                <w:color w:val="auto"/>
              </w:rPr>
            </w:pPr>
            <w:r>
              <w:rPr>
                <w:rFonts w:ascii="Arial" w:cs="Arial" w:eastAsia="Arial" w:hAnsi="Arial"/>
                <w:sz w:val="18"/>
                <w:szCs w:val="18"/>
                <w:color w:val="auto"/>
              </w:rPr>
              <w:t>Operating lease liability, net of current</w:t>
            </w:r>
          </w:p>
        </w:tc>
        <w:tc>
          <w:tcPr>
            <w:tcW w:w="24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10,920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ind w:right="51"/>
              <w:spacing w:after="0"/>
              <w:rPr>
                <w:sz w:val="20"/>
                <w:szCs w:val="20"/>
                <w:color w:val="auto"/>
              </w:rPr>
            </w:pPr>
            <w:r>
              <w:rPr>
                <w:rFonts w:ascii="Arial" w:cs="Arial" w:eastAsia="Arial" w:hAnsi="Arial"/>
                <w:sz w:val="18"/>
                <w:szCs w:val="18"/>
                <w:color w:val="auto"/>
              </w:rPr>
              <w:t>11,826</w:t>
            </w:r>
          </w:p>
        </w:tc>
        <w:tc>
          <w:tcPr>
            <w:tcW w:w="0" w:type="dxa"/>
            <w:vAlign w:val="bottom"/>
          </w:tcPr>
          <w:p>
            <w:pPr>
              <w:spacing w:after="0"/>
              <w:rPr>
                <w:sz w:val="1"/>
                <w:szCs w:val="1"/>
                <w:color w:val="auto"/>
              </w:rPr>
            </w:pPr>
          </w:p>
        </w:tc>
      </w:tr>
      <w:tr>
        <w:trPr>
          <w:trHeight w:val="229"/>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Long-term debt − related party</w:t>
            </w:r>
          </w:p>
        </w:tc>
        <w:tc>
          <w:tcPr>
            <w:tcW w:w="24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10,588</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10,052</w:t>
            </w:r>
          </w:p>
        </w:tc>
        <w:tc>
          <w:tcPr>
            <w:tcW w:w="0" w:type="dxa"/>
            <w:vAlign w:val="bottom"/>
          </w:tcPr>
          <w:p>
            <w:pPr>
              <w:spacing w:after="0"/>
              <w:rPr>
                <w:sz w:val="1"/>
                <w:szCs w:val="1"/>
                <w:color w:val="auto"/>
              </w:rPr>
            </w:pPr>
          </w:p>
        </w:tc>
      </w:tr>
      <w:tr>
        <w:trPr>
          <w:trHeight w:val="222"/>
        </w:trPr>
        <w:tc>
          <w:tcPr>
            <w:tcW w:w="7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109,131</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119,347</w:t>
            </w:r>
          </w:p>
        </w:tc>
        <w:tc>
          <w:tcPr>
            <w:tcW w:w="0" w:type="dxa"/>
            <w:vAlign w:val="bottom"/>
          </w:tcPr>
          <w:p>
            <w:pPr>
              <w:spacing w:after="0"/>
              <w:rPr>
                <w:sz w:val="1"/>
                <w:szCs w:val="1"/>
                <w:color w:val="auto"/>
              </w:rPr>
            </w:pPr>
          </w:p>
        </w:tc>
      </w:tr>
      <w:tr>
        <w:trPr>
          <w:trHeight w:val="222"/>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6"/>
              </w:rPr>
              <w:t>Preferred stock, par value of $0.0001 per share; 10,000,000 shares authorized, and no shares</w:t>
            </w: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issued or outstanding as of September 30, 2021 and December 31, 2020, respectively</w:t>
            </w:r>
          </w:p>
        </w:tc>
        <w:tc>
          <w:tcPr>
            <w:tcW w:w="2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540" w:type="dxa"/>
            <w:vAlign w:val="bottom"/>
          </w:tcPr>
          <w:p>
            <w:pPr>
              <w:ind w:left="260"/>
              <w:spacing w:after="0"/>
              <w:rPr>
                <w:sz w:val="20"/>
                <w:szCs w:val="20"/>
                <w:color w:val="auto"/>
              </w:rPr>
            </w:pPr>
            <w:r>
              <w:rPr>
                <w:rFonts w:ascii="Arial" w:cs="Arial" w:eastAsia="Arial" w:hAnsi="Arial"/>
                <w:sz w:val="18"/>
                <w:szCs w:val="18"/>
                <w:color w:val="auto"/>
                <w:w w:val="94"/>
              </w:rPr>
              <w:t>Common stock, par value of $0.0001 per share; 150,000,000 shares authorized, and 48,593,398</w:t>
            </w: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540" w:type="dxa"/>
            <w:vAlign w:val="bottom"/>
          </w:tcPr>
          <w:p>
            <w:pPr>
              <w:ind w:left="260"/>
              <w:spacing w:after="0"/>
              <w:rPr>
                <w:sz w:val="20"/>
                <w:szCs w:val="20"/>
                <w:color w:val="auto"/>
              </w:rPr>
            </w:pPr>
            <w:r>
              <w:rPr>
                <w:rFonts w:ascii="Arial" w:cs="Arial" w:eastAsia="Arial" w:hAnsi="Arial"/>
                <w:sz w:val="18"/>
                <w:szCs w:val="18"/>
                <w:color w:val="auto"/>
                <w:w w:val="91"/>
              </w:rPr>
              <w:t>and 43,059,632 shares issued and outstanding as of September 30, 2021 and December 31, 2020,</w:t>
            </w: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260"/>
              <w:spacing w:after="0"/>
              <w:rPr>
                <w:sz w:val="20"/>
                <w:szCs w:val="20"/>
                <w:color w:val="auto"/>
              </w:rPr>
            </w:pPr>
            <w:r>
              <w:rPr>
                <w:rFonts w:ascii="Arial" w:cs="Arial" w:eastAsia="Arial" w:hAnsi="Arial"/>
                <w:sz w:val="18"/>
                <w:szCs w:val="18"/>
                <w:color w:val="auto"/>
              </w:rPr>
              <w:t>respectively</w:t>
            </w:r>
          </w:p>
        </w:tc>
        <w:tc>
          <w:tcPr>
            <w:tcW w:w="24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ind w:right="5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650,987</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464,597</w:t>
            </w:r>
          </w:p>
        </w:tc>
        <w:tc>
          <w:tcPr>
            <w:tcW w:w="0" w:type="dxa"/>
            <w:vAlign w:val="bottom"/>
          </w:tcPr>
          <w:p>
            <w:pPr>
              <w:spacing w:after="0"/>
              <w:rPr>
                <w:sz w:val="1"/>
                <w:szCs w:val="1"/>
                <w:color w:val="auto"/>
              </w:rPr>
            </w:pPr>
          </w:p>
        </w:tc>
      </w:tr>
      <w:tr>
        <w:trPr>
          <w:trHeight w:val="229"/>
        </w:trPr>
        <w:tc>
          <w:tcPr>
            <w:tcW w:w="7540" w:type="dxa"/>
            <w:vAlign w:val="bottom"/>
          </w:tcPr>
          <w:p>
            <w:pPr>
              <w:ind w:left="260"/>
              <w:spacing w:after="0"/>
              <w:rPr>
                <w:sz w:val="20"/>
                <w:szCs w:val="20"/>
                <w:color w:val="auto"/>
              </w:rPr>
            </w:pPr>
            <w:r>
              <w:rPr>
                <w:rFonts w:ascii="Arial" w:cs="Arial" w:eastAsia="Arial" w:hAnsi="Arial"/>
                <w:sz w:val="18"/>
                <w:szCs w:val="18"/>
                <w:color w:val="auto"/>
              </w:rPr>
              <w:t>Accumulated other comprehensive (loss) income</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ind w:right="5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24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(252,057)</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(183,823)</w:t>
            </w:r>
          </w:p>
        </w:tc>
        <w:tc>
          <w:tcPr>
            <w:tcW w:w="0" w:type="dxa"/>
            <w:vAlign w:val="bottom"/>
          </w:tcPr>
          <w:p>
            <w:pPr>
              <w:spacing w:after="0"/>
              <w:rPr>
                <w:sz w:val="1"/>
                <w:szCs w:val="1"/>
                <w:color w:val="auto"/>
              </w:rPr>
            </w:pPr>
          </w:p>
        </w:tc>
      </w:tr>
      <w:tr>
        <w:trPr>
          <w:trHeight w:val="222"/>
        </w:trPr>
        <w:tc>
          <w:tcPr>
            <w:tcW w:w="75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398,780</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280,791</w:t>
            </w:r>
          </w:p>
        </w:tc>
        <w:tc>
          <w:tcPr>
            <w:tcW w:w="0" w:type="dxa"/>
            <w:vAlign w:val="bottom"/>
          </w:tcPr>
          <w:p>
            <w:pPr>
              <w:spacing w:after="0"/>
              <w:rPr>
                <w:sz w:val="1"/>
                <w:szCs w:val="1"/>
                <w:color w:val="auto"/>
              </w:rPr>
            </w:pPr>
          </w:p>
        </w:tc>
      </w:tr>
      <w:tr>
        <w:trPr>
          <w:trHeight w:val="222"/>
        </w:trPr>
        <w:tc>
          <w:tcPr>
            <w:tcW w:w="7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507,911</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400,138</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ind w:left="4800"/>
        <w:spacing w:after="0"/>
        <w:rPr>
          <w:sz w:val="20"/>
          <w:szCs w:val="20"/>
          <w:color w:val="auto"/>
        </w:rPr>
      </w:pPr>
      <w:r>
        <w:rPr>
          <w:rFonts w:ascii="Arial" w:cs="Arial" w:eastAsia="Arial" w:hAnsi="Arial"/>
          <w:sz w:val="18"/>
          <w:szCs w:val="18"/>
          <w:b w:val="1"/>
          <w:bCs w:val="1"/>
          <w:color w:val="auto"/>
        </w:rPr>
        <w:t>C4 Therapeutics, Inc.</w:t>
      </w:r>
    </w:p>
    <w:p>
      <w:pPr>
        <w:spacing w:after="0" w:line="184"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4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4"/>
                <w:szCs w:val="14"/>
                <w:color w:val="auto"/>
              </w:rPr>
            </w:pPr>
          </w:p>
        </w:tc>
        <w:tc>
          <w:tcPr>
            <w:tcW w:w="2580" w:type="dxa"/>
            <w:vAlign w:val="bottom"/>
            <w:gridSpan w:val="4"/>
          </w:tcPr>
          <w:p>
            <w:pPr>
              <w:jc w:val="right"/>
              <w:ind w:right="271"/>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55"/>
        </w:trPr>
        <w:tc>
          <w:tcPr>
            <w:tcW w:w="562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472"/>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91"/>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71"/>
              <w:spacing w:after="0" w:line="15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2"/>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Revenue from collaboration agreements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8,500</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8,447</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25,707</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24,933</w:t>
            </w:r>
          </w:p>
        </w:tc>
        <w:tc>
          <w:tcPr>
            <w:tcW w:w="0" w:type="dxa"/>
            <w:vAlign w:val="bottom"/>
          </w:tcPr>
          <w:p>
            <w:pPr>
              <w:spacing w:after="0"/>
              <w:rPr>
                <w:sz w:val="1"/>
                <w:szCs w:val="1"/>
                <w:color w:val="auto"/>
              </w:rPr>
            </w:pPr>
          </w:p>
        </w:tc>
      </w:tr>
      <w:tr>
        <w:trPr>
          <w:trHeight w:val="229"/>
        </w:trPr>
        <w:tc>
          <w:tcPr>
            <w:tcW w:w="562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24,302</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23,935</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68,114</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58,007</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8,452</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2,861</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24,472</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8,472</w:t>
            </w:r>
          </w:p>
        </w:tc>
        <w:tc>
          <w:tcPr>
            <w:tcW w:w="0" w:type="dxa"/>
            <w:vAlign w:val="bottom"/>
          </w:tcPr>
          <w:p>
            <w:pPr>
              <w:spacing w:after="0"/>
              <w:rPr>
                <w:sz w:val="1"/>
                <w:szCs w:val="1"/>
                <w:color w:val="auto"/>
              </w:rPr>
            </w:pPr>
          </w:p>
        </w:tc>
      </w:tr>
      <w:tr>
        <w:trPr>
          <w:trHeight w:val="222"/>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32,754</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26,796</w:t>
            </w: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92,586</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66,479</w:t>
            </w:r>
          </w:p>
        </w:tc>
        <w:tc>
          <w:tcPr>
            <w:tcW w:w="0" w:type="dxa"/>
            <w:vAlign w:val="bottom"/>
          </w:tcPr>
          <w:p>
            <w:pPr>
              <w:spacing w:after="0"/>
              <w:rPr>
                <w:sz w:val="1"/>
                <w:szCs w:val="1"/>
                <w:color w:val="auto"/>
              </w:rPr>
            </w:pPr>
          </w:p>
        </w:tc>
      </w:tr>
      <w:tr>
        <w:trPr>
          <w:trHeight w:val="222"/>
        </w:trPr>
        <w:tc>
          <w:tcPr>
            <w:tcW w:w="5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(24,254)</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(18,349)</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(66,879)</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(41,546)</w:t>
            </w:r>
          </w:p>
        </w:tc>
        <w:tc>
          <w:tcPr>
            <w:tcW w:w="0" w:type="dxa"/>
            <w:vAlign w:val="bottom"/>
          </w:tcPr>
          <w:p>
            <w:pPr>
              <w:spacing w:after="0"/>
              <w:rPr>
                <w:sz w:val="1"/>
                <w:szCs w:val="1"/>
                <w:color w:val="auto"/>
              </w:rPr>
            </w:pPr>
          </w:p>
        </w:tc>
      </w:tr>
      <w:tr>
        <w:trPr>
          <w:trHeight w:val="222"/>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 net:</w:t>
            </w: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260"/>
              <w:spacing w:after="0"/>
              <w:rPr>
                <w:sz w:val="20"/>
                <w:szCs w:val="20"/>
                <w:color w:val="auto"/>
              </w:rPr>
            </w:pPr>
            <w:r>
              <w:rPr>
                <w:rFonts w:ascii="Arial" w:cs="Arial" w:eastAsia="Arial" w:hAnsi="Arial"/>
                <w:sz w:val="18"/>
                <w:szCs w:val="18"/>
                <w:color w:val="auto"/>
              </w:rPr>
              <w:t>Interest expense and amortization of long-term debt − related party</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(1,606)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29"/>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and other income, net</w:t>
            </w: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110</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251</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Change in fair value of warrant liability</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(3,141)</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(3,141)</w:t>
            </w:r>
          </w:p>
        </w:tc>
        <w:tc>
          <w:tcPr>
            <w:tcW w:w="0" w:type="dxa"/>
            <w:vAlign w:val="bottom"/>
          </w:tcPr>
          <w:p>
            <w:pPr>
              <w:spacing w:after="0"/>
              <w:rPr>
                <w:sz w:val="1"/>
                <w:szCs w:val="1"/>
                <w:color w:val="auto"/>
              </w:rPr>
            </w:pPr>
          </w:p>
        </w:tc>
      </w:tr>
      <w:tr>
        <w:trPr>
          <w:trHeight w:val="222"/>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Total other (expense) income, net</w:t>
            </w:r>
          </w:p>
        </w:tc>
        <w:tc>
          <w:tcPr>
            <w:tcW w:w="1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(3,653)</w:t>
            </w: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(1,355)</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(3,496)</w:t>
            </w:r>
          </w:p>
        </w:tc>
        <w:tc>
          <w:tcPr>
            <w:tcW w:w="0" w:type="dxa"/>
            <w:vAlign w:val="bottom"/>
          </w:tcPr>
          <w:p>
            <w:pPr>
              <w:spacing w:after="0"/>
              <w:rPr>
                <w:sz w:val="1"/>
                <w:szCs w:val="1"/>
                <w:color w:val="auto"/>
              </w:rPr>
            </w:pPr>
          </w:p>
        </w:tc>
      </w:tr>
      <w:tr>
        <w:trPr>
          <w:trHeight w:val="222"/>
        </w:trPr>
        <w:tc>
          <w:tcPr>
            <w:tcW w:w="562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(24,683)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(22,002)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(68,234)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(45,042)</w:t>
            </w:r>
          </w:p>
        </w:tc>
        <w:tc>
          <w:tcPr>
            <w:tcW w:w="0" w:type="dxa"/>
            <w:vAlign w:val="bottom"/>
          </w:tcPr>
          <w:p>
            <w:pPr>
              <w:spacing w:after="0"/>
              <w:rPr>
                <w:sz w:val="1"/>
                <w:szCs w:val="1"/>
                <w:color w:val="auto"/>
              </w:rPr>
            </w:pPr>
          </w:p>
        </w:tc>
      </w:tr>
      <w:tr>
        <w:trPr>
          <w:trHeight w:val="229"/>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w:t>
            </w:r>
          </w:p>
        </w:tc>
        <w:tc>
          <w:tcPr>
            <w:tcW w:w="1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167</w:t>
            </w: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62"/>
        </w:trPr>
        <w:tc>
          <w:tcPr>
            <w:tcW w:w="5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(24,683)</w:t>
            </w:r>
          </w:p>
        </w:tc>
        <w:tc>
          <w:tcPr>
            <w:tcW w:w="14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(21,835)</w:t>
            </w:r>
          </w:p>
        </w:tc>
        <w:tc>
          <w:tcPr>
            <w:tcW w:w="14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(68,234)</w:t>
            </w:r>
          </w:p>
        </w:tc>
        <w:tc>
          <w:tcPr>
            <w:tcW w:w="14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(44,540)</w:t>
            </w:r>
          </w:p>
        </w:tc>
        <w:tc>
          <w:tcPr>
            <w:tcW w:w="0" w:type="dxa"/>
            <w:vAlign w:val="bottom"/>
          </w:tcPr>
          <w:p>
            <w:pPr>
              <w:spacing w:after="0"/>
              <w:rPr>
                <w:sz w:val="1"/>
                <w:szCs w:val="1"/>
                <w:color w:val="auto"/>
              </w:rPr>
            </w:pPr>
          </w:p>
        </w:tc>
      </w:tr>
      <w:tr>
        <w:trPr>
          <w:trHeight w:val="209"/>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Unrealized gain (loss) on marketable securities</w:t>
            </w:r>
          </w:p>
        </w:tc>
        <w:tc>
          <w:tcPr>
            <w:tcW w:w="1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1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62"/>
        </w:trPr>
        <w:tc>
          <w:tcPr>
            <w:tcW w:w="5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Comprehensive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(24,769)</w:t>
            </w:r>
          </w:p>
        </w:tc>
        <w:tc>
          <w:tcPr>
            <w:tcW w:w="14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(21,825)</w:t>
            </w:r>
          </w:p>
        </w:tc>
        <w:tc>
          <w:tcPr>
            <w:tcW w:w="14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(68,402)</w:t>
            </w:r>
          </w:p>
        </w:tc>
        <w:tc>
          <w:tcPr>
            <w:tcW w:w="14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(44,532)</w:t>
            </w:r>
          </w:p>
        </w:tc>
        <w:tc>
          <w:tcPr>
            <w:tcW w:w="0" w:type="dxa"/>
            <w:vAlign w:val="bottom"/>
          </w:tcPr>
          <w:p>
            <w:pPr>
              <w:spacing w:after="0"/>
              <w:rPr>
                <w:sz w:val="1"/>
                <w:szCs w:val="1"/>
                <w:color w:val="auto"/>
              </w:rPr>
            </w:pPr>
          </w:p>
        </w:tc>
      </w:tr>
      <w:tr>
        <w:trPr>
          <w:trHeight w:val="209"/>
        </w:trPr>
        <w:tc>
          <w:tcPr>
            <w:tcW w:w="5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20" w:type="dxa"/>
            <w:vAlign w:val="bottom"/>
          </w:tcPr>
          <w:p>
            <w:pPr>
              <w:spacing w:after="0"/>
              <w:rPr>
                <w:sz w:val="20"/>
                <w:szCs w:val="20"/>
                <w:color w:val="auto"/>
              </w:rPr>
            </w:pPr>
            <w:r>
              <w:rPr>
                <w:rFonts w:ascii="Arial" w:cs="Arial" w:eastAsia="Arial" w:hAnsi="Arial"/>
                <w:sz w:val="18"/>
                <w:szCs w:val="18"/>
                <w:color w:val="auto"/>
                <w:w w:val="95"/>
              </w:rPr>
              <w:t>Reconciliation of net loss to net loss attributable to common stockholders:</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(24,683)</w:t>
            </w:r>
          </w:p>
        </w:tc>
        <w:tc>
          <w:tcPr>
            <w:tcW w:w="40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(21,835)</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(68,234)</w:t>
            </w:r>
          </w:p>
        </w:tc>
        <w:tc>
          <w:tcPr>
            <w:tcW w:w="40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(44,540)</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Accrual of preferred stock dividends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(5,212)</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(10,363)</w:t>
            </w:r>
          </w:p>
        </w:tc>
        <w:tc>
          <w:tcPr>
            <w:tcW w:w="0" w:type="dxa"/>
            <w:vAlign w:val="bottom"/>
          </w:tcPr>
          <w:p>
            <w:pPr>
              <w:spacing w:after="0"/>
              <w:rPr>
                <w:sz w:val="1"/>
                <w:szCs w:val="1"/>
                <w:color w:val="auto"/>
              </w:rPr>
            </w:pPr>
          </w:p>
        </w:tc>
      </w:tr>
      <w:tr>
        <w:trPr>
          <w:trHeight w:val="222"/>
        </w:trPr>
        <w:tc>
          <w:tcPr>
            <w:tcW w:w="5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attributable to common stockholders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(24,683)</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(27,047)</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(68,234)</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(54,903)</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color w:val="auto"/>
                <w:w w:val="93"/>
              </w:rPr>
              <w:t>Net loss per share attributable to common stockholders − basic and diluted</w:t>
            </w: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620" w:type="dxa"/>
            <w:vAlign w:val="bottom"/>
            <w:tcBorders>
              <w:bottom w:val="single" w:sz="8" w:color="CFF0FC"/>
            </w:tcBorders>
            <w:vMerge w:val="continue"/>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(0.51)</w:t>
            </w:r>
          </w:p>
        </w:tc>
        <w:tc>
          <w:tcPr>
            <w:tcW w:w="14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(17.55)</w:t>
            </w:r>
          </w:p>
        </w:tc>
        <w:tc>
          <w:tcPr>
            <w:tcW w:w="140" w:type="dxa"/>
            <w:vAlign w:val="bottom"/>
            <w:tcBorders>
              <w:bottom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4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(36.76)</w:t>
            </w:r>
          </w:p>
        </w:tc>
        <w:tc>
          <w:tcPr>
            <w:tcW w:w="0" w:type="dxa"/>
            <w:vAlign w:val="bottom"/>
          </w:tcPr>
          <w:p>
            <w:pPr>
              <w:spacing w:after="0"/>
              <w:rPr>
                <w:sz w:val="1"/>
                <w:szCs w:val="1"/>
                <w:color w:val="auto"/>
              </w:rPr>
            </w:pPr>
          </w:p>
        </w:tc>
      </w:tr>
      <w:tr>
        <w:trPr>
          <w:trHeight w:val="195"/>
        </w:trPr>
        <w:tc>
          <w:tcPr>
            <w:tcW w:w="562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w w:val="92"/>
              </w:rPr>
              <w:t>Weighted-average number of shares used in computed net loss per share −</w:t>
            </w:r>
          </w:p>
        </w:tc>
        <w:tc>
          <w:tcPr>
            <w:tcW w:w="14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 and diluted</w:t>
            </w:r>
          </w:p>
        </w:tc>
        <w:tc>
          <w:tcPr>
            <w:tcW w:w="1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48,490,533</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1,540,902</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45,163,444</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1,493,521</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83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ind w:left="4800"/>
        <w:spacing w:after="0"/>
        <w:rPr>
          <w:sz w:val="20"/>
          <w:szCs w:val="20"/>
          <w:color w:val="auto"/>
        </w:rPr>
      </w:pPr>
      <w:r>
        <w:rPr>
          <w:rFonts w:ascii="Arial" w:cs="Arial" w:eastAsia="Arial" w:hAnsi="Arial"/>
          <w:sz w:val="18"/>
          <w:szCs w:val="18"/>
          <w:b w:val="1"/>
          <w:bCs w:val="1"/>
          <w:color w:val="auto"/>
        </w:rPr>
        <w:t>C4 Therapeutics, Inc.</w:t>
      </w:r>
    </w:p>
    <w:p>
      <w:pPr>
        <w:spacing w:after="0" w:line="184"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Condensed Consolidated Statements of Stockholders’ Equity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2260" w:type="dxa"/>
            <w:vAlign w:val="bottom"/>
            <w:gridSpan w:val="3"/>
            <w:vMerge w:val="restart"/>
          </w:tcPr>
          <w:p>
            <w:pPr>
              <w:jc w:val="right"/>
              <w:ind w:right="454"/>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00" w:type="dxa"/>
            <w:vAlign w:val="bottom"/>
          </w:tcPr>
          <w:p>
            <w:pPr>
              <w:spacing w:after="0"/>
              <w:rPr>
                <w:sz w:val="14"/>
                <w:szCs w:val="14"/>
                <w:color w:val="auto"/>
              </w:rPr>
            </w:pPr>
          </w:p>
        </w:tc>
        <w:tc>
          <w:tcPr>
            <w:tcW w:w="2260" w:type="dxa"/>
            <w:vAlign w:val="bottom"/>
            <w:tcBorders>
              <w:bottom w:val="single" w:sz="8" w:color="auto"/>
            </w:tcBorders>
            <w:gridSpan w:val="3"/>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4"/>
                <w:szCs w:val="14"/>
                <w:color w:val="auto"/>
              </w:rPr>
            </w:pPr>
          </w:p>
        </w:tc>
        <w:tc>
          <w:tcPr>
            <w:tcW w:w="12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Comprehensive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55"/>
        </w:trPr>
        <w:tc>
          <w:tcPr>
            <w:tcW w:w="3000" w:type="dxa"/>
            <w:vAlign w:val="bottom"/>
          </w:tcPr>
          <w:p>
            <w:pPr>
              <w:spacing w:after="0"/>
              <w:rPr>
                <w:sz w:val="13"/>
                <w:szCs w:val="13"/>
                <w:color w:val="auto"/>
              </w:rPr>
            </w:pPr>
          </w:p>
        </w:tc>
        <w:tc>
          <w:tcPr>
            <w:tcW w:w="1380" w:type="dxa"/>
            <w:vAlign w:val="bottom"/>
            <w:gridSpan w:val="2"/>
          </w:tcPr>
          <w:p>
            <w:pPr>
              <w:ind w:left="360"/>
              <w:spacing w:after="0" w:line="155" w:lineRule="exact"/>
              <w:rPr>
                <w:sz w:val="20"/>
                <w:szCs w:val="20"/>
                <w:color w:val="auto"/>
              </w:rPr>
            </w:pPr>
            <w:r>
              <w:rPr>
                <w:rFonts w:ascii="Arial" w:cs="Arial" w:eastAsia="Arial" w:hAnsi="Arial"/>
                <w:sz w:val="14"/>
                <w:szCs w:val="14"/>
                <w:b w:val="1"/>
                <w:bCs w:val="1"/>
                <w:color w:val="auto"/>
              </w:rPr>
              <w:t>Shares</w:t>
            </w:r>
          </w:p>
        </w:tc>
        <w:tc>
          <w:tcPr>
            <w:tcW w:w="8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right"/>
              <w:ind w:right="500"/>
              <w:spacing w:after="0" w:line="155" w:lineRule="exact"/>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0"/>
              </w:rPr>
              <w:t>Income (Loss)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right"/>
              <w:ind w:right="620"/>
              <w:spacing w:after="0" w:line="155" w:lineRule="exact"/>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3"/>
                <w:szCs w:val="13"/>
                <w:color w:val="auto"/>
              </w:rPr>
            </w:pPr>
          </w:p>
        </w:tc>
        <w:tc>
          <w:tcPr>
            <w:tcW w:w="116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2"/>
        </w:trPr>
        <w:tc>
          <w:tcPr>
            <w:tcW w:w="3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2020</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43,059,632</w:t>
            </w:r>
          </w:p>
        </w:tc>
        <w:tc>
          <w:tcPr>
            <w:tcW w:w="2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694"/>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464,597</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(183,823)</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280,791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tcPr>
          <w:p>
            <w:pPr>
              <w:ind w:left="260"/>
              <w:spacing w:after="0"/>
              <w:rPr>
                <w:sz w:val="20"/>
                <w:szCs w:val="20"/>
                <w:color w:val="auto"/>
              </w:rPr>
            </w:pPr>
            <w:r>
              <w:rPr>
                <w:rFonts w:ascii="Arial" w:cs="Arial" w:eastAsia="Arial" w:hAnsi="Arial"/>
                <w:sz w:val="18"/>
                <w:szCs w:val="18"/>
                <w:color w:val="auto"/>
              </w:rPr>
              <w:t>Exercise of stock options</w:t>
            </w:r>
          </w:p>
        </w:tc>
        <w:tc>
          <w:tcPr>
            <w:tcW w:w="1140" w:type="dxa"/>
            <w:vAlign w:val="bottom"/>
          </w:tcPr>
          <w:p>
            <w:pPr>
              <w:jc w:val="right"/>
              <w:spacing w:after="0"/>
              <w:rPr>
                <w:sz w:val="20"/>
                <w:szCs w:val="20"/>
                <w:color w:val="auto"/>
              </w:rPr>
            </w:pPr>
            <w:r>
              <w:rPr>
                <w:rFonts w:ascii="Arial" w:cs="Arial" w:eastAsia="Arial" w:hAnsi="Arial"/>
                <w:sz w:val="18"/>
                <w:szCs w:val="18"/>
                <w:color w:val="auto"/>
              </w:rPr>
              <w:t>49,328</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000" w:type="dxa"/>
            <w:vAlign w:val="bottom"/>
          </w:tcPr>
          <w:p>
            <w:pPr>
              <w:ind w:left="260"/>
              <w:spacing w:after="0"/>
              <w:rPr>
                <w:sz w:val="20"/>
                <w:szCs w:val="20"/>
                <w:color w:val="auto"/>
              </w:rPr>
            </w:pPr>
            <w:r>
              <w:rPr>
                <w:rFonts w:ascii="Arial" w:cs="Arial" w:eastAsia="Arial" w:hAnsi="Arial"/>
                <w:sz w:val="18"/>
                <w:szCs w:val="18"/>
                <w:color w:val="auto"/>
              </w:rPr>
              <w:t>Unrealized loss on marketable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260"/>
              <w:spacing w:after="0"/>
              <w:rPr>
                <w:sz w:val="20"/>
                <w:szCs w:val="20"/>
                <w:color w:val="auto"/>
              </w:rPr>
            </w:pPr>
            <w:r>
              <w:rPr>
                <w:rFonts w:ascii="Arial" w:cs="Arial" w:eastAsia="Arial" w:hAnsi="Arial"/>
                <w:sz w:val="18"/>
                <w:szCs w:val="18"/>
                <w:color w:val="auto"/>
              </w:rPr>
              <w:t>securities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29"/>
        </w:trPr>
        <w:tc>
          <w:tcPr>
            <w:tcW w:w="3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(20,971)</w:t>
            </w: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(20,971)</w:t>
            </w:r>
          </w:p>
        </w:tc>
        <w:tc>
          <w:tcPr>
            <w:tcW w:w="0" w:type="dxa"/>
            <w:vAlign w:val="bottom"/>
          </w:tcPr>
          <w:p>
            <w:pPr>
              <w:spacing w:after="0"/>
              <w:rPr>
                <w:sz w:val="1"/>
                <w:szCs w:val="1"/>
                <w:color w:val="auto"/>
              </w:rPr>
            </w:pPr>
          </w:p>
        </w:tc>
      </w:tr>
      <w:tr>
        <w:trPr>
          <w:trHeight w:val="229"/>
        </w:trPr>
        <w:tc>
          <w:tcPr>
            <w:tcW w:w="3000" w:type="dxa"/>
            <w:vAlign w:val="bottom"/>
          </w:tcPr>
          <w:p>
            <w:pPr>
              <w:ind w:left="260"/>
              <w:spacing w:after="0"/>
              <w:rPr>
                <w:sz w:val="20"/>
                <w:szCs w:val="20"/>
                <w:color w:val="auto"/>
              </w:rPr>
            </w:pPr>
            <w:r>
              <w:rPr>
                <w:rFonts w:ascii="Arial" w:cs="Arial" w:eastAsia="Arial" w:hAnsi="Arial"/>
                <w:sz w:val="18"/>
                <w:szCs w:val="18"/>
                <w:color w:val="auto"/>
              </w:rPr>
              <w:t>Other</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2"/>
        </w:trPr>
        <w:tc>
          <w:tcPr>
            <w:tcW w:w="3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March 31, 2021</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43,108,960</w:t>
            </w:r>
          </w:p>
        </w:tc>
        <w:tc>
          <w:tcPr>
            <w:tcW w:w="2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694"/>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468,589</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(204,794)</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263,705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000" w:type="dxa"/>
            <w:vAlign w:val="bottom"/>
          </w:tcPr>
          <w:p>
            <w:pPr>
              <w:ind w:left="260"/>
              <w:spacing w:after="0"/>
              <w:rPr>
                <w:sz w:val="20"/>
                <w:szCs w:val="20"/>
                <w:color w:val="auto"/>
              </w:rPr>
            </w:pPr>
            <w:r>
              <w:rPr>
                <w:rFonts w:ascii="Arial" w:cs="Arial" w:eastAsia="Arial" w:hAnsi="Arial"/>
                <w:sz w:val="18"/>
                <w:szCs w:val="18"/>
                <w:color w:val="auto"/>
              </w:rPr>
              <w:t>Issuance of common stock, net of</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000" w:type="dxa"/>
            <w:vAlign w:val="bottom"/>
          </w:tcPr>
          <w:p>
            <w:pPr>
              <w:ind w:left="260"/>
              <w:spacing w:after="0"/>
              <w:rPr>
                <w:sz w:val="20"/>
                <w:szCs w:val="20"/>
                <w:color w:val="auto"/>
              </w:rPr>
            </w:pPr>
            <w:r>
              <w:rPr>
                <w:rFonts w:ascii="Arial" w:cs="Arial" w:eastAsia="Arial" w:hAnsi="Arial"/>
                <w:sz w:val="18"/>
                <w:szCs w:val="18"/>
                <w:color w:val="auto"/>
              </w:rPr>
              <w:t>estimated issuance costs of $11.3</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260"/>
              <w:spacing w:after="0"/>
              <w:rPr>
                <w:sz w:val="20"/>
                <w:szCs w:val="20"/>
                <w:color w:val="auto"/>
              </w:rPr>
            </w:pPr>
            <w:r>
              <w:rPr>
                <w:rFonts w:ascii="Arial" w:cs="Arial" w:eastAsia="Arial" w:hAnsi="Arial"/>
                <w:sz w:val="18"/>
                <w:szCs w:val="18"/>
                <w:color w:val="auto"/>
              </w:rPr>
              <w:t>million (Note 10)</w:t>
            </w:r>
          </w:p>
        </w:tc>
        <w:tc>
          <w:tcPr>
            <w:tcW w:w="1140" w:type="dxa"/>
            <w:vAlign w:val="bottom"/>
          </w:tcPr>
          <w:p>
            <w:pPr>
              <w:jc w:val="right"/>
              <w:spacing w:after="0"/>
              <w:rPr>
                <w:sz w:val="20"/>
                <w:szCs w:val="20"/>
                <w:color w:val="auto"/>
              </w:rPr>
            </w:pPr>
            <w:r>
              <w:rPr>
                <w:rFonts w:ascii="Arial" w:cs="Arial" w:eastAsia="Arial" w:hAnsi="Arial"/>
                <w:sz w:val="18"/>
                <w:szCs w:val="18"/>
                <w:color w:val="auto"/>
              </w:rPr>
              <w:t>4,887,500</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169,482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169,483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Shares issued upon warrant</w:t>
            </w: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 − related party (Note 10)</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256,038</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00" w:type="dxa"/>
            <w:vAlign w:val="bottom"/>
          </w:tcPr>
          <w:p>
            <w:pPr>
              <w:ind w:left="260"/>
              <w:spacing w:after="0"/>
              <w:rPr>
                <w:sz w:val="20"/>
                <w:szCs w:val="20"/>
                <w:color w:val="auto"/>
              </w:rPr>
            </w:pPr>
            <w:r>
              <w:rPr>
                <w:rFonts w:ascii="Arial" w:cs="Arial" w:eastAsia="Arial" w:hAnsi="Arial"/>
                <w:sz w:val="18"/>
                <w:szCs w:val="18"/>
                <w:color w:val="auto"/>
              </w:rPr>
              <w:t>Exercise of stock options</w:t>
            </w:r>
          </w:p>
        </w:tc>
        <w:tc>
          <w:tcPr>
            <w:tcW w:w="1140" w:type="dxa"/>
            <w:vAlign w:val="bottom"/>
          </w:tcPr>
          <w:p>
            <w:pPr>
              <w:jc w:val="right"/>
              <w:spacing w:after="0"/>
              <w:rPr>
                <w:sz w:val="20"/>
                <w:szCs w:val="20"/>
                <w:color w:val="auto"/>
              </w:rPr>
            </w:pPr>
            <w:r>
              <w:rPr>
                <w:rFonts w:ascii="Arial" w:cs="Arial" w:eastAsia="Arial" w:hAnsi="Arial"/>
                <w:sz w:val="18"/>
                <w:szCs w:val="18"/>
                <w:color w:val="auto"/>
              </w:rPr>
              <w:t>126,150</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000" w:type="dxa"/>
            <w:vAlign w:val="bottom"/>
          </w:tcPr>
          <w:p>
            <w:pPr>
              <w:ind w:left="260"/>
              <w:spacing w:after="0"/>
              <w:rPr>
                <w:sz w:val="20"/>
                <w:szCs w:val="20"/>
                <w:color w:val="auto"/>
              </w:rPr>
            </w:pPr>
            <w:r>
              <w:rPr>
                <w:rFonts w:ascii="Arial" w:cs="Arial" w:eastAsia="Arial" w:hAnsi="Arial"/>
                <w:sz w:val="18"/>
                <w:szCs w:val="18"/>
                <w:color w:val="auto"/>
              </w:rPr>
              <w:t>Unrealized gain on marketable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260"/>
              <w:spacing w:after="0"/>
              <w:rPr>
                <w:sz w:val="20"/>
                <w:szCs w:val="20"/>
                <w:color w:val="auto"/>
              </w:rPr>
            </w:pPr>
            <w:r>
              <w:rPr>
                <w:rFonts w:ascii="Arial" w:cs="Arial" w:eastAsia="Arial" w:hAnsi="Arial"/>
                <w:sz w:val="18"/>
                <w:szCs w:val="18"/>
                <w:color w:val="auto"/>
              </w:rPr>
              <w:t>securities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(22,580)</w:t>
            </w: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(22,580)</w:t>
            </w:r>
          </w:p>
        </w:tc>
        <w:tc>
          <w:tcPr>
            <w:tcW w:w="0" w:type="dxa"/>
            <w:vAlign w:val="bottom"/>
          </w:tcPr>
          <w:p>
            <w:pPr>
              <w:spacing w:after="0"/>
              <w:rPr>
                <w:sz w:val="1"/>
                <w:szCs w:val="1"/>
                <w:color w:val="auto"/>
              </w:rPr>
            </w:pPr>
          </w:p>
        </w:tc>
      </w:tr>
      <w:tr>
        <w:trPr>
          <w:trHeight w:val="229"/>
        </w:trPr>
        <w:tc>
          <w:tcPr>
            <w:tcW w:w="3000" w:type="dxa"/>
            <w:vAlign w:val="bottom"/>
          </w:tcPr>
          <w:p>
            <w:pPr>
              <w:ind w:left="260"/>
              <w:spacing w:after="0"/>
              <w:rPr>
                <w:sz w:val="20"/>
                <w:szCs w:val="20"/>
                <w:color w:val="auto"/>
              </w:rPr>
            </w:pPr>
            <w:r>
              <w:rPr>
                <w:rFonts w:ascii="Arial" w:cs="Arial" w:eastAsia="Arial" w:hAnsi="Arial"/>
                <w:sz w:val="18"/>
                <w:szCs w:val="18"/>
                <w:color w:val="auto"/>
              </w:rPr>
              <w:t>Other</w:t>
            </w:r>
          </w:p>
        </w:tc>
        <w:tc>
          <w:tcPr>
            <w:tcW w:w="1140" w:type="dxa"/>
            <w:vAlign w:val="bottom"/>
          </w:tcPr>
          <w:p>
            <w:pPr>
              <w:jc w:val="right"/>
              <w:spacing w:after="0"/>
              <w:rPr>
                <w:sz w:val="20"/>
                <w:szCs w:val="20"/>
                <w:color w:val="auto"/>
              </w:rPr>
            </w:pPr>
            <w:r>
              <w:rPr>
                <w:rFonts w:ascii="Arial" w:cs="Arial" w:eastAsia="Arial" w:hAnsi="Arial"/>
                <w:sz w:val="18"/>
                <w:szCs w:val="18"/>
                <w:color w:val="auto"/>
              </w:rPr>
              <w:t>1,411</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June 30, 2021</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48,380,059</w:t>
            </w:r>
          </w:p>
        </w:tc>
        <w:tc>
          <w:tcPr>
            <w:tcW w:w="2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694"/>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643,865</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(227,374)</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416,427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tcPr>
          <w:p>
            <w:pPr>
              <w:ind w:left="260"/>
              <w:spacing w:after="0"/>
              <w:rPr>
                <w:sz w:val="20"/>
                <w:szCs w:val="20"/>
                <w:color w:val="auto"/>
              </w:rPr>
            </w:pPr>
            <w:r>
              <w:rPr>
                <w:rFonts w:ascii="Arial" w:cs="Arial" w:eastAsia="Arial" w:hAnsi="Arial"/>
                <w:sz w:val="18"/>
                <w:szCs w:val="18"/>
                <w:color w:val="auto"/>
              </w:rPr>
              <w:t>Exercise of stock options</w:t>
            </w:r>
          </w:p>
        </w:tc>
        <w:tc>
          <w:tcPr>
            <w:tcW w:w="1140" w:type="dxa"/>
            <w:vAlign w:val="bottom"/>
          </w:tcPr>
          <w:p>
            <w:pPr>
              <w:jc w:val="right"/>
              <w:spacing w:after="0"/>
              <w:rPr>
                <w:sz w:val="20"/>
                <w:szCs w:val="20"/>
                <w:color w:val="auto"/>
              </w:rPr>
            </w:pPr>
            <w:r>
              <w:rPr>
                <w:rFonts w:ascii="Arial" w:cs="Arial" w:eastAsia="Arial" w:hAnsi="Arial"/>
                <w:sz w:val="18"/>
                <w:szCs w:val="18"/>
                <w:color w:val="auto"/>
              </w:rPr>
              <w:t>205,210</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000" w:type="dxa"/>
            <w:vAlign w:val="bottom"/>
          </w:tcPr>
          <w:p>
            <w:pPr>
              <w:ind w:left="260"/>
              <w:spacing w:after="0"/>
              <w:rPr>
                <w:sz w:val="20"/>
                <w:szCs w:val="20"/>
                <w:color w:val="auto"/>
              </w:rPr>
            </w:pPr>
            <w:r>
              <w:rPr>
                <w:rFonts w:ascii="Arial" w:cs="Arial" w:eastAsia="Arial" w:hAnsi="Arial"/>
                <w:sz w:val="18"/>
                <w:szCs w:val="18"/>
                <w:color w:val="auto"/>
              </w:rPr>
              <w:t>Unrealized loss on marketable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260"/>
              <w:spacing w:after="0"/>
              <w:rPr>
                <w:sz w:val="20"/>
                <w:szCs w:val="20"/>
                <w:color w:val="auto"/>
              </w:rPr>
            </w:pPr>
            <w:r>
              <w:rPr>
                <w:rFonts w:ascii="Arial" w:cs="Arial" w:eastAsia="Arial" w:hAnsi="Arial"/>
                <w:sz w:val="18"/>
                <w:szCs w:val="18"/>
                <w:color w:val="auto"/>
              </w:rPr>
              <w:t>securities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9"/>
        </w:trPr>
        <w:tc>
          <w:tcPr>
            <w:tcW w:w="3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(24,683)</w:t>
            </w: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(24,683)</w:t>
            </w:r>
          </w:p>
        </w:tc>
        <w:tc>
          <w:tcPr>
            <w:tcW w:w="0" w:type="dxa"/>
            <w:vAlign w:val="bottom"/>
          </w:tcPr>
          <w:p>
            <w:pPr>
              <w:spacing w:after="0"/>
              <w:rPr>
                <w:sz w:val="1"/>
                <w:szCs w:val="1"/>
                <w:color w:val="auto"/>
              </w:rPr>
            </w:pPr>
          </w:p>
        </w:tc>
      </w:tr>
      <w:tr>
        <w:trPr>
          <w:trHeight w:val="229"/>
        </w:trPr>
        <w:tc>
          <w:tcPr>
            <w:tcW w:w="3000" w:type="dxa"/>
            <w:vAlign w:val="bottom"/>
          </w:tcPr>
          <w:p>
            <w:pPr>
              <w:ind w:left="260"/>
              <w:spacing w:after="0"/>
              <w:rPr>
                <w:sz w:val="20"/>
                <w:szCs w:val="20"/>
                <w:color w:val="auto"/>
              </w:rPr>
            </w:pPr>
            <w:r>
              <w:rPr>
                <w:rFonts w:ascii="Arial" w:cs="Arial" w:eastAsia="Arial" w:hAnsi="Arial"/>
                <w:sz w:val="18"/>
                <w:szCs w:val="18"/>
                <w:color w:val="auto"/>
              </w:rPr>
              <w:t>Other</w:t>
            </w:r>
          </w:p>
        </w:tc>
        <w:tc>
          <w:tcPr>
            <w:tcW w:w="1140" w:type="dxa"/>
            <w:vAlign w:val="bottom"/>
          </w:tcPr>
          <w:p>
            <w:pPr>
              <w:jc w:val="right"/>
              <w:spacing w:after="0"/>
              <w:rPr>
                <w:sz w:val="20"/>
                <w:szCs w:val="20"/>
                <w:color w:val="auto"/>
              </w:rPr>
            </w:pPr>
            <w:r>
              <w:rPr>
                <w:rFonts w:ascii="Arial" w:cs="Arial" w:eastAsia="Arial" w:hAnsi="Arial"/>
                <w:sz w:val="18"/>
                <w:szCs w:val="18"/>
                <w:color w:val="auto"/>
              </w:rPr>
              <w:t>8,129</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September 30, 2021</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48,593,398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ind w:right="694"/>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650,987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(252,057)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398,780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ind w:left="4800"/>
        <w:spacing w:after="0"/>
        <w:rPr>
          <w:sz w:val="20"/>
          <w:szCs w:val="20"/>
          <w:color w:val="auto"/>
        </w:rPr>
      </w:pPr>
      <w:r>
        <w:rPr>
          <w:rFonts w:ascii="Arial" w:cs="Arial" w:eastAsia="Arial" w:hAnsi="Arial"/>
          <w:sz w:val="18"/>
          <w:szCs w:val="18"/>
          <w:b w:val="1"/>
          <w:bCs w:val="1"/>
          <w:color w:val="auto"/>
        </w:rPr>
        <w:t>C4 Therapeutics, Inc.</w:t>
      </w:r>
    </w:p>
    <w:p>
      <w:pPr>
        <w:spacing w:after="0" w:line="184"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Condensed Consolidated Statements of Stockholders’ Equity (Deficit)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2340" w:type="dxa"/>
            <w:vAlign w:val="bottom"/>
            <w:tcBorders>
              <w:right w:val="single" w:sz="8" w:color="auto"/>
            </w:tcBorders>
            <w:gridSpan w:val="5"/>
            <w:vMerge w:val="restart"/>
          </w:tcPr>
          <w:p>
            <w:pPr>
              <w:jc w:val="center"/>
              <w:ind w:right="260"/>
              <w:spacing w:after="0"/>
              <w:rPr>
                <w:sz w:val="20"/>
                <w:szCs w:val="20"/>
                <w:color w:val="auto"/>
              </w:rPr>
            </w:pPr>
            <w:r>
              <w:rPr>
                <w:rFonts w:ascii="Arial" w:cs="Arial" w:eastAsia="Arial" w:hAnsi="Arial"/>
                <w:sz w:val="14"/>
                <w:szCs w:val="14"/>
                <w:b w:val="1"/>
                <w:bCs w:val="1"/>
                <w:color w:val="auto"/>
                <w:w w:val="93"/>
              </w:rPr>
              <w:t>Redeemable Convertible</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0"/>
              </w:rPr>
              <w:t>Additional</w:t>
            </w:r>
          </w:p>
        </w:tc>
        <w:tc>
          <w:tcPr>
            <w:tcW w:w="80" w:type="dxa"/>
            <w:vAlign w:val="bottom"/>
          </w:tcPr>
          <w:p>
            <w:pPr>
              <w:spacing w:after="0"/>
              <w:rPr>
                <w:sz w:val="14"/>
                <w:szCs w:val="14"/>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2340" w:type="dxa"/>
            <w:vAlign w:val="bottom"/>
            <w:tcBorders>
              <w:right w:val="single" w:sz="8" w:color="auto"/>
            </w:tcBorders>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gridSpan w:val="6"/>
            <w:vMerge w:val="restart"/>
          </w:tcPr>
          <w:p>
            <w:pPr>
              <w:ind w:left="50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420"/>
              <w:spacing w:after="0" w:line="148" w:lineRule="exact"/>
              <w:rPr>
                <w:sz w:val="20"/>
                <w:szCs w:val="20"/>
                <w:color w:val="auto"/>
              </w:rPr>
            </w:pPr>
            <w:r>
              <w:rPr>
                <w:rFonts w:ascii="Arial" w:cs="Arial" w:eastAsia="Arial" w:hAnsi="Arial"/>
                <w:sz w:val="14"/>
                <w:szCs w:val="14"/>
                <w:b w:val="1"/>
                <w:bCs w:val="1"/>
                <w:color w:val="auto"/>
                <w:w w:val="96"/>
              </w:rPr>
              <w:t>Other</w:t>
            </w:r>
          </w:p>
        </w:tc>
        <w:tc>
          <w:tcPr>
            <w:tcW w:w="11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80" w:type="dxa"/>
            <w:vAlign w:val="bottom"/>
          </w:tcPr>
          <w:p>
            <w:pPr>
              <w:spacing w:after="0"/>
              <w:rPr>
                <w:sz w:val="14"/>
                <w:szCs w:val="14"/>
                <w:color w:val="auto"/>
              </w:rPr>
            </w:pPr>
          </w:p>
        </w:tc>
        <w:tc>
          <w:tcPr>
            <w:tcW w:w="2340" w:type="dxa"/>
            <w:vAlign w:val="bottom"/>
            <w:tcBorders>
              <w:right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2"/>
              </w:rPr>
              <w:t>Preferred Stock</w:t>
            </w:r>
          </w:p>
        </w:tc>
        <w:tc>
          <w:tcPr>
            <w:tcW w:w="80" w:type="dxa"/>
            <w:vAlign w:val="bottom"/>
          </w:tcPr>
          <w:p>
            <w:pPr>
              <w:spacing w:after="0"/>
              <w:rPr>
                <w:sz w:val="14"/>
                <w:szCs w:val="14"/>
                <w:color w:val="auto"/>
              </w:rPr>
            </w:pPr>
          </w:p>
        </w:tc>
        <w:tc>
          <w:tcPr>
            <w:tcW w:w="216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Paid-In</w:t>
            </w:r>
          </w:p>
        </w:tc>
        <w:tc>
          <w:tcPr>
            <w:tcW w:w="1240" w:type="dxa"/>
            <w:vAlign w:val="bottom"/>
            <w:gridSpan w:val="4"/>
          </w:tcPr>
          <w:p>
            <w:pPr>
              <w:ind w:left="80"/>
              <w:spacing w:after="0"/>
              <w:rPr>
                <w:sz w:val="20"/>
                <w:szCs w:val="20"/>
                <w:color w:val="auto"/>
              </w:rPr>
            </w:pPr>
            <w:r>
              <w:rPr>
                <w:rFonts w:ascii="Arial" w:cs="Arial" w:eastAsia="Arial" w:hAnsi="Arial"/>
                <w:sz w:val="14"/>
                <w:szCs w:val="14"/>
                <w:b w:val="1"/>
                <w:bCs w:val="1"/>
                <w:color w:val="auto"/>
              </w:rPr>
              <w:t>Comprehensive</w:t>
            </w:r>
          </w:p>
        </w:tc>
        <w:tc>
          <w:tcPr>
            <w:tcW w:w="1100" w:type="dxa"/>
            <w:vAlign w:val="bottom"/>
            <w:gridSpan w:val="3"/>
            <w:vMerge w:val="continue"/>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9"/>
              </w:rPr>
              <w:t>Stockholders'</w:t>
            </w:r>
          </w:p>
        </w:tc>
        <w:tc>
          <w:tcPr>
            <w:tcW w:w="0" w:type="dxa"/>
            <w:vAlign w:val="bottom"/>
          </w:tcPr>
          <w:p>
            <w:pPr>
              <w:spacing w:after="0"/>
              <w:rPr>
                <w:sz w:val="1"/>
                <w:szCs w:val="1"/>
                <w:color w:val="auto"/>
              </w:rPr>
            </w:pPr>
          </w:p>
        </w:tc>
      </w:tr>
      <w:tr>
        <w:trPr>
          <w:trHeight w:val="155"/>
        </w:trPr>
        <w:tc>
          <w:tcPr>
            <w:tcW w:w="2380" w:type="dxa"/>
            <w:vAlign w:val="bottom"/>
          </w:tcPr>
          <w:p>
            <w:pPr>
              <w:spacing w:after="0"/>
              <w:rPr>
                <w:sz w:val="13"/>
                <w:szCs w:val="13"/>
                <w:color w:val="auto"/>
              </w:rPr>
            </w:pPr>
          </w:p>
        </w:tc>
        <w:tc>
          <w:tcPr>
            <w:tcW w:w="1020" w:type="dxa"/>
            <w:vAlign w:val="bottom"/>
            <w:tcBorders>
              <w:top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91"/>
              <w:spacing w:after="0" w:line="155" w:lineRule="exact"/>
              <w:rPr>
                <w:sz w:val="20"/>
                <w:szCs w:val="20"/>
                <w:color w:val="auto"/>
              </w:rPr>
            </w:pPr>
            <w:r>
              <w:rPr>
                <w:rFonts w:ascii="Arial" w:cs="Arial" w:eastAsia="Arial" w:hAnsi="Arial"/>
                <w:sz w:val="14"/>
                <w:szCs w:val="14"/>
                <w:b w:val="1"/>
                <w:bCs w:val="1"/>
                <w:color w:val="auto"/>
              </w:rPr>
              <w:t>Amount</w:t>
            </w:r>
          </w:p>
        </w:tc>
        <w:tc>
          <w:tcPr>
            <w:tcW w:w="2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Borders>
              <w:top w:val="single" w:sz="8" w:color="auto"/>
            </w:tcBorders>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91"/>
              <w:spacing w:after="0" w:line="155" w:lineRule="exact"/>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3"/>
                <w:szCs w:val="13"/>
                <w:color w:val="auto"/>
              </w:rPr>
            </w:pPr>
          </w:p>
        </w:tc>
        <w:tc>
          <w:tcPr>
            <w:tcW w:w="1160" w:type="dxa"/>
            <w:vAlign w:val="bottom"/>
            <w:gridSpan w:val="3"/>
          </w:tcPr>
          <w:p>
            <w:pPr>
              <w:jc w:val="center"/>
              <w:ind w:right="220"/>
              <w:spacing w:after="0" w:line="155" w:lineRule="exact"/>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3"/>
                <w:szCs w:val="13"/>
                <w:color w:val="auto"/>
              </w:rPr>
            </w:pPr>
          </w:p>
        </w:tc>
        <w:tc>
          <w:tcPr>
            <w:tcW w:w="940" w:type="dxa"/>
            <w:vAlign w:val="bottom"/>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3"/>
                <w:szCs w:val="13"/>
                <w:color w:val="auto"/>
              </w:rPr>
            </w:pPr>
          </w:p>
        </w:tc>
        <w:tc>
          <w:tcPr>
            <w:tcW w:w="800" w:type="dxa"/>
            <w:vAlign w:val="bottom"/>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208"/>
        </w:trPr>
        <w:tc>
          <w:tcPr>
            <w:tcW w:w="2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w:t>
            </w: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right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right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113,145,900</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110,995</w:t>
            </w:r>
          </w:p>
        </w:tc>
        <w:tc>
          <w:tcPr>
            <w:tcW w:w="2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1,426,641</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5,525</w:t>
            </w:r>
          </w:p>
        </w:tc>
        <w:tc>
          <w:tcPr>
            <w:tcW w:w="1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5"/>
              </w:rPr>
              <w:t>(117,488)</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5"/>
              </w:rPr>
              <w:t>(111,962)</w:t>
            </w:r>
          </w:p>
        </w:tc>
        <w:tc>
          <w:tcPr>
            <w:tcW w:w="0" w:type="dxa"/>
            <w:vAlign w:val="bottom"/>
          </w:tcPr>
          <w:p>
            <w:pPr>
              <w:spacing w:after="0"/>
              <w:rPr>
                <w:sz w:val="1"/>
                <w:szCs w:val="1"/>
                <w:color w:val="auto"/>
              </w:rPr>
            </w:pPr>
          </w:p>
        </w:tc>
      </w:tr>
      <w:tr>
        <w:trPr>
          <w:trHeight w:val="229"/>
        </w:trPr>
        <w:tc>
          <w:tcPr>
            <w:tcW w:w="2380" w:type="dxa"/>
            <w:vAlign w:val="bottom"/>
          </w:tcPr>
          <w:p>
            <w:pPr>
              <w:ind w:left="140"/>
              <w:spacing w:after="0"/>
              <w:rPr>
                <w:sz w:val="20"/>
                <w:szCs w:val="20"/>
                <w:color w:val="auto"/>
              </w:rPr>
            </w:pPr>
            <w:r>
              <w:rPr>
                <w:rFonts w:ascii="Arial" w:cs="Arial" w:eastAsia="Arial" w:hAnsi="Arial"/>
                <w:sz w:val="18"/>
                <w:szCs w:val="18"/>
                <w:color w:val="auto"/>
              </w:rPr>
              <w:t>Exercise of stock options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49,031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Stock-based compensation</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380" w:type="dxa"/>
            <w:vAlign w:val="bottom"/>
          </w:tcPr>
          <w:p>
            <w:pPr>
              <w:ind w:left="140"/>
              <w:spacing w:after="0"/>
              <w:rPr>
                <w:sz w:val="20"/>
                <w:szCs w:val="20"/>
                <w:color w:val="auto"/>
              </w:rPr>
            </w:pPr>
            <w:r>
              <w:rPr>
                <w:rFonts w:ascii="Arial" w:cs="Arial" w:eastAsia="Arial" w:hAnsi="Arial"/>
                <w:sz w:val="18"/>
                <w:szCs w:val="18"/>
                <w:color w:val="auto"/>
              </w:rPr>
              <w:t>Repurchase of common</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tcPr>
          <w:p>
            <w:pPr>
              <w:ind w:left="140"/>
              <w:spacing w:after="0"/>
              <w:rPr>
                <w:sz w:val="20"/>
                <w:szCs w:val="20"/>
                <w:color w:val="auto"/>
              </w:rPr>
            </w:pPr>
            <w:r>
              <w:rPr>
                <w:rFonts w:ascii="Arial" w:cs="Arial" w:eastAsia="Arial" w:hAnsi="Arial"/>
                <w:sz w:val="18"/>
                <w:szCs w:val="18"/>
                <w:color w:val="auto"/>
              </w:rPr>
              <w:t>stock</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(202)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5"/>
        </w:trPr>
        <w:tc>
          <w:tcPr>
            <w:tcW w:w="2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Vested stock option</w:t>
            </w: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settlement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(728)</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29"/>
        </w:trPr>
        <w:tc>
          <w:tcPr>
            <w:tcW w:w="2380" w:type="dxa"/>
            <w:vAlign w:val="bottom"/>
          </w:tcPr>
          <w:p>
            <w:pPr>
              <w:ind w:left="140"/>
              <w:spacing w:after="0"/>
              <w:rPr>
                <w:sz w:val="20"/>
                <w:szCs w:val="20"/>
                <w:color w:val="auto"/>
              </w:rPr>
            </w:pPr>
            <w:r>
              <w:rPr>
                <w:rFonts w:ascii="Arial" w:cs="Arial" w:eastAsia="Arial" w:hAnsi="Arial"/>
                <w:sz w:val="18"/>
                <w:szCs w:val="18"/>
                <w:color w:val="auto"/>
              </w:rPr>
              <w:t>Net loss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(11,912)</w:t>
            </w:r>
          </w:p>
        </w:tc>
        <w:tc>
          <w:tcPr>
            <w:tcW w:w="14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(11,912)</w:t>
            </w:r>
          </w:p>
        </w:tc>
        <w:tc>
          <w:tcPr>
            <w:tcW w:w="0" w:type="dxa"/>
            <w:vAlign w:val="bottom"/>
          </w:tcPr>
          <w:p>
            <w:pPr>
              <w:spacing w:after="0"/>
              <w:rPr>
                <w:sz w:val="1"/>
                <w:szCs w:val="1"/>
                <w:color w:val="auto"/>
              </w:rPr>
            </w:pPr>
          </w:p>
        </w:tc>
      </w:tr>
      <w:tr>
        <w:trPr>
          <w:trHeight w:val="222"/>
        </w:trPr>
        <w:tc>
          <w:tcPr>
            <w:tcW w:w="2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8"/>
              </w:rPr>
              <w:t>Balance as of March 31, 2020</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113,145,900</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110,995</w:t>
            </w:r>
          </w:p>
        </w:tc>
        <w:tc>
          <w:tcPr>
            <w:tcW w:w="240" w:type="dxa"/>
            <w:vAlign w:val="bottom"/>
            <w:tcBorders>
              <w:top w:val="single" w:sz="8" w:color="CFF0FC"/>
              <w:right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1,475,672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(129,400)</w:t>
            </w:r>
          </w:p>
        </w:tc>
        <w:tc>
          <w:tcPr>
            <w:tcW w:w="240" w:type="dxa"/>
            <w:vAlign w:val="bottom"/>
            <w:tcBorders>
              <w:top w:val="single" w:sz="8" w:color="CFF0FC"/>
              <w:right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(124,532)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380" w:type="dxa"/>
            <w:vAlign w:val="bottom"/>
          </w:tcPr>
          <w:p>
            <w:pPr>
              <w:ind w:left="140"/>
              <w:spacing w:after="0"/>
              <w:rPr>
                <w:sz w:val="20"/>
                <w:szCs w:val="20"/>
                <w:color w:val="auto"/>
              </w:rPr>
            </w:pPr>
            <w:r>
              <w:rPr>
                <w:rFonts w:ascii="Arial" w:cs="Arial" w:eastAsia="Arial" w:hAnsi="Arial"/>
                <w:sz w:val="18"/>
                <w:szCs w:val="18"/>
                <w:color w:val="auto"/>
              </w:rPr>
              <w:t>Issuance of Series B</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380" w:type="dxa"/>
            <w:vAlign w:val="bottom"/>
          </w:tcPr>
          <w:p>
            <w:pPr>
              <w:ind w:left="140"/>
              <w:spacing w:after="0"/>
              <w:rPr>
                <w:sz w:val="20"/>
                <w:szCs w:val="20"/>
                <w:color w:val="auto"/>
              </w:rPr>
            </w:pPr>
            <w:r>
              <w:rPr>
                <w:rFonts w:ascii="Arial" w:cs="Arial" w:eastAsia="Arial" w:hAnsi="Arial"/>
                <w:sz w:val="18"/>
                <w:szCs w:val="18"/>
                <w:color w:val="auto"/>
              </w:rPr>
              <w:t>redeemable convertible</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380" w:type="dxa"/>
            <w:vAlign w:val="bottom"/>
          </w:tcPr>
          <w:p>
            <w:pPr>
              <w:ind w:left="140"/>
              <w:spacing w:after="0"/>
              <w:rPr>
                <w:sz w:val="20"/>
                <w:szCs w:val="20"/>
                <w:color w:val="auto"/>
              </w:rPr>
            </w:pPr>
            <w:r>
              <w:rPr>
                <w:rFonts w:ascii="Arial" w:cs="Arial" w:eastAsia="Arial" w:hAnsi="Arial"/>
                <w:sz w:val="18"/>
                <w:szCs w:val="18"/>
                <w:color w:val="auto"/>
              </w:rPr>
              <w:t>preferred stock, net of</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380" w:type="dxa"/>
            <w:vAlign w:val="bottom"/>
          </w:tcPr>
          <w:p>
            <w:pPr>
              <w:ind w:left="140"/>
              <w:spacing w:after="0"/>
              <w:rPr>
                <w:sz w:val="20"/>
                <w:szCs w:val="20"/>
                <w:color w:val="auto"/>
              </w:rPr>
            </w:pPr>
            <w:r>
              <w:rPr>
                <w:rFonts w:ascii="Arial" w:cs="Arial" w:eastAsia="Arial" w:hAnsi="Arial"/>
                <w:sz w:val="18"/>
                <w:szCs w:val="18"/>
                <w:color w:val="auto"/>
              </w:rPr>
              <w:t>issuance costs of $4.5</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tcPr>
          <w:p>
            <w:pPr>
              <w:ind w:left="140"/>
              <w:spacing w:after="0"/>
              <w:rPr>
                <w:sz w:val="20"/>
                <w:szCs w:val="20"/>
                <w:color w:val="auto"/>
              </w:rPr>
            </w:pPr>
            <w:r>
              <w:rPr>
                <w:rFonts w:ascii="Arial" w:cs="Arial" w:eastAsia="Arial" w:hAnsi="Arial"/>
                <w:sz w:val="18"/>
                <w:szCs w:val="18"/>
                <w:color w:val="auto"/>
              </w:rPr>
              <w:t>million</w:t>
            </w: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138,571,428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141,026</w:t>
            </w:r>
          </w:p>
        </w:tc>
        <w:tc>
          <w:tcPr>
            <w:tcW w:w="2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Exercise of stock options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38,378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8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Repurchase of common</w:t>
            </w: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(23,714)</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380" w:type="dxa"/>
            <w:vAlign w:val="bottom"/>
          </w:tcPr>
          <w:p>
            <w:pPr>
              <w:ind w:left="140"/>
              <w:spacing w:after="0"/>
              <w:rPr>
                <w:sz w:val="20"/>
                <w:szCs w:val="20"/>
                <w:color w:val="auto"/>
              </w:rPr>
            </w:pPr>
            <w:r>
              <w:rPr>
                <w:rFonts w:ascii="Arial" w:cs="Arial" w:eastAsia="Arial" w:hAnsi="Arial"/>
                <w:sz w:val="18"/>
                <w:szCs w:val="18"/>
                <w:color w:val="auto"/>
              </w:rPr>
              <w:t>Vested stock option</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tcPr>
          <w:p>
            <w:pPr>
              <w:ind w:left="140"/>
              <w:spacing w:after="0"/>
              <w:rPr>
                <w:sz w:val="20"/>
                <w:szCs w:val="20"/>
                <w:color w:val="auto"/>
              </w:rPr>
            </w:pPr>
            <w:r>
              <w:rPr>
                <w:rFonts w:ascii="Arial" w:cs="Arial" w:eastAsia="Arial" w:hAnsi="Arial"/>
                <w:sz w:val="18"/>
                <w:szCs w:val="18"/>
                <w:color w:val="auto"/>
              </w:rPr>
              <w:t>settlement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5"/>
        </w:trPr>
        <w:tc>
          <w:tcPr>
            <w:tcW w:w="2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Unrealized loss on</w:t>
            </w: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marketable securities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9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2380" w:type="dxa"/>
            <w:vAlign w:val="bottom"/>
          </w:tcPr>
          <w:p>
            <w:pPr>
              <w:ind w:left="140"/>
              <w:spacing w:after="0"/>
              <w:rPr>
                <w:sz w:val="20"/>
                <w:szCs w:val="20"/>
                <w:color w:val="auto"/>
              </w:rPr>
            </w:pPr>
            <w:r>
              <w:rPr>
                <w:rFonts w:ascii="Arial" w:cs="Arial" w:eastAsia="Arial" w:hAnsi="Arial"/>
                <w:sz w:val="18"/>
                <w:szCs w:val="18"/>
                <w:color w:val="auto"/>
              </w:rPr>
              <w:t>Net loss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(10,793)</w:t>
            </w:r>
          </w:p>
        </w:tc>
        <w:tc>
          <w:tcPr>
            <w:tcW w:w="14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(10,793)</w:t>
            </w:r>
          </w:p>
        </w:tc>
        <w:tc>
          <w:tcPr>
            <w:tcW w:w="0" w:type="dxa"/>
            <w:vAlign w:val="bottom"/>
          </w:tcPr>
          <w:p>
            <w:pPr>
              <w:spacing w:after="0"/>
              <w:rPr>
                <w:sz w:val="1"/>
                <w:szCs w:val="1"/>
                <w:color w:val="auto"/>
              </w:rPr>
            </w:pPr>
          </w:p>
        </w:tc>
      </w:tr>
      <w:tr>
        <w:trPr>
          <w:trHeight w:val="20"/>
        </w:trPr>
        <w:tc>
          <w:tcPr>
            <w:tcW w:w="23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Balance as of June 30, 2020</w:t>
            </w:r>
          </w:p>
        </w:tc>
        <w:tc>
          <w:tcPr>
            <w:tcW w:w="10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380" w:type="dxa"/>
            <w:vAlign w:val="bottom"/>
            <w:vMerge w:val="continue"/>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251,717,328</w:t>
            </w:r>
          </w:p>
        </w:tc>
        <w:tc>
          <w:tcPr>
            <w:tcW w:w="22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252,021</w:t>
            </w:r>
          </w:p>
        </w:tc>
        <w:tc>
          <w:tcPr>
            <w:tcW w:w="2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1,490,336</w:t>
            </w:r>
          </w:p>
        </w:tc>
        <w:tc>
          <w:tcPr>
            <w:tcW w:w="14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5,130</w:t>
            </w:r>
          </w:p>
        </w:tc>
        <w:tc>
          <w:tcPr>
            <w:tcW w:w="14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(140,193)</w:t>
            </w:r>
          </w:p>
        </w:tc>
        <w:tc>
          <w:tcPr>
            <w:tcW w:w="240" w:type="dxa"/>
            <w:vAlign w:val="bottom"/>
            <w:tcBorders>
              <w:right w:val="single" w:sz="8" w:color="CFF0FC"/>
            </w:tcBorders>
            <w:vMerge w:val="continue"/>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(135,064)</w:t>
            </w:r>
          </w:p>
        </w:tc>
        <w:tc>
          <w:tcPr>
            <w:tcW w:w="100" w:type="dxa"/>
            <w:vAlign w:val="bottom"/>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380" w:type="dxa"/>
            <w:vAlign w:val="bottom"/>
          </w:tcPr>
          <w:p>
            <w:pPr>
              <w:ind w:left="140"/>
              <w:spacing w:after="0"/>
              <w:rPr>
                <w:sz w:val="20"/>
                <w:szCs w:val="20"/>
                <w:color w:val="auto"/>
              </w:rPr>
            </w:pPr>
            <w:r>
              <w:rPr>
                <w:rFonts w:ascii="Arial" w:cs="Arial" w:eastAsia="Arial" w:hAnsi="Arial"/>
                <w:sz w:val="18"/>
                <w:szCs w:val="18"/>
                <w:color w:val="auto"/>
              </w:rPr>
              <w:t>Issuance of Series B</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380" w:type="dxa"/>
            <w:vAlign w:val="bottom"/>
          </w:tcPr>
          <w:p>
            <w:pPr>
              <w:ind w:left="140"/>
              <w:spacing w:after="0"/>
              <w:rPr>
                <w:sz w:val="20"/>
                <w:szCs w:val="20"/>
                <w:color w:val="auto"/>
              </w:rPr>
            </w:pPr>
            <w:r>
              <w:rPr>
                <w:rFonts w:ascii="Arial" w:cs="Arial" w:eastAsia="Arial" w:hAnsi="Arial"/>
                <w:sz w:val="18"/>
                <w:szCs w:val="18"/>
                <w:color w:val="auto"/>
              </w:rPr>
              <w:t>redeemable convertible</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tcPr>
          <w:p>
            <w:pPr>
              <w:ind w:left="140"/>
              <w:spacing w:after="0"/>
              <w:rPr>
                <w:sz w:val="20"/>
                <w:szCs w:val="20"/>
                <w:color w:val="auto"/>
              </w:rPr>
            </w:pPr>
            <w:r>
              <w:rPr>
                <w:rFonts w:ascii="Arial" w:cs="Arial" w:eastAsia="Arial" w:hAnsi="Arial"/>
                <w:sz w:val="18"/>
                <w:szCs w:val="18"/>
                <w:color w:val="auto"/>
              </w:rPr>
              <w:t>preferred stock</w:t>
            </w:r>
          </w:p>
        </w:tc>
        <w:tc>
          <w:tcPr>
            <w:tcW w:w="1020" w:type="dxa"/>
            <w:vAlign w:val="bottom"/>
          </w:tcPr>
          <w:p>
            <w:pPr>
              <w:jc w:val="right"/>
              <w:spacing w:after="0"/>
              <w:rPr>
                <w:sz w:val="20"/>
                <w:szCs w:val="20"/>
                <w:color w:val="auto"/>
              </w:rPr>
            </w:pPr>
            <w:r>
              <w:rPr>
                <w:rFonts w:ascii="Arial" w:cs="Arial" w:eastAsia="Arial" w:hAnsi="Arial"/>
                <w:sz w:val="18"/>
                <w:szCs w:val="18"/>
                <w:color w:val="auto"/>
              </w:rPr>
              <w:t>4,285,714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4,499</w:t>
            </w:r>
          </w:p>
        </w:tc>
        <w:tc>
          <w:tcPr>
            <w:tcW w:w="2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Exercise of stock options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164,057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8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Repurchase of common</w:t>
            </w: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(20,272)</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380" w:type="dxa"/>
            <w:vAlign w:val="bottom"/>
          </w:tcPr>
          <w:p>
            <w:pPr>
              <w:ind w:left="140"/>
              <w:spacing w:after="0"/>
              <w:rPr>
                <w:sz w:val="20"/>
                <w:szCs w:val="20"/>
                <w:color w:val="auto"/>
              </w:rPr>
            </w:pPr>
            <w:r>
              <w:rPr>
                <w:rFonts w:ascii="Arial" w:cs="Arial" w:eastAsia="Arial" w:hAnsi="Arial"/>
                <w:sz w:val="18"/>
                <w:szCs w:val="18"/>
                <w:color w:val="auto"/>
              </w:rPr>
              <w:t>Unrealized gain on</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tcPr>
          <w:p>
            <w:pPr>
              <w:ind w:left="140"/>
              <w:spacing w:after="0"/>
              <w:rPr>
                <w:sz w:val="20"/>
                <w:szCs w:val="20"/>
                <w:color w:val="auto"/>
              </w:rPr>
            </w:pPr>
            <w:r>
              <w:rPr>
                <w:rFonts w:ascii="Arial" w:cs="Arial" w:eastAsia="Arial" w:hAnsi="Arial"/>
                <w:sz w:val="18"/>
                <w:szCs w:val="18"/>
                <w:color w:val="auto"/>
              </w:rPr>
              <w:t>marketable securities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loss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(21,835)</w:t>
            </w: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(21,835)</w:t>
            </w:r>
          </w:p>
        </w:tc>
        <w:tc>
          <w:tcPr>
            <w:tcW w:w="0" w:type="dxa"/>
            <w:vAlign w:val="bottom"/>
          </w:tcPr>
          <w:p>
            <w:pPr>
              <w:spacing w:after="0"/>
              <w:rPr>
                <w:sz w:val="1"/>
                <w:szCs w:val="1"/>
                <w:color w:val="auto"/>
              </w:rPr>
            </w:pPr>
          </w:p>
        </w:tc>
      </w:tr>
      <w:tr>
        <w:trPr>
          <w:trHeight w:val="208"/>
        </w:trPr>
        <w:tc>
          <w:tcPr>
            <w:tcW w:w="2380" w:type="dxa"/>
            <w:vAlign w:val="bottom"/>
          </w:tcPr>
          <w:p>
            <w:pPr>
              <w:spacing w:after="0"/>
              <w:rPr>
                <w:sz w:val="20"/>
                <w:szCs w:val="20"/>
                <w:color w:val="auto"/>
              </w:rPr>
            </w:pPr>
            <w:r>
              <w:rPr>
                <w:rFonts w:ascii="Arial" w:cs="Arial" w:eastAsia="Arial" w:hAnsi="Arial"/>
                <w:sz w:val="18"/>
                <w:szCs w:val="18"/>
                <w:color w:val="auto"/>
              </w:rPr>
              <w:t>Balance as of September 30,</w:t>
            </w: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2020</w:t>
            </w: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256,003,042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256,520</w:t>
            </w:r>
          </w:p>
        </w:tc>
        <w:tc>
          <w:tcPr>
            <w:tcW w:w="2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1,634,121</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6,095</w:t>
            </w:r>
          </w:p>
        </w:tc>
        <w:tc>
          <w:tcPr>
            <w:tcW w:w="140" w:type="dxa"/>
            <w:vAlign w:val="bottom"/>
          </w:tcPr>
          <w:p>
            <w:pPr>
              <w:spacing w:after="0"/>
              <w:rPr>
                <w:sz w:val="19"/>
                <w:szCs w:val="19"/>
                <w:color w:val="auto"/>
              </w:rPr>
            </w:pP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(162,028)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(155,924)</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83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ind w:left="4800"/>
        <w:spacing w:after="0"/>
        <w:rPr>
          <w:sz w:val="20"/>
          <w:szCs w:val="20"/>
          <w:color w:val="auto"/>
        </w:rPr>
      </w:pPr>
      <w:r>
        <w:rPr>
          <w:rFonts w:ascii="Arial" w:cs="Arial" w:eastAsia="Arial" w:hAnsi="Arial"/>
          <w:sz w:val="18"/>
          <w:szCs w:val="18"/>
          <w:b w:val="1"/>
          <w:bCs w:val="1"/>
          <w:color w:val="auto"/>
        </w:rPr>
        <w:t>C4 Therapeutics, Inc.</w:t>
      </w:r>
    </w:p>
    <w:p>
      <w:pPr>
        <w:spacing w:after="0" w:line="184"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40" w:type="dxa"/>
            <w:vAlign w:val="bottom"/>
          </w:tcPr>
          <w:p>
            <w:pPr>
              <w:spacing w:after="0"/>
              <w:rPr>
                <w:sz w:val="14"/>
                <w:szCs w:val="14"/>
                <w:color w:val="auto"/>
              </w:rPr>
            </w:pPr>
          </w:p>
        </w:tc>
        <w:tc>
          <w:tcPr>
            <w:tcW w:w="29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754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r>
      <w:tr>
        <w:trPr>
          <w:trHeight w:val="222"/>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Cash flows used in operating activities:</w:t>
            </w:r>
          </w:p>
        </w:tc>
        <w:tc>
          <w:tcPr>
            <w:tcW w:w="9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540" w:type="dxa"/>
            <w:vAlign w:val="bottom"/>
          </w:tcPr>
          <w:p>
            <w:pPr>
              <w:ind w:left="260"/>
              <w:spacing w:after="0"/>
              <w:rPr>
                <w:sz w:val="20"/>
                <w:szCs w:val="20"/>
                <w:color w:val="auto"/>
              </w:rPr>
            </w:pPr>
            <w:r>
              <w:rPr>
                <w:rFonts w:ascii="Arial" w:cs="Arial" w:eastAsia="Arial" w:hAnsi="Arial"/>
                <w:sz w:val="18"/>
                <w:szCs w:val="18"/>
                <w:color w:val="auto"/>
              </w:rPr>
              <w:t>Net loss</w:t>
            </w:r>
          </w:p>
        </w:tc>
        <w:tc>
          <w:tcPr>
            <w:tcW w:w="980" w:type="dxa"/>
            <w:vAlign w:val="bottom"/>
          </w:tcPr>
          <w:p>
            <w:pPr>
              <w:jc w:val="right"/>
              <w:ind w:right="796"/>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(68,234)</w:t>
            </w:r>
          </w:p>
        </w:tc>
        <w:tc>
          <w:tcPr>
            <w:tcW w:w="960" w:type="dxa"/>
            <w:vAlign w:val="bottom"/>
          </w:tcPr>
          <w:p>
            <w:pPr>
              <w:jc w:val="right"/>
              <w:ind w:right="807"/>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(44,540)</w:t>
            </w:r>
          </w:p>
        </w:tc>
      </w:tr>
      <w:tr>
        <w:trPr>
          <w:trHeight w:val="229"/>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loss to cash used in operating activities:</w:t>
            </w:r>
          </w:p>
        </w:tc>
        <w:tc>
          <w:tcPr>
            <w:tcW w:w="9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540" w:type="dxa"/>
            <w:vAlign w:val="bottom"/>
          </w:tcPr>
          <w:p>
            <w:pPr>
              <w:ind w:left="500"/>
              <w:spacing w:after="0"/>
              <w:rPr>
                <w:sz w:val="20"/>
                <w:szCs w:val="20"/>
                <w:color w:val="auto"/>
              </w:rPr>
            </w:pPr>
            <w:r>
              <w:rPr>
                <w:rFonts w:ascii="Arial" w:cs="Arial" w:eastAsia="Arial" w:hAnsi="Arial"/>
                <w:sz w:val="18"/>
                <w:szCs w:val="18"/>
                <w:color w:val="auto"/>
              </w:rPr>
              <w:t>Stock-based compensation expense</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15,159</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713</w:t>
            </w:r>
          </w:p>
        </w:tc>
        <w:tc>
          <w:tcPr>
            <w:tcW w:w="120" w:type="dxa"/>
            <w:vAlign w:val="bottom"/>
          </w:tcPr>
          <w:p>
            <w:pPr>
              <w:spacing w:after="0"/>
              <w:rPr>
                <w:sz w:val="19"/>
                <w:szCs w:val="19"/>
                <w:color w:val="auto"/>
              </w:rPr>
            </w:pPr>
          </w:p>
        </w:tc>
      </w:tr>
      <w:tr>
        <w:trPr>
          <w:trHeight w:val="229"/>
        </w:trPr>
        <w:tc>
          <w:tcPr>
            <w:tcW w:w="75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Depreciation expense</w:t>
            </w:r>
          </w:p>
        </w:tc>
        <w:tc>
          <w:tcPr>
            <w:tcW w:w="9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1,169</w:t>
            </w: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1,252</w:t>
            </w:r>
          </w:p>
        </w:tc>
        <w:tc>
          <w:tcPr>
            <w:tcW w:w="120" w:type="dxa"/>
            <w:vAlign w:val="bottom"/>
            <w:shd w:val="clear" w:color="auto" w:fill="CFF0FC"/>
          </w:tcPr>
          <w:p>
            <w:pPr>
              <w:spacing w:after="0"/>
              <w:rPr>
                <w:sz w:val="19"/>
                <w:szCs w:val="19"/>
                <w:color w:val="auto"/>
              </w:rPr>
            </w:pPr>
          </w:p>
        </w:tc>
      </w:tr>
      <w:tr>
        <w:trPr>
          <w:trHeight w:val="229"/>
        </w:trPr>
        <w:tc>
          <w:tcPr>
            <w:tcW w:w="7540" w:type="dxa"/>
            <w:vAlign w:val="bottom"/>
          </w:tcPr>
          <w:p>
            <w:pPr>
              <w:ind w:left="500"/>
              <w:spacing w:after="0"/>
              <w:rPr>
                <w:sz w:val="20"/>
                <w:szCs w:val="20"/>
                <w:color w:val="auto"/>
              </w:rPr>
            </w:pPr>
            <w:r>
              <w:rPr>
                <w:rFonts w:ascii="Arial" w:cs="Arial" w:eastAsia="Arial" w:hAnsi="Arial"/>
                <w:sz w:val="18"/>
                <w:szCs w:val="18"/>
                <w:color w:val="auto"/>
              </w:rPr>
              <w:t>Reduction in carrying amount of right-of-use asset</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980</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910</w:t>
            </w:r>
          </w:p>
        </w:tc>
        <w:tc>
          <w:tcPr>
            <w:tcW w:w="120" w:type="dxa"/>
            <w:vAlign w:val="bottom"/>
          </w:tcPr>
          <w:p>
            <w:pPr>
              <w:spacing w:after="0"/>
              <w:rPr>
                <w:sz w:val="19"/>
                <w:szCs w:val="19"/>
                <w:color w:val="auto"/>
              </w:rPr>
            </w:pPr>
          </w:p>
        </w:tc>
      </w:tr>
      <w:tr>
        <w:trPr>
          <w:trHeight w:val="229"/>
        </w:trPr>
        <w:tc>
          <w:tcPr>
            <w:tcW w:w="75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Accretion of discount on marketable securities</w:t>
            </w:r>
          </w:p>
        </w:tc>
        <w:tc>
          <w:tcPr>
            <w:tcW w:w="9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1,032</w:t>
            </w: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9"/>
                <w:szCs w:val="19"/>
                <w:color w:val="auto"/>
              </w:rPr>
            </w:pPr>
          </w:p>
        </w:tc>
      </w:tr>
      <w:tr>
        <w:trPr>
          <w:trHeight w:val="229"/>
        </w:trPr>
        <w:tc>
          <w:tcPr>
            <w:tcW w:w="7540" w:type="dxa"/>
            <w:vAlign w:val="bottom"/>
          </w:tcPr>
          <w:p>
            <w:pPr>
              <w:ind w:left="500"/>
              <w:spacing w:after="0"/>
              <w:rPr>
                <w:sz w:val="20"/>
                <w:szCs w:val="20"/>
                <w:color w:val="auto"/>
              </w:rPr>
            </w:pPr>
            <w:r>
              <w:rPr>
                <w:rFonts w:ascii="Arial" w:cs="Arial" w:eastAsia="Arial" w:hAnsi="Arial"/>
                <w:sz w:val="18"/>
                <w:szCs w:val="18"/>
                <w:color w:val="auto"/>
              </w:rPr>
              <w:t>Amortization of debt discount − related party</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540</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19"/>
                <w:szCs w:val="19"/>
                <w:color w:val="auto"/>
              </w:rPr>
            </w:pPr>
          </w:p>
        </w:tc>
      </w:tr>
      <w:tr>
        <w:trPr>
          <w:trHeight w:val="229"/>
        </w:trPr>
        <w:tc>
          <w:tcPr>
            <w:tcW w:w="75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 in fair value of warrant liability</w:t>
            </w:r>
          </w:p>
        </w:tc>
        <w:tc>
          <w:tcPr>
            <w:tcW w:w="9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3,141</w:t>
            </w:r>
          </w:p>
        </w:tc>
        <w:tc>
          <w:tcPr>
            <w:tcW w:w="120" w:type="dxa"/>
            <w:vAlign w:val="bottom"/>
            <w:shd w:val="clear" w:color="auto" w:fill="CFF0FC"/>
          </w:tcPr>
          <w:p>
            <w:pPr>
              <w:spacing w:after="0"/>
              <w:rPr>
                <w:sz w:val="19"/>
                <w:szCs w:val="19"/>
                <w:color w:val="auto"/>
              </w:rPr>
            </w:pPr>
          </w:p>
        </w:tc>
      </w:tr>
      <w:tr>
        <w:trPr>
          <w:trHeight w:val="229"/>
        </w:trPr>
        <w:tc>
          <w:tcPr>
            <w:tcW w:w="754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5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w:t>
            </w:r>
          </w:p>
        </w:tc>
        <w:tc>
          <w:tcPr>
            <w:tcW w:w="9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(361)</w:t>
            </w:r>
          </w:p>
        </w:tc>
        <w:tc>
          <w:tcPr>
            <w:tcW w:w="9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w:t>
            </w:r>
          </w:p>
        </w:tc>
        <w:tc>
          <w:tcPr>
            <w:tcW w:w="120" w:type="dxa"/>
            <w:vAlign w:val="bottom"/>
            <w:shd w:val="clear" w:color="auto" w:fill="CFF0FC"/>
          </w:tcPr>
          <w:p>
            <w:pPr>
              <w:spacing w:after="0"/>
              <w:rPr>
                <w:sz w:val="19"/>
                <w:szCs w:val="19"/>
                <w:color w:val="auto"/>
              </w:rPr>
            </w:pPr>
          </w:p>
        </w:tc>
      </w:tr>
      <w:tr>
        <w:trPr>
          <w:trHeight w:val="229"/>
        </w:trPr>
        <w:tc>
          <w:tcPr>
            <w:tcW w:w="7540" w:type="dxa"/>
            <w:vAlign w:val="bottom"/>
          </w:tcPr>
          <w:p>
            <w:pPr>
              <w:ind w:left="500"/>
              <w:spacing w:after="0"/>
              <w:rPr>
                <w:sz w:val="20"/>
                <w:szCs w:val="20"/>
                <w:color w:val="auto"/>
              </w:rPr>
            </w:pPr>
            <w:r>
              <w:rPr>
                <w:rFonts w:ascii="Arial" w:cs="Arial" w:eastAsia="Arial" w:hAnsi="Arial"/>
                <w:sz w:val="18"/>
                <w:szCs w:val="18"/>
                <w:color w:val="auto"/>
              </w:rPr>
              <w:t>Prepaid expenses and other current and long-term assets</w:t>
            </w:r>
          </w:p>
        </w:tc>
        <w:tc>
          <w:tcPr>
            <w:tcW w:w="98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(1,120)</w:t>
            </w:r>
          </w:p>
        </w:tc>
        <w:tc>
          <w:tcPr>
            <w:tcW w:w="96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(1,798)</w:t>
            </w:r>
          </w:p>
        </w:tc>
      </w:tr>
      <w:tr>
        <w:trPr>
          <w:trHeight w:val="229"/>
        </w:trPr>
        <w:tc>
          <w:tcPr>
            <w:tcW w:w="75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9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(1,939)</w:t>
            </w:r>
          </w:p>
        </w:tc>
        <w:tc>
          <w:tcPr>
            <w:tcW w:w="9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(133)</w:t>
            </w:r>
          </w:p>
        </w:tc>
      </w:tr>
      <w:tr>
        <w:trPr>
          <w:trHeight w:val="229"/>
        </w:trPr>
        <w:tc>
          <w:tcPr>
            <w:tcW w:w="7540" w:type="dxa"/>
            <w:vAlign w:val="bottom"/>
          </w:tcPr>
          <w:p>
            <w:pPr>
              <w:ind w:left="500"/>
              <w:spacing w:after="0"/>
              <w:rPr>
                <w:sz w:val="20"/>
                <w:szCs w:val="20"/>
                <w:color w:val="auto"/>
              </w:rPr>
            </w:pPr>
            <w:r>
              <w:rPr>
                <w:rFonts w:ascii="Arial" w:cs="Arial" w:eastAsia="Arial" w:hAnsi="Arial"/>
                <w:sz w:val="18"/>
                <w:szCs w:val="18"/>
                <w:color w:val="auto"/>
              </w:rPr>
              <w:t>Accrued expenses and other current liabilities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2,242</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3,156</w:t>
            </w:r>
          </w:p>
        </w:tc>
        <w:tc>
          <w:tcPr>
            <w:tcW w:w="120" w:type="dxa"/>
            <w:vAlign w:val="bottom"/>
          </w:tcPr>
          <w:p>
            <w:pPr>
              <w:spacing w:after="0"/>
              <w:rPr>
                <w:sz w:val="19"/>
                <w:szCs w:val="19"/>
                <w:color w:val="auto"/>
              </w:rPr>
            </w:pPr>
          </w:p>
        </w:tc>
      </w:tr>
      <w:tr>
        <w:trPr>
          <w:trHeight w:val="229"/>
        </w:trPr>
        <w:tc>
          <w:tcPr>
            <w:tcW w:w="75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Operating lease liability</w:t>
            </w:r>
          </w:p>
        </w:tc>
        <w:tc>
          <w:tcPr>
            <w:tcW w:w="9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(772)</w:t>
            </w:r>
          </w:p>
        </w:tc>
        <w:tc>
          <w:tcPr>
            <w:tcW w:w="9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(651)</w:t>
            </w:r>
          </w:p>
        </w:tc>
      </w:tr>
      <w:tr>
        <w:trPr>
          <w:trHeight w:val="229"/>
        </w:trPr>
        <w:tc>
          <w:tcPr>
            <w:tcW w:w="7540" w:type="dxa"/>
            <w:vAlign w:val="bottom"/>
          </w:tcPr>
          <w:p>
            <w:pPr>
              <w:ind w:left="500"/>
              <w:spacing w:after="0"/>
              <w:rPr>
                <w:sz w:val="20"/>
                <w:szCs w:val="20"/>
                <w:color w:val="auto"/>
              </w:rPr>
            </w:pPr>
            <w:r>
              <w:rPr>
                <w:rFonts w:ascii="Arial" w:cs="Arial" w:eastAsia="Arial" w:hAnsi="Arial"/>
                <w:sz w:val="18"/>
                <w:szCs w:val="18"/>
                <w:color w:val="auto"/>
              </w:rPr>
              <w:t>Deferred revenue</w:t>
            </w:r>
          </w:p>
        </w:tc>
        <w:tc>
          <w:tcPr>
            <w:tcW w:w="98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(9,990)</w:t>
            </w:r>
          </w:p>
        </w:tc>
        <w:tc>
          <w:tcPr>
            <w:tcW w:w="96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(8,425)</w:t>
            </w:r>
          </w:p>
        </w:tc>
      </w:tr>
      <w:tr>
        <w:trPr>
          <w:trHeight w:val="222"/>
        </w:trPr>
        <w:tc>
          <w:tcPr>
            <w:tcW w:w="7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(61,294)</w:t>
            </w:r>
          </w:p>
        </w:tc>
        <w:tc>
          <w:tcPr>
            <w:tcW w:w="3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(45,656)</w:t>
            </w:r>
          </w:p>
        </w:tc>
        <w:tc>
          <w:tcPr>
            <w:tcW w:w="120" w:type="dxa"/>
            <w:vAlign w:val="bottom"/>
            <w:tcBorders>
              <w:top w:val="single" w:sz="8" w:color="CFF0FC"/>
            </w:tcBorders>
            <w:shd w:val="clear" w:color="auto" w:fill="CFF0FC"/>
          </w:tcPr>
          <w:p>
            <w:pPr>
              <w:spacing w:after="0"/>
              <w:rPr>
                <w:sz w:val="19"/>
                <w:szCs w:val="19"/>
                <w:color w:val="auto"/>
              </w:rPr>
            </w:pPr>
          </w:p>
        </w:tc>
      </w:tr>
      <w:tr>
        <w:trPr>
          <w:trHeight w:val="222"/>
        </w:trPr>
        <w:tc>
          <w:tcPr>
            <w:tcW w:w="7540" w:type="dxa"/>
            <w:vAlign w:val="bottom"/>
          </w:tcPr>
          <w:p>
            <w:pPr>
              <w:spacing w:after="0"/>
              <w:rPr>
                <w:sz w:val="20"/>
                <w:szCs w:val="20"/>
                <w:color w:val="auto"/>
              </w:rPr>
            </w:pPr>
            <w:r>
              <w:rPr>
                <w:rFonts w:ascii="Arial" w:cs="Arial" w:eastAsia="Arial" w:hAnsi="Arial"/>
                <w:sz w:val="18"/>
                <w:szCs w:val="18"/>
                <w:color w:val="auto"/>
              </w:rPr>
              <w:t>Cash flows used in investing activities:</w:t>
            </w: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maturities of marketable securities</w:t>
            </w:r>
          </w:p>
        </w:tc>
        <w:tc>
          <w:tcPr>
            <w:tcW w:w="9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263,569</w:t>
            </w: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540" w:type="dxa"/>
            <w:vAlign w:val="bottom"/>
          </w:tcPr>
          <w:p>
            <w:pPr>
              <w:ind w:left="260"/>
              <w:spacing w:after="0"/>
              <w:rPr>
                <w:sz w:val="20"/>
                <w:szCs w:val="20"/>
                <w:color w:val="auto"/>
              </w:rPr>
            </w:pPr>
            <w:r>
              <w:rPr>
                <w:rFonts w:ascii="Arial" w:cs="Arial" w:eastAsia="Arial" w:hAnsi="Arial"/>
                <w:sz w:val="18"/>
                <w:szCs w:val="18"/>
                <w:color w:val="auto"/>
              </w:rPr>
              <w:t>Purchases of marketable securities</w:t>
            </w:r>
          </w:p>
        </w:tc>
        <w:tc>
          <w:tcPr>
            <w:tcW w:w="98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(392,324)</w:t>
            </w:r>
          </w:p>
        </w:tc>
        <w:tc>
          <w:tcPr>
            <w:tcW w:w="96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(135,979)</w:t>
            </w:r>
          </w:p>
        </w:tc>
      </w:tr>
      <w:tr>
        <w:trPr>
          <w:trHeight w:val="229"/>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property and equipment</w:t>
            </w:r>
          </w:p>
        </w:tc>
        <w:tc>
          <w:tcPr>
            <w:tcW w:w="9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(1,168)</w:t>
            </w:r>
          </w:p>
        </w:tc>
        <w:tc>
          <w:tcPr>
            <w:tcW w:w="9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(359)</w:t>
            </w:r>
          </w:p>
        </w:tc>
      </w:tr>
      <w:tr>
        <w:trPr>
          <w:trHeight w:val="222"/>
        </w:trPr>
        <w:tc>
          <w:tcPr>
            <w:tcW w:w="7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investing activities</w:t>
            </w:r>
          </w:p>
        </w:tc>
        <w:tc>
          <w:tcPr>
            <w:tcW w:w="9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(129,923)</w:t>
            </w:r>
          </w:p>
        </w:tc>
        <w:tc>
          <w:tcPr>
            <w:tcW w:w="30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(136,338)</w:t>
            </w:r>
          </w:p>
        </w:tc>
        <w:tc>
          <w:tcPr>
            <w:tcW w:w="120" w:type="dxa"/>
            <w:vAlign w:val="bottom"/>
            <w:tcBorders>
              <w:bottom w:val="single" w:sz="8" w:color="CFF0FC"/>
            </w:tcBorders>
          </w:tcPr>
          <w:p>
            <w:pPr>
              <w:spacing w:after="0"/>
              <w:rPr>
                <w:sz w:val="19"/>
                <w:szCs w:val="19"/>
                <w:color w:val="auto"/>
              </w:rPr>
            </w:pPr>
          </w:p>
        </w:tc>
      </w:tr>
      <w:tr>
        <w:trPr>
          <w:trHeight w:val="222"/>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Cash flows provided by financing activities:</w:t>
            </w:r>
          </w:p>
        </w:tc>
        <w:tc>
          <w:tcPr>
            <w:tcW w:w="9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540" w:type="dxa"/>
            <w:vAlign w:val="bottom"/>
          </w:tcPr>
          <w:p>
            <w:pPr>
              <w:ind w:left="260"/>
              <w:spacing w:after="0"/>
              <w:rPr>
                <w:sz w:val="20"/>
                <w:szCs w:val="20"/>
                <w:color w:val="auto"/>
              </w:rPr>
            </w:pPr>
            <w:r>
              <w:rPr>
                <w:rFonts w:ascii="Arial" w:cs="Arial" w:eastAsia="Arial" w:hAnsi="Arial"/>
                <w:sz w:val="18"/>
                <w:szCs w:val="18"/>
                <w:color w:val="auto"/>
              </w:rPr>
              <w:t>Proceeds from follow-on offering, net of issuance costs paid of $11.3 million (Note 10)</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169,465</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exercises of stock options</w:t>
            </w:r>
          </w:p>
        </w:tc>
        <w:tc>
          <w:tcPr>
            <w:tcW w:w="9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1,578</w:t>
            </w: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w:t>
            </w:r>
          </w:p>
        </w:tc>
        <w:tc>
          <w:tcPr>
            <w:tcW w:w="120" w:type="dxa"/>
            <w:vAlign w:val="bottom"/>
            <w:shd w:val="clear" w:color="auto" w:fill="CFF0FC"/>
          </w:tcPr>
          <w:p>
            <w:pPr>
              <w:spacing w:after="0"/>
              <w:rPr>
                <w:sz w:val="19"/>
                <w:szCs w:val="19"/>
                <w:color w:val="auto"/>
              </w:rPr>
            </w:pPr>
          </w:p>
        </w:tc>
      </w:tr>
      <w:tr>
        <w:trPr>
          <w:trHeight w:val="229"/>
        </w:trPr>
        <w:tc>
          <w:tcPr>
            <w:tcW w:w="7540" w:type="dxa"/>
            <w:vAlign w:val="bottom"/>
          </w:tcPr>
          <w:p>
            <w:pPr>
              <w:ind w:left="260"/>
              <w:spacing w:after="0"/>
              <w:rPr>
                <w:sz w:val="20"/>
                <w:szCs w:val="20"/>
                <w:color w:val="auto"/>
              </w:rPr>
            </w:pPr>
            <w:r>
              <w:rPr>
                <w:rFonts w:ascii="Arial" w:cs="Arial" w:eastAsia="Arial" w:hAnsi="Arial"/>
                <w:sz w:val="18"/>
                <w:szCs w:val="18"/>
                <w:color w:val="auto"/>
              </w:rPr>
              <w:t>Payment of initial public offering costs</w:t>
            </w:r>
          </w:p>
        </w:tc>
        <w:tc>
          <w:tcPr>
            <w:tcW w:w="98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(286)</w:t>
            </w:r>
          </w:p>
        </w:tc>
        <w:tc>
          <w:tcPr>
            <w:tcW w:w="96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(2,446)</w:t>
            </w:r>
          </w:p>
        </w:tc>
      </w:tr>
      <w:tr>
        <w:trPr>
          <w:trHeight w:val="229"/>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the issuance of Series B shares, net of issuance costs of $4.5 million</w:t>
            </w:r>
          </w:p>
        </w:tc>
        <w:tc>
          <w:tcPr>
            <w:tcW w:w="9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145,525</w:t>
            </w:r>
          </w:p>
        </w:tc>
        <w:tc>
          <w:tcPr>
            <w:tcW w:w="120" w:type="dxa"/>
            <w:vAlign w:val="bottom"/>
            <w:shd w:val="clear" w:color="auto" w:fill="CFF0FC"/>
          </w:tcPr>
          <w:p>
            <w:pPr>
              <w:spacing w:after="0"/>
              <w:rPr>
                <w:sz w:val="19"/>
                <w:szCs w:val="19"/>
                <w:color w:val="auto"/>
              </w:rPr>
            </w:pPr>
          </w:p>
        </w:tc>
      </w:tr>
      <w:tr>
        <w:trPr>
          <w:trHeight w:val="229"/>
        </w:trPr>
        <w:tc>
          <w:tcPr>
            <w:tcW w:w="7540" w:type="dxa"/>
            <w:vAlign w:val="bottom"/>
          </w:tcPr>
          <w:p>
            <w:pPr>
              <w:ind w:left="260"/>
              <w:spacing w:after="0"/>
              <w:rPr>
                <w:sz w:val="20"/>
                <w:szCs w:val="20"/>
                <w:color w:val="auto"/>
              </w:rPr>
            </w:pPr>
            <w:r>
              <w:rPr>
                <w:rFonts w:ascii="Arial" w:cs="Arial" w:eastAsia="Arial" w:hAnsi="Arial"/>
                <w:sz w:val="18"/>
                <w:szCs w:val="18"/>
                <w:color w:val="auto"/>
                <w:w w:val="96"/>
              </w:rPr>
              <w:t>Proceeds from long-term debt and warrant − related party, net of issuance costs of $0.5 million</w:t>
            </w:r>
          </w:p>
        </w:tc>
        <w:tc>
          <w:tcPr>
            <w:tcW w:w="98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11,973</w:t>
            </w:r>
          </w:p>
        </w:tc>
        <w:tc>
          <w:tcPr>
            <w:tcW w:w="120" w:type="dxa"/>
            <w:vAlign w:val="bottom"/>
          </w:tcPr>
          <w:p>
            <w:pPr>
              <w:spacing w:after="0"/>
              <w:rPr>
                <w:sz w:val="19"/>
                <w:szCs w:val="19"/>
                <w:color w:val="auto"/>
              </w:rPr>
            </w:pPr>
          </w:p>
        </w:tc>
      </w:tr>
      <w:tr>
        <w:trPr>
          <w:trHeight w:val="229"/>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Repurchase of common stock</w:t>
            </w:r>
          </w:p>
        </w:tc>
        <w:tc>
          <w:tcPr>
            <w:tcW w:w="9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(210)</w:t>
            </w:r>
          </w:p>
        </w:tc>
      </w:tr>
      <w:tr>
        <w:trPr>
          <w:trHeight w:val="229"/>
        </w:trPr>
        <w:tc>
          <w:tcPr>
            <w:tcW w:w="7540" w:type="dxa"/>
            <w:vAlign w:val="bottom"/>
          </w:tcPr>
          <w:p>
            <w:pPr>
              <w:ind w:left="260"/>
              <w:spacing w:after="0"/>
              <w:rPr>
                <w:sz w:val="20"/>
                <w:szCs w:val="20"/>
                <w:color w:val="auto"/>
              </w:rPr>
            </w:pPr>
            <w:r>
              <w:rPr>
                <w:rFonts w:ascii="Arial" w:cs="Arial" w:eastAsia="Arial" w:hAnsi="Arial"/>
                <w:sz w:val="18"/>
                <w:szCs w:val="18"/>
                <w:color w:val="auto"/>
              </w:rPr>
              <w:t>Vested stock option settlement</w:t>
            </w:r>
          </w:p>
        </w:tc>
        <w:tc>
          <w:tcPr>
            <w:tcW w:w="98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(727)</w:t>
            </w:r>
          </w:p>
        </w:tc>
      </w:tr>
      <w:tr>
        <w:trPr>
          <w:trHeight w:val="229"/>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9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2"/>
        </w:trPr>
        <w:tc>
          <w:tcPr>
            <w:tcW w:w="7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9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170,934</w:t>
            </w:r>
          </w:p>
        </w:tc>
        <w:tc>
          <w:tcPr>
            <w:tcW w:w="30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154,879</w:t>
            </w:r>
          </w:p>
        </w:tc>
        <w:tc>
          <w:tcPr>
            <w:tcW w:w="120" w:type="dxa"/>
            <w:vAlign w:val="bottom"/>
            <w:tcBorders>
              <w:bottom w:val="single" w:sz="8" w:color="CFF0FC"/>
            </w:tcBorders>
          </w:tcPr>
          <w:p>
            <w:pPr>
              <w:spacing w:after="0"/>
              <w:rPr>
                <w:sz w:val="19"/>
                <w:szCs w:val="19"/>
                <w:color w:val="auto"/>
              </w:rPr>
            </w:pPr>
          </w:p>
        </w:tc>
      </w:tr>
      <w:tr>
        <w:trPr>
          <w:trHeight w:val="222"/>
        </w:trPr>
        <w:tc>
          <w:tcPr>
            <w:tcW w:w="754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2"/>
        </w:trPr>
        <w:tc>
          <w:tcPr>
            <w:tcW w:w="7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change in cash, cash equivalents and restricted cash</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(20,283)</w:t>
            </w:r>
          </w:p>
        </w:tc>
        <w:tc>
          <w:tcPr>
            <w:tcW w:w="30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(27,115)</w:t>
            </w:r>
          </w:p>
        </w:tc>
        <w:tc>
          <w:tcPr>
            <w:tcW w:w="120" w:type="dxa"/>
            <w:vAlign w:val="bottom"/>
            <w:tcBorders>
              <w:bottom w:val="single" w:sz="8" w:color="CFF0FC"/>
            </w:tcBorders>
          </w:tcPr>
          <w:p>
            <w:pPr>
              <w:spacing w:after="0"/>
              <w:rPr>
                <w:sz w:val="19"/>
                <w:szCs w:val="19"/>
                <w:color w:val="auto"/>
              </w:rPr>
            </w:pPr>
          </w:p>
        </w:tc>
      </w:tr>
      <w:tr>
        <w:trPr>
          <w:trHeight w:val="222"/>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9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184,304</w:t>
            </w:r>
          </w:p>
        </w:tc>
        <w:tc>
          <w:tcPr>
            <w:tcW w:w="30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93,126</w:t>
            </w:r>
          </w:p>
        </w:tc>
        <w:tc>
          <w:tcPr>
            <w:tcW w:w="120" w:type="dxa"/>
            <w:vAlign w:val="bottom"/>
            <w:shd w:val="clear" w:color="auto" w:fill="CFF0FC"/>
          </w:tcPr>
          <w:p>
            <w:pPr>
              <w:spacing w:after="0"/>
              <w:rPr>
                <w:sz w:val="19"/>
                <w:szCs w:val="19"/>
                <w:color w:val="auto"/>
              </w:rPr>
            </w:pPr>
          </w:p>
        </w:tc>
      </w:tr>
      <w:tr>
        <w:trPr>
          <w:trHeight w:val="262"/>
        </w:trPr>
        <w:tc>
          <w:tcPr>
            <w:tcW w:w="7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98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164,021</w:t>
            </w:r>
          </w:p>
        </w:tc>
        <w:tc>
          <w:tcPr>
            <w:tcW w:w="300" w:type="dxa"/>
            <w:vAlign w:val="bottom"/>
            <w:tcBorders>
              <w:bottom w:val="single" w:sz="8" w:color="CFF0FC"/>
            </w:tcBorders>
          </w:tcPr>
          <w:p>
            <w:pPr>
              <w:spacing w:after="0"/>
              <w:rPr>
                <w:sz w:val="22"/>
                <w:szCs w:val="22"/>
                <w:color w:val="auto"/>
              </w:rPr>
            </w:pPr>
          </w:p>
        </w:tc>
        <w:tc>
          <w:tcPr>
            <w:tcW w:w="960" w:type="dxa"/>
            <w:vAlign w:val="bottom"/>
            <w:tcBorders>
              <w:bottom w:val="single" w:sz="8" w:color="auto"/>
            </w:tcBorders>
          </w:tcPr>
          <w:p>
            <w:pPr>
              <w:jc w:val="right"/>
              <w:ind w:right="80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66,011</w:t>
            </w:r>
          </w:p>
        </w:tc>
        <w:tc>
          <w:tcPr>
            <w:tcW w:w="120" w:type="dxa"/>
            <w:vAlign w:val="bottom"/>
            <w:tcBorders>
              <w:bottom w:val="single" w:sz="8" w:color="CFF0FC"/>
            </w:tcBorders>
          </w:tcPr>
          <w:p>
            <w:pPr>
              <w:spacing w:after="0"/>
              <w:rPr>
                <w:sz w:val="22"/>
                <w:szCs w:val="22"/>
                <w:color w:val="auto"/>
              </w:rPr>
            </w:pPr>
          </w:p>
        </w:tc>
      </w:tr>
      <w:tr>
        <w:trPr>
          <w:trHeight w:val="209"/>
        </w:trPr>
        <w:tc>
          <w:tcPr>
            <w:tcW w:w="75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7540" w:type="dxa"/>
            <w:vAlign w:val="bottom"/>
          </w:tcPr>
          <w:p>
            <w:pPr>
              <w:spacing w:after="0"/>
              <w:rPr>
                <w:sz w:val="20"/>
                <w:szCs w:val="20"/>
                <w:color w:val="auto"/>
              </w:rPr>
            </w:pPr>
            <w:r>
              <w:rPr>
                <w:rFonts w:ascii="Arial" w:cs="Arial" w:eastAsia="Arial" w:hAnsi="Arial"/>
                <w:sz w:val="18"/>
                <w:szCs w:val="18"/>
                <w:color w:val="auto"/>
              </w:rPr>
              <w:t>Reconciliation of cash, cash equivalents and restricted cash:</w:t>
            </w: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cash equivalents and restricted cash at end of period</w:t>
            </w:r>
          </w:p>
        </w:tc>
        <w:tc>
          <w:tcPr>
            <w:tcW w:w="98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164,021</w:t>
            </w: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80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66,011</w:t>
            </w:r>
          </w:p>
        </w:tc>
        <w:tc>
          <w:tcPr>
            <w:tcW w:w="120" w:type="dxa"/>
            <w:vAlign w:val="bottom"/>
            <w:shd w:val="clear" w:color="auto" w:fill="CFF0FC"/>
          </w:tcPr>
          <w:p>
            <w:pPr>
              <w:spacing w:after="0"/>
              <w:rPr>
                <w:sz w:val="19"/>
                <w:szCs w:val="19"/>
                <w:color w:val="auto"/>
              </w:rPr>
            </w:pPr>
          </w:p>
        </w:tc>
      </w:tr>
      <w:tr>
        <w:trPr>
          <w:trHeight w:val="229"/>
        </w:trPr>
        <w:tc>
          <w:tcPr>
            <w:tcW w:w="7540" w:type="dxa"/>
            <w:vAlign w:val="bottom"/>
          </w:tcPr>
          <w:p>
            <w:pPr>
              <w:ind w:left="260"/>
              <w:spacing w:after="0"/>
              <w:rPr>
                <w:sz w:val="20"/>
                <w:szCs w:val="20"/>
                <w:color w:val="auto"/>
              </w:rPr>
            </w:pPr>
            <w:r>
              <w:rPr>
                <w:rFonts w:ascii="Arial" w:cs="Arial" w:eastAsia="Arial" w:hAnsi="Arial"/>
                <w:sz w:val="18"/>
                <w:szCs w:val="18"/>
                <w:color w:val="auto"/>
              </w:rPr>
              <w:t>Less: restricted cash</w:t>
            </w:r>
          </w:p>
        </w:tc>
        <w:tc>
          <w:tcPr>
            <w:tcW w:w="98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(1,276)</w:t>
            </w:r>
          </w:p>
        </w:tc>
        <w:tc>
          <w:tcPr>
            <w:tcW w:w="96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(2,577)</w:t>
            </w:r>
          </w:p>
        </w:tc>
      </w:tr>
      <w:tr>
        <w:trPr>
          <w:trHeight w:val="222"/>
        </w:trPr>
        <w:tc>
          <w:tcPr>
            <w:tcW w:w="75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Cash and cash equivalents at end of the period</w:t>
            </w:r>
          </w:p>
        </w:tc>
        <w:tc>
          <w:tcPr>
            <w:tcW w:w="980" w:type="dxa"/>
            <w:vAlign w:val="bottom"/>
            <w:tcBorders>
              <w:top w:val="single" w:sz="8" w:color="auto"/>
              <w:bottom w:val="single" w:sz="8" w:color="auto"/>
            </w:tcBorders>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162,745</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80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63,434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5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11" w:name="page12"/>
    <w:bookmarkEnd w:id="11"/>
    <w:p>
      <w:pPr>
        <w:ind w:left="4800"/>
        <w:spacing w:after="0"/>
        <w:rPr>
          <w:sz w:val="20"/>
          <w:szCs w:val="20"/>
          <w:color w:val="auto"/>
        </w:rPr>
      </w:pPr>
      <w:r>
        <w:rPr>
          <w:rFonts w:ascii="Arial" w:cs="Arial" w:eastAsia="Arial" w:hAnsi="Arial"/>
          <w:sz w:val="18"/>
          <w:szCs w:val="18"/>
          <w:b w:val="1"/>
          <w:bCs w:val="1"/>
          <w:color w:val="auto"/>
        </w:rPr>
        <w:t>C4 Therapeutics, Inc.</w:t>
      </w:r>
    </w:p>
    <w:p>
      <w:pPr>
        <w:spacing w:after="0" w:line="184"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Condensed Consolidated Statements of Cash Flows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320" w:type="dxa"/>
            <w:vAlign w:val="bottom"/>
            <w:gridSpan w:val="5"/>
          </w:tcPr>
          <w:p>
            <w:pPr>
              <w:ind w:left="3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5"/>
        </w:trPr>
        <w:tc>
          <w:tcPr>
            <w:tcW w:w="7540" w:type="dxa"/>
            <w:vAlign w:val="bottom"/>
            <w:tcBorders>
              <w:bottom w:val="single" w:sz="8" w:color="CFF0FC"/>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595"/>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bottom w:val="single" w:sz="8" w:color="CFF0FC"/>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593"/>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disclosures of cash flow information:</w:t>
            </w: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75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Cash paid for interest − related party</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w:t>
            </w:r>
          </w:p>
        </w:tc>
        <w:tc>
          <w:tcPr>
            <w:tcW w:w="300" w:type="dxa"/>
            <w:vAlign w:val="bottom"/>
            <w:tcBorders>
              <w:bottom w:val="single" w:sz="8" w:color="CFF0FC"/>
            </w:tcBorders>
          </w:tcPr>
          <w:p>
            <w:pPr>
              <w:spacing w:after="0"/>
              <w:rPr>
                <w:sz w:val="23"/>
                <w:szCs w:val="23"/>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12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75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40" w:type="dxa"/>
            <w:vAlign w:val="bottom"/>
          </w:tcPr>
          <w:p>
            <w:pPr>
              <w:spacing w:after="0"/>
              <w:rPr>
                <w:sz w:val="20"/>
                <w:szCs w:val="20"/>
                <w:color w:val="auto"/>
              </w:rPr>
            </w:pPr>
            <w:r>
              <w:rPr>
                <w:rFonts w:ascii="Arial" w:cs="Arial" w:eastAsia="Arial" w:hAnsi="Arial"/>
                <w:sz w:val="18"/>
                <w:szCs w:val="18"/>
                <w:color w:val="auto"/>
              </w:rPr>
              <w:t>Supplemental disclosures of non-cash investing and financing activities:</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Aggregate exercise price of warrant net exercised − related party (Note 10)</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3,002</w:t>
            </w:r>
          </w:p>
        </w:tc>
        <w:tc>
          <w:tcPr>
            <w:tcW w:w="3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40" w:type="dxa"/>
            <w:vAlign w:val="bottom"/>
            <w:vMerge w:val="restart"/>
          </w:tcPr>
          <w:p>
            <w:pPr>
              <w:ind w:left="260"/>
              <w:spacing w:after="0"/>
              <w:rPr>
                <w:sz w:val="20"/>
                <w:szCs w:val="20"/>
                <w:color w:val="auto"/>
              </w:rPr>
            </w:pPr>
            <w:r>
              <w:rPr>
                <w:rFonts w:ascii="Arial" w:cs="Arial" w:eastAsia="Arial" w:hAnsi="Arial"/>
                <w:sz w:val="18"/>
                <w:szCs w:val="18"/>
                <w:color w:val="auto"/>
              </w:rPr>
              <w:t>Initial public offering costs in accrued expenses</w:t>
            </w:r>
          </w:p>
        </w:tc>
        <w:tc>
          <w:tcPr>
            <w:tcW w:w="3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540" w:type="dxa"/>
            <w:vAlign w:val="bottom"/>
            <w:tcBorders>
              <w:bottom w:val="single" w:sz="8" w:color="CFF0FC"/>
            </w:tcBorders>
            <w:vMerge w:val="continue"/>
          </w:tcPr>
          <w:p>
            <w:pPr>
              <w:spacing w:after="0"/>
              <w:rPr>
                <w:sz w:val="21"/>
                <w:szCs w:val="21"/>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75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Capital expenditures in accounts payable and accrued expenses</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40" w:type="dxa"/>
            <w:vAlign w:val="bottom"/>
            <w:vMerge w:val="restart"/>
          </w:tcPr>
          <w:p>
            <w:pPr>
              <w:ind w:left="260"/>
              <w:spacing w:after="0"/>
              <w:rPr>
                <w:sz w:val="20"/>
                <w:szCs w:val="20"/>
                <w:color w:val="auto"/>
              </w:rPr>
            </w:pPr>
            <w:r>
              <w:rPr>
                <w:rFonts w:ascii="Arial" w:cs="Arial" w:eastAsia="Arial" w:hAnsi="Arial"/>
                <w:sz w:val="18"/>
                <w:szCs w:val="18"/>
                <w:color w:val="auto"/>
              </w:rPr>
              <w:t>Stock option exercises included in prepaid and other current assets</w:t>
            </w:r>
          </w:p>
        </w:tc>
        <w:tc>
          <w:tcPr>
            <w:tcW w:w="3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540" w:type="dxa"/>
            <w:vAlign w:val="bottom"/>
            <w:tcBorders>
              <w:bottom w:val="single" w:sz="8" w:color="CFF0FC"/>
            </w:tcBorders>
            <w:vMerge w:val="continue"/>
          </w:tcPr>
          <w:p>
            <w:pPr>
              <w:spacing w:after="0"/>
              <w:rPr>
                <w:sz w:val="21"/>
                <w:szCs w:val="21"/>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75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Fair value of warrant issued in connection with debt issuance</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5,465</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83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C4 THERAPEUTICS, INC.</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the business and basis of presentation</w:t>
      </w:r>
    </w:p>
    <w:p>
      <w:pPr>
        <w:spacing w:after="0" w:line="120"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C4 Therapeutics, Inc., or, together with its subsidiary, the Company, is a clinical-stage biopharmaceutical company focused on harnessing the body’s natural regulation of protein levels to develop novel therapeutic candidates to target and eliminate disease-causing proteins for the treatment of cancer and other diseases. The Company was incorporated in Delaware on October 7, 2015 and has its principal office in Watertown, Massachusetts.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6"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Since its inception, the Company’s primary activities have been focused on research and development activities, building the Company’s intellectual property, recruiting personnel and raising capital to support these activities. To date, the Company has funded its operations primarily with proceeds received from the sales of redeemable convertible preferred stock, public offerings of the Company’s common stock, through its collaboration agreements, and debt financing.</w:t>
      </w:r>
    </w:p>
    <w:p>
      <w:pPr>
        <w:spacing w:after="0" w:line="80"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The Company has incurred recurring losses since its inception, including net losses of $68.2 million and $44.5 million for the nine months ended September 30, 2021 and 2020, respectively. In addition, as of September 30, 2021, the Company had an accumulated deficit of $252.1 million. To date, the Company has not generated any revenue from product sales as none of its product candidates has been approved for commercialization. The Company expects to continue to generate operating losses for the foreseeable future.</w:t>
      </w:r>
    </w:p>
    <w:p>
      <w:pPr>
        <w:spacing w:after="0" w:line="8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As further discussed in Note 10, </w:t>
      </w:r>
      <w:r>
        <w:rPr>
          <w:rFonts w:ascii="Arial" w:cs="Arial" w:eastAsia="Arial" w:hAnsi="Arial"/>
          <w:sz w:val="18"/>
          <w:szCs w:val="18"/>
          <w:i w:val="1"/>
          <w:iCs w:val="1"/>
          <w:color w:val="auto"/>
        </w:rPr>
        <w:t>Stockholders’ equity</w:t>
      </w:r>
      <w:r>
        <w:rPr>
          <w:rFonts w:ascii="Arial" w:cs="Arial" w:eastAsia="Arial" w:hAnsi="Arial"/>
          <w:sz w:val="18"/>
          <w:szCs w:val="18"/>
          <w:color w:val="auto"/>
        </w:rPr>
        <w:t>, on October 6, 2020, the Company completed its initial public offering, or the IPO. The net proceeds to the Company were $191.2 million, after deducting underwriting discounts and commissions, and expenses. Upon the closing of the IPO, all outstanding shares of the Company’s redeemable convertible preferred stock automatically converted into 30,355,379 shares of common stock. In June 2021, the Company completed a follow-on offering. The net proceeds to the Company were $169.5 million, after deducting underwriting discounts and commissions, and expenses.</w:t>
      </w:r>
    </w:p>
    <w:p>
      <w:pPr>
        <w:spacing w:after="0" w:line="81" w:lineRule="exact"/>
        <w:rPr>
          <w:sz w:val="20"/>
          <w:szCs w:val="20"/>
          <w:color w:val="auto"/>
        </w:rPr>
      </w:pPr>
    </w:p>
    <w:p>
      <w:pPr>
        <w:ind w:right="200"/>
        <w:spacing w:after="0" w:line="278" w:lineRule="auto"/>
        <w:rPr>
          <w:sz w:val="20"/>
          <w:szCs w:val="20"/>
          <w:color w:val="auto"/>
        </w:rPr>
      </w:pPr>
      <w:r>
        <w:rPr>
          <w:rFonts w:ascii="Arial" w:cs="Arial" w:eastAsia="Arial" w:hAnsi="Arial"/>
          <w:sz w:val="17"/>
          <w:szCs w:val="17"/>
          <w:color w:val="auto"/>
        </w:rPr>
        <w:t>The Company expects that its cash, cash equivalents and marketable securities of $480.3 million as of September 30, 2021 will be sufficient to fund its operations for at least the next twelve months from the date of issuance of these condensed consolidated financial statements. Accordingly, the condensed consolidated financial statements have been prepared on a basis that assumes the Company will continue as a going concern and contemplates the realization of assets and satisfaction of liabilities and commitments in the ordinary course of business.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16"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On September 25, 2020, the Company effected a one-for-8.4335 reverse stock split of its issued and then outstanding common stock and stock options, and a proportional adjustment to the existing conversion ratios for the Company’s convertible preferred stock. Accordingly, all issued and then outstanding common stock, options to purchase common stock and per share amounts contained in the condensed consolidated financial statements have been retroactively adjusted to give effect to the reverse stock split for all periods presented.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 is subject to risks common to other life science companies in the early development stage including, but not limited to, uncertainty of product development and commercialization, lack of marketing and sales history, development by its competitors of new technological innovations, dependence on key personnel, market acceptance of products, product liability, protection of proprietary technology, ability to raise additional financing and compliance with the U.S. Food and Drug Administration, or FDA, and other government regulations. If the Company does not successfully advance its programs into and through human clinical trials and commercialize any of its product candidates, the Company may be unable to produce product revenue or achieve profitability. Additionally, if the Company elects to enter into collaborations for its programs, the success of those collaborations may significantly impact its revenue and profitability. There can be no assurance that the Company’s research and development efforts will be successful, adequate protection for the Company’s intellectual property will be obtained, any products developed will obtain or maintain necessary government regulatory approval, or any approved products will be commercially viable. Even if the Company’s product development efforts are successful, it is uncertain when, if ever, the Company will generate significant revenue from product sales. The Company operates in an environment of rapid change in science and technology and substantial competition from pharmaceutical and biotechnology companies.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pandemic</w:t>
      </w:r>
    </w:p>
    <w:p>
      <w:pPr>
        <w:spacing w:after="0" w:line="116"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impact of the ongoing coronavirus, or COVID-19, pandemic on the Company’s business, results of operations and financial condition continues to remain uncertain and will depend on future developments, including the impact of vaccines and new variant strains of COVID-19, and any governmental advisories and restrictions.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83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116"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accompanying interim unaudited condensed consolidated financial statements have been prepared in accordance with generally accepted accounting principles in the United States, or U.S. GAAP, and applicable rules and regulations of the Securities and Exchange Commission, or the SEC, regarding interim financial reporting, and the instructions to Form 10-Q and Article 10 of Regulation S-X. Accordingly, they do not include all of the information and footnotes required by U.S. GAAP for complete financial statements. These condensed consolidated financial statements include the accounts of C4 Therapeutics, Inc. and its subsidiary C4T Securities Corporation. All intercompany balances and transactions have been eliminated in consolidation.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accompanying condensed consolidated balance sheet as of September 30, 2021, the condensed consolidated statements of operations and comprehensive loss for the three and nine months ended September 30, 2021 and 2020, the condensed consolidated statements of stockholders’ equity (deficit) for the three and nine months ended September 30, 2021 and 2020, the condensed consolidated statements of cash flows for the nine months ended September 30, 2021 and 2020, and the related interim disclosures are unaudited. These unaudited condensed consolidated financial statements include all adjustments necessary, consisting of only normal recurring adjustments, to fairly state the financial position and the results of the Company’s operations and cash flows for interim periods in accordance with U.S. GAAP. Interim period results are not necessarily indicative of results of operations or cash flows for a full year or any subsequent interim period. The accompanying condensed consolidated financial statements should be read in conjunction with the Company’s audited consolidated financial statements as of and for year ended December 31, 2020, and notes thereto, which are included in the Company’s Annual Report on Form 10-K that was filed with the SEC on March 11, 2021.</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6"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The preparation of condensed consolidated financial statements in conformity with U.S. GAAP requires management to make estimates and assumptions that affect the reported amounts of assets and liabilities and disclosure of contingent assets and liabilities as of the date of the condensed consolidated financial statements and the reported amounts of revenues and expenses during the reporting period. The Company bases its estimates and assumptions on historical experience when available and on various factors that it believes to be reasonable under the circumstances. This process may result in actual results differing materially from those estimated amounts used in the preparation of the condensed consolidated financial statements if these results differ from historical experience or other assumptions do not turn out to be substantially accurate, even if such assumptions are reasonable when made. Significant estimates and assumptions reflected in these condensed consolidated financial statements include, but are not limited to, amounts and timing of revenues recognized under the Company’s research and development collaboration arrangements and accrued research and development expense. The Company assesses estimates on an ongoing basis; however, actual results could materially differ from those estimates.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16" w:lineRule="exact"/>
        <w:rPr>
          <w:sz w:val="20"/>
          <w:szCs w:val="20"/>
          <w:color w:val="auto"/>
        </w:rPr>
      </w:pPr>
    </w:p>
    <w:p>
      <w:pPr>
        <w:ind w:right="80"/>
        <w:spacing w:after="0" w:line="285" w:lineRule="auto"/>
        <w:rPr>
          <w:sz w:val="20"/>
          <w:szCs w:val="20"/>
          <w:color w:val="auto"/>
        </w:rPr>
      </w:pPr>
      <w:r>
        <w:rPr>
          <w:rFonts w:ascii="Arial" w:cs="Arial" w:eastAsia="Arial" w:hAnsi="Arial"/>
          <w:sz w:val="17"/>
          <w:szCs w:val="17"/>
          <w:color w:val="auto"/>
        </w:rPr>
        <w:t>The Company’s significant accounting policies are disclosed in the audited consolidated financial statements for the year ended December 31, 2020, which are included in the Company’s Annual Report on Form 10-K that was filed with the SEC on March 11, 2021. Since the date of those financial statements, there have been no material changes to the Company’s significant accounting policies, except as noted below.</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Marketable securities</w:t>
      </w:r>
    </w:p>
    <w:p>
      <w:pPr>
        <w:spacing w:after="0" w:line="116"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Company classifies marketable securities with a remaining maturity when purchased of greater than three months as available-for-sale. Marketable securities with a remaining maturity date greater than one year are classified as non-current assets. Available-for-sale securities are carried at fair value with the unrealized gains and losses included in accumulated other comprehensive income as a component of stockholders’ equity (deficit) until realized. Any premium or discount arising at purchase is amortized and/or accreted to interest income and/or expense over the life of the instrument. Realized gains and losses are determined using the specific identification method and are included in other income (expense).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 xml:space="preserve">In December 2019, the Financial Accounting Standards Board, or FASB, issued Accounting Standards Update, or ASU, No. 2019-12,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(Topic 740): </w:t>
      </w:r>
      <w:r>
        <w:rPr>
          <w:rFonts w:ascii="Arial" w:cs="Arial" w:eastAsia="Arial" w:hAnsi="Arial"/>
          <w:sz w:val="18"/>
          <w:szCs w:val="18"/>
          <w:i w:val="1"/>
          <w:iCs w:val="1"/>
          <w:color w:val="auto"/>
        </w:rPr>
        <w:t>Simplifying the Accounting for Income Taxes, or</w:t>
      </w:r>
      <w:r>
        <w:rPr>
          <w:rFonts w:ascii="Arial" w:cs="Arial" w:eastAsia="Arial" w:hAnsi="Arial"/>
          <w:sz w:val="18"/>
          <w:szCs w:val="18"/>
          <w:color w:val="auto"/>
        </w:rPr>
        <w:t xml:space="preserve"> ASU 2019-12, which is intended to simplify various aspects related to accounting for income taxes. ASU 2019-12 removes certain exceptions to the general principles in Topic 740 and also clarifies and amends existing guidance to improve consistent application. The Company adopted the provisions of ASU 2019-12 effective January 1, 2021, which did not have a material effect on the Company’s condensed consolidated financial statements.</w:t>
      </w:r>
    </w:p>
    <w:p>
      <w:pPr>
        <w:spacing w:after="0" w:line="8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 xml:space="preserve">In March 2020, the FASB issued ASU 2020-04, </w:t>
      </w:r>
      <w:r>
        <w:rPr>
          <w:rFonts w:ascii="Arial" w:cs="Arial" w:eastAsia="Arial" w:hAnsi="Arial"/>
          <w:sz w:val="18"/>
          <w:szCs w:val="18"/>
          <w:i w:val="1"/>
          <w:iCs w:val="1"/>
          <w:color w:val="auto"/>
        </w:rPr>
        <w:t>Reference Rate Reform (Topic 848): Facilitation of the Effects of Reference Rate Reform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Reporting</w:t>
      </w:r>
      <w:r>
        <w:rPr>
          <w:rFonts w:ascii="Arial" w:cs="Arial" w:eastAsia="Arial" w:hAnsi="Arial"/>
          <w:sz w:val="18"/>
          <w:szCs w:val="18"/>
          <w:color w:val="auto"/>
        </w:rPr>
        <w:t>, which provides temporary optional guidance for a limited time to ease the potential accounting impacts associated with transitioning away from</w:t>
      </w:r>
      <w:r>
        <w:rPr>
          <w:rFonts w:ascii="Arial" w:cs="Arial" w:eastAsia="Arial" w:hAnsi="Arial"/>
          <w:sz w:val="18"/>
          <w:szCs w:val="18"/>
          <w:i w:val="1"/>
          <w:iCs w:val="1"/>
          <w:color w:val="auto"/>
        </w:rPr>
        <w:t xml:space="preserve"> </w:t>
      </w:r>
      <w:r>
        <w:rPr>
          <w:rFonts w:ascii="Arial" w:cs="Arial" w:eastAsia="Arial" w:hAnsi="Arial"/>
          <w:sz w:val="18"/>
          <w:szCs w:val="18"/>
          <w:color w:val="auto"/>
        </w:rPr>
        <w:t>reference rates that are expected to be discontinued, such as the London Interbank Offered Rate, or LIBOR. Optional expedients in Topic 848 are generally available until December 31, 2022. The adoption of ASU 2020-04 is not expected have a material effect on the Company’s condensed consolidated financial statements.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83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444"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3. Fair value measurements</w:t>
      </w:r>
    </w:p>
    <w:p>
      <w:pPr>
        <w:spacing w:after="0" w:line="120"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color w:val="auto"/>
        </w:rPr>
        <w:t>The following tables present information about the Company’s financial assets measured at fair value on a recurring basis and indicates the level of the fair value hierarchy utilized to determine such fair values as of September 30, 2021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ind w:right="292"/>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1080" w:type="dxa"/>
            <w:vAlign w:val="bottom"/>
          </w:tcPr>
          <w:p>
            <w:pPr>
              <w:jc w:val="right"/>
              <w:ind w:right="412"/>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ind w:left="140"/>
              <w:spacing w:after="0"/>
              <w:rPr>
                <w:sz w:val="20"/>
                <w:szCs w:val="20"/>
                <w:color w:val="auto"/>
              </w:rPr>
            </w:pPr>
            <w:r>
              <w:rPr>
                <w:rFonts w:ascii="Arial" w:cs="Arial" w:eastAsia="Arial" w:hAnsi="Arial"/>
                <w:sz w:val="14"/>
                <w:szCs w:val="14"/>
                <w:b w:val="1"/>
                <w:bCs w:val="1"/>
                <w:color w:val="auto"/>
              </w:rPr>
              <w:t>Level 3</w:t>
            </w:r>
          </w:p>
        </w:tc>
      </w:tr>
      <w:tr>
        <w:trPr>
          <w:trHeight w:val="222"/>
        </w:trPr>
        <w:tc>
          <w:tcPr>
            <w:tcW w:w="5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8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r>
      <w:tr>
        <w:trPr>
          <w:trHeight w:val="229"/>
        </w:trPr>
        <w:tc>
          <w:tcPr>
            <w:tcW w:w="562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120,448</w:t>
            </w:r>
          </w:p>
        </w:tc>
        <w:tc>
          <w:tcPr>
            <w:tcW w:w="3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120,448</w:t>
            </w:r>
          </w:p>
        </w:tc>
        <w:tc>
          <w:tcPr>
            <w:tcW w:w="14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080" w:type="dxa"/>
            <w:vAlign w:val="bottom"/>
          </w:tcPr>
          <w:p>
            <w:pPr>
              <w:ind w:left="780"/>
              <w:spacing w:after="0"/>
              <w:rPr>
                <w:sz w:val="20"/>
                <w:szCs w:val="20"/>
                <w:color w:val="auto"/>
              </w:rPr>
            </w:pPr>
            <w:r>
              <w:rPr>
                <w:rFonts w:ascii="Arial" w:cs="Arial" w:eastAsia="Arial" w:hAnsi="Arial"/>
                <w:sz w:val="18"/>
                <w:szCs w:val="18"/>
                <w:color w:val="auto"/>
              </w:rPr>
              <w:t>—</w:t>
            </w:r>
          </w:p>
        </w:tc>
      </w:tr>
      <w:tr>
        <w:trPr>
          <w:trHeight w:val="229"/>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Treasury securities</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38,998</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38,998</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ind w:left="780"/>
              <w:spacing w:after="0"/>
              <w:rPr>
                <w:sz w:val="20"/>
                <w:szCs w:val="20"/>
                <w:color w:val="auto"/>
              </w:rPr>
            </w:pPr>
            <w:r>
              <w:rPr>
                <w:rFonts w:ascii="Arial" w:cs="Arial" w:eastAsia="Arial" w:hAnsi="Arial"/>
                <w:sz w:val="18"/>
                <w:szCs w:val="18"/>
                <w:color w:val="auto"/>
              </w:rPr>
              <w:t>—</w:t>
            </w:r>
          </w:p>
        </w:tc>
      </w:tr>
      <w:tr>
        <w:trPr>
          <w:trHeight w:val="229"/>
        </w:trPr>
        <w:tc>
          <w:tcPr>
            <w:tcW w:w="5620" w:type="dxa"/>
            <w:vAlign w:val="bottom"/>
          </w:tcPr>
          <w:p>
            <w:pPr>
              <w:ind w:left="260"/>
              <w:spacing w:after="0"/>
              <w:rPr>
                <w:sz w:val="20"/>
                <w:szCs w:val="20"/>
                <w:color w:val="auto"/>
              </w:rPr>
            </w:pPr>
            <w:r>
              <w:rPr>
                <w:rFonts w:ascii="Arial" w:cs="Arial" w:eastAsia="Arial" w:hAnsi="Arial"/>
                <w:sz w:val="18"/>
                <w:szCs w:val="18"/>
                <w:color w:val="auto"/>
              </w:rPr>
              <w:t>Corporate debt securities</w:t>
            </w:r>
          </w:p>
        </w:tc>
        <w:tc>
          <w:tcPr>
            <w:tcW w:w="18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2,999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2,999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ind w:left="780"/>
              <w:spacing w:after="0"/>
              <w:rPr>
                <w:sz w:val="20"/>
                <w:szCs w:val="20"/>
                <w:color w:val="auto"/>
              </w:rPr>
            </w:pPr>
            <w:r>
              <w:rPr>
                <w:rFonts w:ascii="Arial" w:cs="Arial" w:eastAsia="Arial" w:hAnsi="Arial"/>
                <w:sz w:val="18"/>
                <w:szCs w:val="18"/>
                <w:color w:val="auto"/>
              </w:rPr>
              <w:t>—</w:t>
            </w:r>
          </w:p>
        </w:tc>
      </w:tr>
      <w:tr>
        <w:trPr>
          <w:trHeight w:val="229"/>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r>
      <w:tr>
        <w:trPr>
          <w:trHeight w:val="229"/>
        </w:trPr>
        <w:tc>
          <w:tcPr>
            <w:tcW w:w="5620" w:type="dxa"/>
            <w:vAlign w:val="bottom"/>
          </w:tcPr>
          <w:p>
            <w:pPr>
              <w:ind w:left="260"/>
              <w:spacing w:after="0"/>
              <w:rPr>
                <w:sz w:val="20"/>
                <w:szCs w:val="20"/>
                <w:color w:val="auto"/>
              </w:rPr>
            </w:pPr>
            <w:r>
              <w:rPr>
                <w:rFonts w:ascii="Arial" w:cs="Arial" w:eastAsia="Arial" w:hAnsi="Arial"/>
                <w:sz w:val="18"/>
                <w:szCs w:val="18"/>
                <w:color w:val="auto"/>
              </w:rPr>
              <w:t>Corporate debt securities</w:t>
            </w:r>
          </w:p>
        </w:tc>
        <w:tc>
          <w:tcPr>
            <w:tcW w:w="18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297,495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297,495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ind w:left="780"/>
              <w:spacing w:after="0"/>
              <w:rPr>
                <w:sz w:val="20"/>
                <w:szCs w:val="20"/>
                <w:color w:val="auto"/>
              </w:rPr>
            </w:pPr>
            <w:r>
              <w:rPr>
                <w:rFonts w:ascii="Arial" w:cs="Arial" w:eastAsia="Arial" w:hAnsi="Arial"/>
                <w:sz w:val="18"/>
                <w:szCs w:val="18"/>
                <w:color w:val="auto"/>
              </w:rPr>
              <w:t>—</w:t>
            </w:r>
          </w:p>
        </w:tc>
      </w:tr>
      <w:tr>
        <w:trPr>
          <w:trHeight w:val="229"/>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government debt securities</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10,023</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10,023</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ind w:left="780"/>
              <w:spacing w:after="0"/>
              <w:rPr>
                <w:sz w:val="20"/>
                <w:szCs w:val="20"/>
                <w:color w:val="auto"/>
              </w:rPr>
            </w:pPr>
            <w:r>
              <w:rPr>
                <w:rFonts w:ascii="Arial" w:cs="Arial" w:eastAsia="Arial" w:hAnsi="Arial"/>
                <w:sz w:val="18"/>
                <w:szCs w:val="18"/>
                <w:color w:val="auto"/>
              </w:rPr>
              <w:t>—</w:t>
            </w:r>
          </w:p>
        </w:tc>
      </w:tr>
      <w:tr>
        <w:trPr>
          <w:trHeight w:val="229"/>
        </w:trPr>
        <w:tc>
          <w:tcPr>
            <w:tcW w:w="5620" w:type="dxa"/>
            <w:vAlign w:val="bottom"/>
          </w:tcPr>
          <w:p>
            <w:pPr>
              <w:ind w:left="260"/>
              <w:spacing w:after="0"/>
              <w:rPr>
                <w:sz w:val="20"/>
                <w:szCs w:val="20"/>
                <w:color w:val="auto"/>
              </w:rPr>
            </w:pPr>
            <w:r>
              <w:rPr>
                <w:rFonts w:ascii="Arial" w:cs="Arial" w:eastAsia="Arial" w:hAnsi="Arial"/>
                <w:sz w:val="18"/>
                <w:szCs w:val="18"/>
                <w:color w:val="auto"/>
              </w:rPr>
              <w:t>U.S. Treasury securities</w:t>
            </w:r>
          </w:p>
        </w:tc>
        <w:tc>
          <w:tcPr>
            <w:tcW w:w="18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9,999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9,999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ind w:left="780"/>
              <w:spacing w:after="0"/>
              <w:rPr>
                <w:sz w:val="20"/>
                <w:szCs w:val="20"/>
                <w:color w:val="auto"/>
              </w:rPr>
            </w:pPr>
            <w:r>
              <w:rPr>
                <w:rFonts w:ascii="Arial" w:cs="Arial" w:eastAsia="Arial" w:hAnsi="Arial"/>
                <w:sz w:val="18"/>
                <w:szCs w:val="18"/>
                <w:color w:val="auto"/>
              </w:rPr>
              <w:t>—</w:t>
            </w:r>
          </w:p>
        </w:tc>
      </w:tr>
      <w:tr>
        <w:trPr>
          <w:trHeight w:val="222"/>
        </w:trPr>
        <w:tc>
          <w:tcPr>
            <w:tcW w:w="56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cash equivalents and marketable securities</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479,962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120,448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359,514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ind w:left="780"/>
              <w:spacing w:after="0"/>
              <w:rPr>
                <w:sz w:val="20"/>
                <w:szCs w:val="20"/>
                <w:color w:val="auto"/>
              </w:rPr>
            </w:pPr>
            <w:r>
              <w:rPr>
                <w:rFonts w:ascii="Arial" w:cs="Arial" w:eastAsia="Arial" w:hAnsi="Arial"/>
                <w:sz w:val="18"/>
                <w:szCs w:val="18"/>
                <w:color w:val="auto"/>
              </w:rPr>
              <w:t>—</w:t>
            </w: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3"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color w:val="auto"/>
        </w:rPr>
        <w:t>The Company classifies its money market funds, which are valued based on quoted market prices in active markets, with no valuation adjustment, as Level 1 assets within the fair value hierarchy.</w:t>
      </w:r>
    </w:p>
    <w:p>
      <w:pPr>
        <w:spacing w:after="0" w:line="63" w:lineRule="exact"/>
        <w:rPr>
          <w:sz w:val="20"/>
          <w:szCs w:val="20"/>
          <w:color w:val="auto"/>
        </w:rPr>
      </w:pPr>
    </w:p>
    <w:p>
      <w:pPr>
        <w:ind w:right="260"/>
        <w:spacing w:after="0" w:line="278" w:lineRule="auto"/>
        <w:rPr>
          <w:sz w:val="20"/>
          <w:szCs w:val="20"/>
          <w:color w:val="auto"/>
        </w:rPr>
      </w:pPr>
      <w:r>
        <w:rPr>
          <w:rFonts w:ascii="Arial" w:cs="Arial" w:eastAsia="Arial" w:hAnsi="Arial"/>
          <w:sz w:val="17"/>
          <w:szCs w:val="17"/>
          <w:color w:val="auto"/>
        </w:rPr>
        <w:t xml:space="preserve">Marketable securities consist of U.S. Treasury securities, U.S. government debt securities, and corporate debt securities, all of which are classified as available-for-sale pursuant to ASC 320, </w:t>
      </w:r>
      <w:r>
        <w:rPr>
          <w:rFonts w:ascii="Arial" w:cs="Arial" w:eastAsia="Arial" w:hAnsi="Arial"/>
          <w:sz w:val="17"/>
          <w:szCs w:val="17"/>
          <w:i w:val="1"/>
          <w:iCs w:val="1"/>
          <w:color w:val="auto"/>
        </w:rPr>
        <w:t>Investments – Debt and Equity Securities</w:t>
      </w:r>
      <w:r>
        <w:rPr>
          <w:rFonts w:ascii="Arial" w:cs="Arial" w:eastAsia="Arial" w:hAnsi="Arial"/>
          <w:sz w:val="17"/>
          <w:szCs w:val="17"/>
          <w:color w:val="auto"/>
        </w:rPr>
        <w:t>. Marketable securities are classified within Level 2 of the fair value hierarchy because pricing inputs are other than quoted prices in active markets, which are either directly or indirectly observable as of the reporting date, and fair value is determined using models or other valuation methodologies on a recurring basis.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transfers between fair value levels during the nine months ended September 30, 2021.</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Marketable securities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Marketable securities as of September 30, 2021 consisted of the following:</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center"/>
              <w:ind w:right="97"/>
              <w:spacing w:after="0"/>
              <w:rPr>
                <w:sz w:val="20"/>
                <w:szCs w:val="20"/>
                <w:color w:val="auto"/>
              </w:rPr>
            </w:pPr>
            <w:r>
              <w:rPr>
                <w:rFonts w:ascii="Arial" w:cs="Arial" w:eastAsia="Arial" w:hAnsi="Arial"/>
                <w:sz w:val="14"/>
                <w:szCs w:val="14"/>
                <w:b w:val="1"/>
                <w:bCs w:val="1"/>
                <w:color w:val="auto"/>
                <w:w w:val="96"/>
              </w:rPr>
              <w:t>Amortized</w:t>
            </w:r>
          </w:p>
        </w:tc>
        <w:tc>
          <w:tcPr>
            <w:tcW w:w="260" w:type="dxa"/>
            <w:vAlign w:val="bottom"/>
          </w:tcPr>
          <w:p>
            <w:pPr>
              <w:spacing w:after="0"/>
              <w:rPr>
                <w:sz w:val="13"/>
                <w:szCs w:val="13"/>
                <w:color w:val="auto"/>
              </w:rPr>
            </w:pPr>
          </w:p>
        </w:tc>
        <w:tc>
          <w:tcPr>
            <w:tcW w:w="960" w:type="dxa"/>
            <w:vAlign w:val="bottom"/>
          </w:tcPr>
          <w:p>
            <w:pPr>
              <w:jc w:val="center"/>
              <w:ind w:left="128"/>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center"/>
              <w:ind w:left="148"/>
              <w:spacing w:after="0" w:line="148"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center"/>
              <w:ind w:right="97"/>
              <w:spacing w:after="0"/>
              <w:rPr>
                <w:sz w:val="20"/>
                <w:szCs w:val="20"/>
                <w:color w:val="auto"/>
              </w:rPr>
            </w:pPr>
            <w:r>
              <w:rPr>
                <w:rFonts w:ascii="Arial" w:cs="Arial" w:eastAsia="Arial" w:hAnsi="Arial"/>
                <w:sz w:val="14"/>
                <w:szCs w:val="14"/>
                <w:b w:val="1"/>
                <w:bCs w:val="1"/>
                <w:color w:val="auto"/>
                <w:w w:val="83"/>
              </w:rPr>
              <w:t>Cost</w:t>
            </w:r>
          </w:p>
        </w:tc>
        <w:tc>
          <w:tcPr>
            <w:tcW w:w="260" w:type="dxa"/>
            <w:vAlign w:val="bottom"/>
          </w:tcPr>
          <w:p>
            <w:pPr>
              <w:spacing w:after="0"/>
              <w:rPr>
                <w:sz w:val="14"/>
                <w:szCs w:val="14"/>
                <w:color w:val="auto"/>
              </w:rPr>
            </w:pPr>
          </w:p>
        </w:tc>
        <w:tc>
          <w:tcPr>
            <w:tcW w:w="960" w:type="dxa"/>
            <w:vAlign w:val="bottom"/>
          </w:tcPr>
          <w:p>
            <w:pPr>
              <w:jc w:val="center"/>
              <w:ind w:left="128"/>
              <w:spacing w:after="0"/>
              <w:rPr>
                <w:sz w:val="20"/>
                <w:szCs w:val="20"/>
                <w:color w:val="auto"/>
              </w:rPr>
            </w:pPr>
            <w:r>
              <w:rPr>
                <w:rFonts w:ascii="Arial" w:cs="Arial" w:eastAsia="Arial" w:hAnsi="Arial"/>
                <w:sz w:val="14"/>
                <w:szCs w:val="14"/>
                <w:b w:val="1"/>
                <w:bCs w:val="1"/>
                <w:color w:val="auto"/>
                <w:w w:val="92"/>
              </w:rPr>
              <w:t>Gains</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2"/>
        </w:trPr>
        <w:tc>
          <w:tcPr>
            <w:tcW w:w="5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1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260"/>
              <w:spacing w:after="0"/>
              <w:rPr>
                <w:sz w:val="20"/>
                <w:szCs w:val="20"/>
                <w:color w:val="auto"/>
              </w:rPr>
            </w:pPr>
            <w:r>
              <w:rPr>
                <w:rFonts w:ascii="Arial" w:cs="Arial" w:eastAsia="Arial" w:hAnsi="Arial"/>
                <w:sz w:val="18"/>
                <w:szCs w:val="18"/>
                <w:color w:val="auto"/>
              </w:rPr>
              <w:t>Corporate debt securities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297,650</w:t>
            </w:r>
          </w:p>
        </w:tc>
        <w:tc>
          <w:tcPr>
            <w:tcW w:w="1220" w:type="dxa"/>
            <w:vAlign w:val="bottom"/>
            <w:gridSpan w:val="2"/>
          </w:tcPr>
          <w:p>
            <w:pPr>
              <w:jc w:val="right"/>
              <w:ind w:right="808"/>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(156)</w:t>
            </w:r>
          </w:p>
        </w:tc>
        <w:tc>
          <w:tcPr>
            <w:tcW w:w="3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297,495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government debt securities</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10,024</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260"/>
              <w:spacing w:after="0"/>
              <w:rPr>
                <w:sz w:val="20"/>
                <w:szCs w:val="20"/>
                <w:color w:val="auto"/>
              </w:rPr>
            </w:pPr>
            <w:r>
              <w:rPr>
                <w:rFonts w:ascii="Arial" w:cs="Arial" w:eastAsia="Arial" w:hAnsi="Arial"/>
                <w:sz w:val="18"/>
                <w:szCs w:val="18"/>
                <w:color w:val="auto"/>
              </w:rPr>
              <w:t>U.S. Treasury securities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9,998</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6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marketable securities, current and non-current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317,672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808"/>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317,517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color w:val="auto"/>
                <w:w w:val="95"/>
              </w:rPr>
              <w:t>Marketable securities as of December 31, 2020 consisted of the following:</w:t>
            </w: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5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vMerge w:val="restart"/>
          </w:tcPr>
          <w:p>
            <w:pPr>
              <w:jc w:val="center"/>
              <w:ind w:right="97"/>
              <w:spacing w:after="0"/>
              <w:rPr>
                <w:sz w:val="20"/>
                <w:szCs w:val="20"/>
                <w:color w:val="auto"/>
              </w:rPr>
            </w:pPr>
            <w:r>
              <w:rPr>
                <w:rFonts w:ascii="Arial" w:cs="Arial" w:eastAsia="Arial" w:hAnsi="Arial"/>
                <w:sz w:val="14"/>
                <w:szCs w:val="14"/>
                <w:b w:val="1"/>
                <w:bCs w:val="1"/>
                <w:color w:val="auto"/>
                <w:w w:val="96"/>
              </w:rPr>
              <w:t>Amortized</w:t>
            </w:r>
          </w:p>
        </w:tc>
        <w:tc>
          <w:tcPr>
            <w:tcW w:w="260" w:type="dxa"/>
            <w:vAlign w:val="bottom"/>
          </w:tcPr>
          <w:p>
            <w:pPr>
              <w:spacing w:after="0"/>
              <w:rPr>
                <w:sz w:val="21"/>
                <w:szCs w:val="21"/>
                <w:color w:val="auto"/>
              </w:rPr>
            </w:pPr>
          </w:p>
        </w:tc>
        <w:tc>
          <w:tcPr>
            <w:tcW w:w="960" w:type="dxa"/>
            <w:vAlign w:val="bottom"/>
          </w:tcPr>
          <w:p>
            <w:pPr>
              <w:jc w:val="center"/>
              <w:ind w:left="128"/>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center"/>
              <w:ind w:left="148"/>
              <w:spacing w:after="0" w:line="148"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center"/>
              <w:ind w:right="97"/>
              <w:spacing w:after="0"/>
              <w:rPr>
                <w:sz w:val="20"/>
                <w:szCs w:val="20"/>
                <w:color w:val="auto"/>
              </w:rPr>
            </w:pPr>
            <w:r>
              <w:rPr>
                <w:rFonts w:ascii="Arial" w:cs="Arial" w:eastAsia="Arial" w:hAnsi="Arial"/>
                <w:sz w:val="14"/>
                <w:szCs w:val="14"/>
                <w:b w:val="1"/>
                <w:bCs w:val="1"/>
                <w:color w:val="auto"/>
                <w:w w:val="83"/>
              </w:rPr>
              <w:t>Cost</w:t>
            </w:r>
          </w:p>
        </w:tc>
        <w:tc>
          <w:tcPr>
            <w:tcW w:w="260" w:type="dxa"/>
            <w:vAlign w:val="bottom"/>
          </w:tcPr>
          <w:p>
            <w:pPr>
              <w:spacing w:after="0"/>
              <w:rPr>
                <w:sz w:val="14"/>
                <w:szCs w:val="14"/>
                <w:color w:val="auto"/>
              </w:rPr>
            </w:pPr>
          </w:p>
        </w:tc>
        <w:tc>
          <w:tcPr>
            <w:tcW w:w="960" w:type="dxa"/>
            <w:vAlign w:val="bottom"/>
          </w:tcPr>
          <w:p>
            <w:pPr>
              <w:jc w:val="center"/>
              <w:ind w:left="128"/>
              <w:spacing w:after="0"/>
              <w:rPr>
                <w:sz w:val="20"/>
                <w:szCs w:val="20"/>
                <w:color w:val="auto"/>
              </w:rPr>
            </w:pPr>
            <w:r>
              <w:rPr>
                <w:rFonts w:ascii="Arial" w:cs="Arial" w:eastAsia="Arial" w:hAnsi="Arial"/>
                <w:sz w:val="14"/>
                <w:szCs w:val="14"/>
                <w:b w:val="1"/>
                <w:bCs w:val="1"/>
                <w:color w:val="auto"/>
                <w:w w:val="92"/>
              </w:rPr>
              <w:t>Gains</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2"/>
        </w:trPr>
        <w:tc>
          <w:tcPr>
            <w:tcW w:w="5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1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260"/>
              <w:spacing w:after="0"/>
              <w:rPr>
                <w:sz w:val="20"/>
                <w:szCs w:val="20"/>
                <w:color w:val="auto"/>
              </w:rPr>
            </w:pPr>
            <w:r>
              <w:rPr>
                <w:rFonts w:ascii="Arial" w:cs="Arial" w:eastAsia="Arial" w:hAnsi="Arial"/>
                <w:sz w:val="18"/>
                <w:szCs w:val="18"/>
                <w:color w:val="auto"/>
              </w:rPr>
              <w:t>U.S. Treasury securities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189,949</w:t>
            </w:r>
          </w:p>
        </w:tc>
        <w:tc>
          <w:tcPr>
            <w:tcW w:w="1220" w:type="dxa"/>
            <w:vAlign w:val="bottom"/>
            <w:gridSpan w:val="2"/>
          </w:tcPr>
          <w:p>
            <w:pPr>
              <w:jc w:val="right"/>
              <w:ind w:right="808"/>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13</w:t>
            </w:r>
          </w:p>
        </w:tc>
        <w:tc>
          <w:tcPr>
            <w:tcW w:w="24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189,962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6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marketable securities, current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189,949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808"/>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189,962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As of September 30, 2021, the Company held 91 marketable securities, with an aggregate fair value of $247.5 million, in an unrealized loss position. There were no individual securities that were in a significant unrealized loss position as of September 30, 2021, and the Company did not record an allowance for credit losses as of September 30, 2021 related to these securities. Further, given the lack of significant change in the credit risk of these investments, the Company did not recognize any other-than-temporary impairment losses.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83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5. Property and equipment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4"/>
          </w:tcPr>
          <w:p>
            <w:pPr>
              <w:jc w:val="right"/>
              <w:ind w:right="47"/>
              <w:spacing w:after="0"/>
              <w:rPr>
                <w:sz w:val="20"/>
                <w:szCs w:val="20"/>
                <w:color w:val="auto"/>
              </w:rPr>
            </w:pPr>
            <w:r>
              <w:rPr>
                <w:rFonts w:ascii="Arial" w:cs="Arial" w:eastAsia="Arial" w:hAnsi="Arial"/>
                <w:sz w:val="14"/>
                <w:szCs w:val="14"/>
                <w:b w:val="1"/>
                <w:bCs w:val="1"/>
                <w:color w:val="auto"/>
              </w:rPr>
              <w:t>2021</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61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5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14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260"/>
              <w:spacing w:after="0"/>
              <w:rPr>
                <w:sz w:val="20"/>
                <w:szCs w:val="20"/>
                <w:color w:val="auto"/>
              </w:rPr>
            </w:pPr>
            <w:r>
              <w:rPr>
                <w:rFonts w:ascii="Arial" w:cs="Arial" w:eastAsia="Arial" w:hAnsi="Arial"/>
                <w:sz w:val="18"/>
                <w:szCs w:val="18"/>
                <w:color w:val="auto"/>
              </w:rPr>
              <w:t>Laboratory equipment</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539"/>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8,376</w:t>
            </w:r>
          </w:p>
        </w:tc>
        <w:tc>
          <w:tcPr>
            <w:tcW w:w="440" w:type="dxa"/>
            <w:vAlign w:val="bottom"/>
            <w:gridSpan w:val="3"/>
          </w:tcPr>
          <w:p>
            <w:pPr>
              <w:jc w:val="right"/>
              <w:ind w:right="67"/>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Furniture and fixtures</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805</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260"/>
              <w:spacing w:after="0"/>
              <w:rPr>
                <w:sz w:val="20"/>
                <w:szCs w:val="20"/>
                <w:color w:val="auto"/>
              </w:rPr>
            </w:pPr>
            <w:r>
              <w:rPr>
                <w:rFonts w:ascii="Arial" w:cs="Arial" w:eastAsia="Arial" w:hAnsi="Arial"/>
                <w:sz w:val="18"/>
                <w:szCs w:val="18"/>
                <w:color w:val="auto"/>
              </w:rPr>
              <w:t>Leasehold improvements</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541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Computer equipment</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223</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Office equipment</w:t>
            </w:r>
          </w:p>
        </w:tc>
        <w:tc>
          <w:tcPr>
            <w:tcW w:w="14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179</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Total property and equipment</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w w:val="94"/>
              </w:rPr>
              <w:t>10,124</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accumulated depreciation</w:t>
            </w:r>
          </w:p>
        </w:tc>
        <w:tc>
          <w:tcPr>
            <w:tcW w:w="14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(6,801)</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(5,632)</w:t>
            </w:r>
          </w:p>
        </w:tc>
        <w:tc>
          <w:tcPr>
            <w:tcW w:w="0" w:type="dxa"/>
            <w:vAlign w:val="bottom"/>
          </w:tcPr>
          <w:p>
            <w:pPr>
              <w:spacing w:after="0"/>
              <w:rPr>
                <w:sz w:val="1"/>
                <w:szCs w:val="1"/>
                <w:color w:val="auto"/>
              </w:rPr>
            </w:pPr>
          </w:p>
        </w:tc>
      </w:tr>
      <w:tr>
        <w:trPr>
          <w:trHeight w:val="222"/>
        </w:trPr>
        <w:tc>
          <w:tcPr>
            <w:tcW w:w="5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property and equipment, net</w:t>
            </w:r>
          </w:p>
        </w:tc>
        <w:tc>
          <w:tcPr>
            <w:tcW w:w="14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39"/>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3,323</w:t>
            </w:r>
          </w:p>
        </w:tc>
        <w:tc>
          <w:tcPr>
            <w:tcW w:w="2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24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3,323</w:t>
            </w:r>
          </w:p>
        </w:tc>
        <w:tc>
          <w:tcPr>
            <w:tcW w:w="100" w:type="dxa"/>
            <w:vAlign w:val="bottom"/>
            <w:tcBorders>
              <w:bottom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0" w:type="dxa"/>
            <w:vAlign w:val="bottom"/>
            <w:gridSpan w:val="3"/>
            <w:vMerge w:val="restart"/>
          </w:tcPr>
          <w:p>
            <w:pPr>
              <w:spacing w:after="0"/>
              <w:rPr>
                <w:sz w:val="20"/>
                <w:szCs w:val="20"/>
                <w:color w:val="auto"/>
              </w:rPr>
            </w:pPr>
            <w:r>
              <w:rPr>
                <w:rFonts w:ascii="Arial" w:cs="Arial" w:eastAsia="Arial" w:hAnsi="Arial"/>
                <w:sz w:val="18"/>
                <w:szCs w:val="18"/>
                <w:color w:val="auto"/>
              </w:rPr>
              <w:t>Depreciation expense related to property and equipment is as follows (in thousands):</w:t>
            </w: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5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4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24"/>
                <w:szCs w:val="24"/>
                <w:color w:val="auto"/>
              </w:rPr>
            </w:pPr>
          </w:p>
        </w:tc>
        <w:tc>
          <w:tcPr>
            <w:tcW w:w="2620" w:type="dxa"/>
            <w:vAlign w:val="bottom"/>
            <w:gridSpan w:val="8"/>
          </w:tcPr>
          <w:p>
            <w:pPr>
              <w:jc w:val="right"/>
              <w:ind w:right="360"/>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155"/>
        </w:trPr>
        <w:tc>
          <w:tcPr>
            <w:tcW w:w="562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62"/>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gridSpan w:val="2"/>
          </w:tcPr>
          <w:p>
            <w:pPr>
              <w:jc w:val="right"/>
              <w:ind w:right="399"/>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Depreciation expense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spacing w:after="0"/>
              <w:rPr>
                <w:sz w:val="19"/>
                <w:szCs w:val="19"/>
                <w:color w:val="auto"/>
              </w:rPr>
            </w:pPr>
          </w:p>
        </w:tc>
        <w:tc>
          <w:tcPr>
            <w:tcW w:w="4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88"/>
              </w:rPr>
              <w:t>1,169</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Leases</w:t>
      </w:r>
    </w:p>
    <w:p>
      <w:pPr>
        <w:spacing w:after="0" w:line="12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July 2017, the Company entered into a lease of office and laboratory space for its headquarters at 490 Arsenal Way, Suite 200 in Watertown, Massachusetts, or the Watertown Lease. The Watertown Lease commenced in April 2018 with rent payment commencing in May 2018. The lease has a non-cancelable term of ten years with an option to extend for one additional five-year period and is subject to rent escalation throughout the term and requires the Company to provide collateral. The collateral is $1.3 million, which is recorded as restricted cash on the accompanying condensed consolidated balance sheet as of September 30, 2021.</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The elements of lease costs were as follows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2880" w:type="dxa"/>
            <w:vAlign w:val="bottom"/>
            <w:gridSpan w:val="6"/>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4"/>
                <w:szCs w:val="14"/>
                <w:color w:val="auto"/>
              </w:rPr>
            </w:pPr>
          </w:p>
        </w:tc>
        <w:tc>
          <w:tcPr>
            <w:tcW w:w="2580" w:type="dxa"/>
            <w:vAlign w:val="bottom"/>
            <w:gridSpan w:val="4"/>
          </w:tcPr>
          <w:p>
            <w:pPr>
              <w:jc w:val="right"/>
              <w:ind w:right="275"/>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155"/>
        </w:trPr>
        <w:tc>
          <w:tcPr>
            <w:tcW w:w="5620" w:type="dxa"/>
            <w:vAlign w:val="bottom"/>
            <w:tcBorders>
              <w:bottom w:val="single" w:sz="8" w:color="CFF0FC"/>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
              <w:spacing w:after="0" w:line="155" w:lineRule="exact"/>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95"/>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497"/>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75"/>
              <w:spacing w:after="0" w:line="155" w:lineRule="exact"/>
              <w:rPr>
                <w:sz w:val="20"/>
                <w:szCs w:val="20"/>
                <w:color w:val="auto"/>
              </w:rPr>
            </w:pPr>
            <w:r>
              <w:rPr>
                <w:rFonts w:ascii="Arial" w:cs="Arial" w:eastAsia="Arial" w:hAnsi="Arial"/>
                <w:sz w:val="14"/>
                <w:szCs w:val="14"/>
                <w:b w:val="1"/>
                <w:bCs w:val="1"/>
                <w:color w:val="auto"/>
              </w:rPr>
              <w:t>2020</w:t>
            </w:r>
          </w:p>
        </w:tc>
      </w:tr>
      <w:tr>
        <w:trPr>
          <w:trHeight w:val="222"/>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Lease cost:</w:t>
            </w:r>
          </w:p>
        </w:tc>
        <w:tc>
          <w:tcPr>
            <w:tcW w:w="8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r>
      <w:tr>
        <w:trPr>
          <w:trHeight w:val="229"/>
        </w:trPr>
        <w:tc>
          <w:tcPr>
            <w:tcW w:w="5620" w:type="dxa"/>
            <w:vAlign w:val="bottom"/>
          </w:tcPr>
          <w:p>
            <w:pPr>
              <w:ind w:left="260"/>
              <w:spacing w:after="0"/>
              <w:rPr>
                <w:sz w:val="20"/>
                <w:szCs w:val="20"/>
                <w:color w:val="auto"/>
              </w:rPr>
            </w:pPr>
            <w:r>
              <w:rPr>
                <w:rFonts w:ascii="Arial" w:cs="Arial" w:eastAsia="Arial" w:hAnsi="Arial"/>
                <w:sz w:val="18"/>
                <w:szCs w:val="18"/>
                <w:color w:val="auto"/>
              </w:rPr>
              <w:t>Operating lease cost</w:t>
            </w:r>
          </w:p>
        </w:tc>
        <w:tc>
          <w:tcPr>
            <w:tcW w:w="820" w:type="dxa"/>
            <w:vAlign w:val="bottom"/>
          </w:tcPr>
          <w:p>
            <w:pPr>
              <w:jc w:val="right"/>
              <w:ind w:right="642"/>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637</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637</w:t>
            </w:r>
          </w:p>
        </w:tc>
        <w:tc>
          <w:tcPr>
            <w:tcW w:w="14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1,912</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1,912</w:t>
            </w:r>
          </w:p>
        </w:tc>
      </w:tr>
      <w:tr>
        <w:trPr>
          <w:trHeight w:val="229"/>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Variable lease cost</w:t>
            </w:r>
          </w:p>
        </w:tc>
        <w:tc>
          <w:tcPr>
            <w:tcW w:w="82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245</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420</w:t>
            </w: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613</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1,207</w:t>
            </w:r>
          </w:p>
        </w:tc>
      </w:tr>
      <w:tr>
        <w:trPr>
          <w:trHeight w:val="222"/>
        </w:trPr>
        <w:tc>
          <w:tcPr>
            <w:tcW w:w="5620" w:type="dxa"/>
            <w:vAlign w:val="bottom"/>
          </w:tcPr>
          <w:p>
            <w:pPr>
              <w:spacing w:after="0"/>
              <w:rPr>
                <w:sz w:val="20"/>
                <w:szCs w:val="20"/>
                <w:color w:val="auto"/>
              </w:rPr>
            </w:pPr>
            <w:r>
              <w:rPr>
                <w:rFonts w:ascii="Arial" w:cs="Arial" w:eastAsia="Arial" w:hAnsi="Arial"/>
                <w:sz w:val="18"/>
                <w:szCs w:val="18"/>
                <w:color w:val="auto"/>
              </w:rPr>
              <w:t>Total lease cost</w:t>
            </w: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882</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1,057</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2,525</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3,119</w:t>
            </w:r>
          </w:p>
        </w:tc>
      </w:tr>
      <w:tr>
        <w:trPr>
          <w:trHeight w:val="20"/>
        </w:trPr>
        <w:tc>
          <w:tcPr>
            <w:tcW w:w="56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lease term and discount rate applied in arriving at the lease liability:</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2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September 30,</w:t>
            </w:r>
          </w:p>
        </w:tc>
        <w:tc>
          <w:tcPr>
            <w:tcW w:w="1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7440" w:type="dxa"/>
            <w:vAlign w:val="bottom"/>
            <w:tcBorders>
              <w:bottom w:val="single" w:sz="8" w:color="CFF0FC"/>
            </w:tcBorders>
          </w:tcPr>
          <w:p>
            <w:pPr>
              <w:spacing w:after="0"/>
              <w:rPr>
                <w:sz w:val="14"/>
                <w:szCs w:val="14"/>
                <w:color w:val="auto"/>
              </w:rPr>
            </w:pPr>
          </w:p>
        </w:tc>
        <w:tc>
          <w:tcPr>
            <w:tcW w:w="164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CFF0FC"/>
            </w:tcBorders>
          </w:tcPr>
          <w:p>
            <w:pPr>
              <w:spacing w:after="0"/>
              <w:rPr>
                <w:sz w:val="14"/>
                <w:szCs w:val="14"/>
                <w:color w:val="auto"/>
              </w:rPr>
            </w:pPr>
          </w:p>
        </w:tc>
        <w:tc>
          <w:tcPr>
            <w:tcW w:w="162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r>
      <w:tr>
        <w:trPr>
          <w:trHeight w:val="222"/>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Remaining lease term</w:t>
            </w:r>
          </w:p>
        </w:tc>
        <w:tc>
          <w:tcPr>
            <w:tcW w:w="1640" w:type="dxa"/>
            <w:vAlign w:val="bottom"/>
            <w:shd w:val="clear" w:color="auto" w:fill="CFF0FC"/>
          </w:tcPr>
          <w:p>
            <w:pPr>
              <w:ind w:left="980"/>
              <w:spacing w:after="0"/>
              <w:rPr>
                <w:sz w:val="20"/>
                <w:szCs w:val="20"/>
                <w:color w:val="auto"/>
              </w:rPr>
            </w:pPr>
            <w:r>
              <w:rPr>
                <w:rFonts w:ascii="Arial" w:cs="Arial" w:eastAsia="Arial" w:hAnsi="Arial"/>
                <w:sz w:val="18"/>
                <w:szCs w:val="18"/>
                <w:color w:val="auto"/>
                <w:w w:val="86"/>
              </w:rPr>
              <w:t>6.6 years</w:t>
            </w:r>
          </w:p>
        </w:tc>
        <w:tc>
          <w:tcPr>
            <w:tcW w:w="360" w:type="dxa"/>
            <w:vAlign w:val="bottom"/>
            <w:shd w:val="clear" w:color="auto" w:fill="CFF0FC"/>
          </w:tcPr>
          <w:p>
            <w:pPr>
              <w:spacing w:after="0"/>
              <w:rPr>
                <w:sz w:val="19"/>
                <w:szCs w:val="19"/>
                <w:color w:val="auto"/>
              </w:rPr>
            </w:pPr>
          </w:p>
        </w:tc>
        <w:tc>
          <w:tcPr>
            <w:tcW w:w="1620" w:type="dxa"/>
            <w:vAlign w:val="bottom"/>
            <w:shd w:val="clear" w:color="auto" w:fill="CFF0FC"/>
          </w:tcPr>
          <w:p>
            <w:pPr>
              <w:ind w:left="960"/>
              <w:spacing w:after="0"/>
              <w:rPr>
                <w:sz w:val="20"/>
                <w:szCs w:val="20"/>
                <w:color w:val="auto"/>
              </w:rPr>
            </w:pPr>
            <w:r>
              <w:rPr>
                <w:rFonts w:ascii="Arial" w:cs="Arial" w:eastAsia="Arial" w:hAnsi="Arial"/>
                <w:sz w:val="18"/>
                <w:szCs w:val="18"/>
                <w:color w:val="auto"/>
                <w:w w:val="86"/>
              </w:rPr>
              <w:t>7.3 years</w:t>
            </w:r>
          </w:p>
        </w:tc>
        <w:tc>
          <w:tcPr>
            <w:tcW w:w="180" w:type="dxa"/>
            <w:vAlign w:val="bottom"/>
            <w:shd w:val="clear" w:color="auto" w:fill="CFF0FC"/>
          </w:tcPr>
          <w:p>
            <w:pPr>
              <w:spacing w:after="0"/>
              <w:rPr>
                <w:sz w:val="19"/>
                <w:szCs w:val="19"/>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Discount rate</w:t>
            </w:r>
          </w:p>
        </w:tc>
        <w:tc>
          <w:tcPr>
            <w:tcW w:w="200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r>
    </w:tbl>
    <w:p>
      <w:pPr>
        <w:spacing w:after="0" w:line="92" w:lineRule="exact"/>
        <w:rPr>
          <w:sz w:val="20"/>
          <w:szCs w:val="20"/>
          <w:color w:val="auto"/>
        </w:rPr>
      </w:pPr>
    </w:p>
    <w:p>
      <w:pPr>
        <w:spacing w:after="0"/>
        <w:rPr>
          <w:sz w:val="20"/>
          <w:szCs w:val="20"/>
          <w:color w:val="auto"/>
        </w:rPr>
      </w:pPr>
      <w:r>
        <w:rPr>
          <w:rFonts w:ascii="Arial" w:cs="Arial" w:eastAsia="Arial" w:hAnsi="Arial"/>
          <w:sz w:val="16"/>
          <w:szCs w:val="16"/>
          <w:color w:val="auto"/>
        </w:rPr>
        <w:t>Future lease payments under non-cancelable leases as of September 30, 2021 for each of the years ending December 31 are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Undiscounted lease payments:</w:t>
            </w:r>
          </w:p>
        </w:tc>
        <w:tc>
          <w:tcPr>
            <w:tcW w:w="5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tcPr>
          <w:p>
            <w:pPr>
              <w:ind w:left="260"/>
              <w:spacing w:after="0"/>
              <w:rPr>
                <w:sz w:val="20"/>
                <w:szCs w:val="20"/>
                <w:color w:val="auto"/>
              </w:rPr>
            </w:pPr>
            <w:r>
              <w:rPr>
                <w:rFonts w:ascii="Arial" w:cs="Arial" w:eastAsia="Arial" w:hAnsi="Arial"/>
                <w:sz w:val="18"/>
                <w:szCs w:val="18"/>
                <w:color w:val="auto"/>
              </w:rPr>
              <w:t>Remaining 2021</w:t>
            </w:r>
          </w:p>
        </w:tc>
        <w:tc>
          <w:tcPr>
            <w:tcW w:w="590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2022</w:t>
            </w:r>
          </w:p>
        </w:tc>
        <w:tc>
          <w:tcPr>
            <w:tcW w:w="5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tcPr>
          <w:p>
            <w:pPr>
              <w:ind w:left="260"/>
              <w:spacing w:after="0"/>
              <w:rPr>
                <w:sz w:val="20"/>
                <w:szCs w:val="20"/>
                <w:color w:val="auto"/>
              </w:rPr>
            </w:pPr>
            <w:r>
              <w:rPr>
                <w:rFonts w:ascii="Arial" w:cs="Arial" w:eastAsia="Arial" w:hAnsi="Arial"/>
                <w:sz w:val="18"/>
                <w:szCs w:val="18"/>
                <w:color w:val="auto"/>
              </w:rPr>
              <w:t>2023</w:t>
            </w:r>
          </w:p>
        </w:tc>
        <w:tc>
          <w:tcPr>
            <w:tcW w:w="5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2024</w:t>
            </w:r>
          </w:p>
        </w:tc>
        <w:tc>
          <w:tcPr>
            <w:tcW w:w="5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tcPr>
          <w:p>
            <w:pPr>
              <w:ind w:left="260"/>
              <w:spacing w:after="0"/>
              <w:rPr>
                <w:sz w:val="20"/>
                <w:szCs w:val="20"/>
                <w:color w:val="auto"/>
              </w:rPr>
            </w:pPr>
            <w:r>
              <w:rPr>
                <w:rFonts w:ascii="Arial" w:cs="Arial" w:eastAsia="Arial" w:hAnsi="Arial"/>
                <w:sz w:val="18"/>
                <w:szCs w:val="18"/>
                <w:color w:val="auto"/>
              </w:rPr>
              <w:t>2025</w:t>
            </w:r>
          </w:p>
        </w:tc>
        <w:tc>
          <w:tcPr>
            <w:tcW w:w="5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Thereafter</w:t>
            </w:r>
          </w:p>
        </w:tc>
        <w:tc>
          <w:tcPr>
            <w:tcW w:w="510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020" w:type="dxa"/>
            <w:vAlign w:val="bottom"/>
          </w:tcPr>
          <w:p>
            <w:pPr>
              <w:spacing w:after="0"/>
              <w:rPr>
                <w:sz w:val="20"/>
                <w:szCs w:val="20"/>
                <w:color w:val="auto"/>
              </w:rPr>
            </w:pPr>
            <w:r>
              <w:rPr>
                <w:rFonts w:ascii="Arial" w:cs="Arial" w:eastAsia="Arial" w:hAnsi="Arial"/>
                <w:sz w:val="18"/>
                <w:szCs w:val="18"/>
                <w:color w:val="auto"/>
              </w:rPr>
              <w:t>Total undiscounted lease payments</w:t>
            </w:r>
          </w:p>
        </w:tc>
        <w:tc>
          <w:tcPr>
            <w:tcW w:w="5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16,634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Less: imputed interest</w:t>
            </w:r>
          </w:p>
        </w:tc>
        <w:tc>
          <w:tcPr>
            <w:tcW w:w="5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(4,537)</w:t>
            </w:r>
          </w:p>
        </w:tc>
        <w:tc>
          <w:tcPr>
            <w:tcW w:w="0" w:type="dxa"/>
            <w:vAlign w:val="bottom"/>
          </w:tcPr>
          <w:p>
            <w:pPr>
              <w:spacing w:after="0"/>
              <w:rPr>
                <w:sz w:val="1"/>
                <w:szCs w:val="1"/>
                <w:color w:val="auto"/>
              </w:rPr>
            </w:pPr>
          </w:p>
        </w:tc>
      </w:tr>
      <w:tr>
        <w:trPr>
          <w:trHeight w:val="222"/>
        </w:trPr>
        <w:tc>
          <w:tcPr>
            <w:tcW w:w="4020" w:type="dxa"/>
            <w:vAlign w:val="bottom"/>
          </w:tcPr>
          <w:p>
            <w:pPr>
              <w:spacing w:after="0"/>
              <w:rPr>
                <w:sz w:val="20"/>
                <w:szCs w:val="20"/>
                <w:color w:val="auto"/>
              </w:rPr>
            </w:pPr>
            <w:r>
              <w:rPr>
                <w:rFonts w:ascii="Arial" w:cs="Arial" w:eastAsia="Arial" w:hAnsi="Arial"/>
                <w:sz w:val="18"/>
                <w:szCs w:val="18"/>
                <w:color w:val="auto"/>
              </w:rPr>
              <w:t>Total operating lease liability</w:t>
            </w:r>
          </w:p>
        </w:tc>
        <w:tc>
          <w:tcPr>
            <w:tcW w:w="51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5100" w:type="dxa"/>
            <w:vAlign w:val="bottom"/>
            <w:vMerge w:val="restart"/>
          </w:tcPr>
          <w:p>
            <w:pPr>
              <w:jc w:val="right"/>
              <w:ind w:right="3310"/>
              <w:spacing w:after="0"/>
              <w:rPr>
                <w:sz w:val="20"/>
                <w:szCs w:val="20"/>
                <w:color w:val="auto"/>
              </w:rPr>
            </w:pPr>
            <w:r>
              <w:rPr>
                <w:rFonts w:ascii="Arial" w:cs="Arial" w:eastAsia="Arial" w:hAnsi="Arial"/>
                <w:sz w:val="18"/>
                <w:szCs w:val="18"/>
                <w:color w:val="auto"/>
              </w:rPr>
              <w:t>10</w:t>
            </w:r>
          </w:p>
        </w:tc>
        <w:tc>
          <w:tcPr>
            <w:tcW w:w="8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4020" w:type="dxa"/>
            <w:vAlign w:val="bottom"/>
          </w:tcPr>
          <w:p>
            <w:pPr>
              <w:spacing w:after="0"/>
              <w:rPr>
                <w:sz w:val="24"/>
                <w:szCs w:val="24"/>
                <w:color w:val="auto"/>
              </w:rPr>
            </w:pPr>
          </w:p>
        </w:tc>
        <w:tc>
          <w:tcPr>
            <w:tcW w:w="510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4020" w:type="dxa"/>
            <w:vAlign w:val="bottom"/>
            <w:tcBorders>
              <w:bottom w:val="single" w:sz="8" w:color="9A9A9A"/>
            </w:tcBorders>
          </w:tcPr>
          <w:p>
            <w:pPr>
              <w:spacing w:after="0"/>
              <w:rPr>
                <w:sz w:val="24"/>
                <w:szCs w:val="24"/>
                <w:color w:val="auto"/>
              </w:rPr>
            </w:pPr>
          </w:p>
        </w:tc>
        <w:tc>
          <w:tcPr>
            <w:tcW w:w="51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7. Accrued expenses and other current liabilities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520" w:type="dxa"/>
            <w:vAlign w:val="bottom"/>
          </w:tcPr>
          <w:p>
            <w:pPr>
              <w:jc w:val="right"/>
              <w:ind w:right="455"/>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5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715"/>
              <w:spacing w:after="0"/>
              <w:rPr>
                <w:sz w:val="20"/>
                <w:szCs w:val="20"/>
                <w:color w:val="auto"/>
              </w:rPr>
            </w:pPr>
            <w:r>
              <w:rPr>
                <w:rFonts w:ascii="Arial" w:cs="Arial" w:eastAsia="Arial" w:hAnsi="Arial"/>
                <w:sz w:val="14"/>
                <w:szCs w:val="14"/>
                <w:b w:val="1"/>
                <w:bCs w:val="1"/>
                <w:color w:val="auto"/>
              </w:rPr>
              <w:t>2020</w:t>
            </w:r>
          </w:p>
        </w:tc>
      </w:tr>
      <w:tr>
        <w:trPr>
          <w:trHeight w:val="222"/>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r>
      <w:tr>
        <w:trPr>
          <w:trHeight w:val="229"/>
        </w:trPr>
        <w:tc>
          <w:tcPr>
            <w:tcW w:w="7540" w:type="dxa"/>
            <w:vAlign w:val="bottom"/>
          </w:tcPr>
          <w:p>
            <w:pPr>
              <w:ind w:left="260"/>
              <w:spacing w:after="0"/>
              <w:rPr>
                <w:sz w:val="20"/>
                <w:szCs w:val="20"/>
                <w:color w:val="auto"/>
              </w:rPr>
            </w:pPr>
            <w:r>
              <w:rPr>
                <w:rFonts w:ascii="Arial" w:cs="Arial" w:eastAsia="Arial" w:hAnsi="Arial"/>
                <w:sz w:val="18"/>
                <w:szCs w:val="18"/>
                <w:color w:val="auto"/>
              </w:rPr>
              <w:t>Accrued research and development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6,871</w:t>
            </w:r>
          </w:p>
        </w:tc>
        <w:tc>
          <w:tcPr>
            <w:tcW w:w="20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ind w:right="55"/>
              <w:spacing w:after="0"/>
              <w:rPr>
                <w:sz w:val="20"/>
                <w:szCs w:val="20"/>
                <w:color w:val="auto"/>
              </w:rPr>
            </w:pPr>
            <w:r>
              <w:rPr>
                <w:rFonts w:ascii="Arial" w:cs="Arial" w:eastAsia="Arial" w:hAnsi="Arial"/>
                <w:sz w:val="18"/>
                <w:szCs w:val="18"/>
                <w:color w:val="auto"/>
              </w:rPr>
              <w:t>3,799</w:t>
            </w:r>
          </w:p>
        </w:tc>
      </w:tr>
      <w:tr>
        <w:trPr>
          <w:trHeight w:val="229"/>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compensation and benefits</w:t>
            </w: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3,444</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3,724</w:t>
            </w:r>
          </w:p>
        </w:tc>
      </w:tr>
      <w:tr>
        <w:trPr>
          <w:trHeight w:val="229"/>
        </w:trPr>
        <w:tc>
          <w:tcPr>
            <w:tcW w:w="7540" w:type="dxa"/>
            <w:vAlign w:val="bottom"/>
          </w:tcPr>
          <w:p>
            <w:pPr>
              <w:ind w:left="260"/>
              <w:spacing w:after="0"/>
              <w:rPr>
                <w:sz w:val="20"/>
                <w:szCs w:val="20"/>
                <w:color w:val="auto"/>
              </w:rPr>
            </w:pPr>
            <w:r>
              <w:rPr>
                <w:rFonts w:ascii="Arial" w:cs="Arial" w:eastAsia="Arial" w:hAnsi="Arial"/>
                <w:sz w:val="18"/>
                <w:szCs w:val="18"/>
                <w:color w:val="auto"/>
              </w:rPr>
              <w:t>Accrued professional fees</w:t>
            </w:r>
          </w:p>
        </w:tc>
        <w:tc>
          <w:tcPr>
            <w:tcW w:w="240" w:type="dxa"/>
            <w:vAlign w:val="bottom"/>
          </w:tcPr>
          <w:p>
            <w:pPr>
              <w:spacing w:after="0"/>
              <w:rPr>
                <w:sz w:val="19"/>
                <w:szCs w:val="19"/>
                <w:color w:val="auto"/>
              </w:rPr>
            </w:pP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955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ind w:right="55"/>
              <w:spacing w:after="0"/>
              <w:rPr>
                <w:sz w:val="20"/>
                <w:szCs w:val="20"/>
                <w:color w:val="auto"/>
              </w:rPr>
            </w:pPr>
            <w:r>
              <w:rPr>
                <w:rFonts w:ascii="Arial" w:cs="Arial" w:eastAsia="Arial" w:hAnsi="Arial"/>
                <w:sz w:val="18"/>
                <w:szCs w:val="18"/>
                <w:color w:val="auto"/>
              </w:rPr>
              <w:t>1,532</w:t>
            </w:r>
          </w:p>
        </w:tc>
      </w:tr>
      <w:tr>
        <w:trPr>
          <w:trHeight w:val="229"/>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201</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469</w:t>
            </w:r>
          </w:p>
        </w:tc>
      </w:tr>
      <w:tr>
        <w:trPr>
          <w:trHeight w:val="222"/>
        </w:trPr>
        <w:tc>
          <w:tcPr>
            <w:tcW w:w="7540" w:type="dxa"/>
            <w:vAlign w:val="bottom"/>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11,471</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9,524</w:t>
            </w:r>
          </w:p>
        </w:tc>
      </w:tr>
      <w:tr>
        <w:trPr>
          <w:trHeight w:val="20"/>
        </w:trPr>
        <w:tc>
          <w:tcPr>
            <w:tcW w:w="7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Collaboration and license agreements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Roche Collaboration and License Agreement</w:t>
      </w:r>
    </w:p>
    <w:p>
      <w:pPr>
        <w:spacing w:after="0" w:line="116" w:lineRule="exact"/>
        <w:rPr>
          <w:sz w:val="20"/>
          <w:szCs w:val="20"/>
          <w:color w:val="auto"/>
        </w:rPr>
      </w:pPr>
    </w:p>
    <w:p>
      <w:pPr>
        <w:ind w:right="200"/>
        <w:spacing w:after="0" w:line="285" w:lineRule="auto"/>
        <w:rPr>
          <w:sz w:val="20"/>
          <w:szCs w:val="20"/>
          <w:color w:val="auto"/>
        </w:rPr>
      </w:pPr>
      <w:r>
        <w:rPr>
          <w:rFonts w:ascii="Arial" w:cs="Arial" w:eastAsia="Arial" w:hAnsi="Arial"/>
          <w:sz w:val="17"/>
          <w:szCs w:val="17"/>
          <w:color w:val="auto"/>
        </w:rPr>
        <w:t>In March 2016, the Company entered into a license agreement, or the Original Roche Agreement, with Hoffmann-La Roche Ltd and Hoffmann-La Roche Inc., or Roche. Pursuant to the terms of the Original Roche Agreement, the Company and Roche agreed to collaborate on research activities to develop novel treatments in the field of targeted protein degradation using the Company’s degrader technology.</w:t>
      </w:r>
    </w:p>
    <w:p>
      <w:pPr>
        <w:spacing w:after="0" w:line="58"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On December 22, 2018, the Company and Roche executed the Amended and Restated Roche License Agreement, or the Roche Agreement, which was further amended in November 2020. Under the Roche Agreement, if the Company opts into certain co-development rights, the parties will share future development costs of the targets and the Company will receive an increased royalty rate on product sales from commercialized products directed to those targets. If the Company opts into certain co-detailing rights, the Company is entitled to reimbursement of certain commercialization costs. Following the November 2020 amendment, the Roche Agreement provided that the parties would develop up to five potential targets, with Roche maintaining its option rights to license and commercialize products directed to those targets. In November 2021, the Company and Roche mutually agreed to terminate the Roche Agreement as to the target BRAF, converting BRAF into a proprietary program for the Company. As a result, the parties will now develop up to four targets, with Roche maintaining its option rights to license and commercialize products related to those targets.</w:t>
      </w:r>
    </w:p>
    <w:p>
      <w:pPr>
        <w:spacing w:after="0" w:line="59"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Upon signing the Roche Agreement, the Company received upfront consideration of $40.0 million from Roche. In addition, Roche will make annual research plan payments of $1.0 million for up to three years for each active research plan. For certain targets, Roche is required to pay the Company fees of $2.0 million and $3.0 million upon the progression of targets to the lead series identification achievement and good laboratory practice toxicology study phase, respectively. Option exercise fees ranges from $7.0 million to $20.0 million depending on the target. For each target option exercised by Roche, the Company is eligible to receive up to $275.0 million in research and development milestones per target and commercial milestone payments, with the commercial milestones being dependent on underlying net sales. Roche is also required to pay the Company up to $150.0 million per product directed to targets in one-time sales-based payments if the product achieves certain levels of net sales. In addition, Roche is required to pay the Company royalties, at percentages from the mid-single digits to the low double-digits, on a licensed product-by licensed product basis, on worldwide net product sales.</w:t>
      </w:r>
    </w:p>
    <w:p>
      <w:pPr>
        <w:spacing w:after="0" w:line="59" w:lineRule="exact"/>
        <w:rPr>
          <w:sz w:val="20"/>
          <w:szCs w:val="20"/>
          <w:color w:val="auto"/>
        </w:rPr>
      </w:pPr>
    </w:p>
    <w:p>
      <w:pPr>
        <w:ind w:right="220"/>
        <w:spacing w:after="0" w:line="276" w:lineRule="auto"/>
        <w:rPr>
          <w:sz w:val="20"/>
          <w:szCs w:val="20"/>
          <w:color w:val="auto"/>
        </w:rPr>
      </w:pPr>
      <w:r>
        <w:rPr>
          <w:rFonts w:ascii="Arial" w:cs="Arial" w:eastAsia="Arial" w:hAnsi="Arial"/>
          <w:sz w:val="18"/>
          <w:szCs w:val="18"/>
          <w:color w:val="auto"/>
        </w:rPr>
        <w:t>The collaboration is managed by a joint research committee. The Company has control over the committee and may terminate the Roche Agreement on a target-by-target or product-by-product basis under several scenarios, upon at least 90 days’ prior written notice.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Roche Agreement accounting</w:t>
      </w:r>
    </w:p>
    <w:p>
      <w:pPr>
        <w:spacing w:after="0" w:line="116"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Company identified twelve performance obligations within the Roche Agreement, represented by the six potential research and development targets and the option rights held by Roche for each of the six targets. The transaction price is allocated to the performance obligations based on their relative standalone selling price. The allocated transaction price is recognized as revenue in one of two ways:</w:t>
      </w:r>
    </w:p>
    <w:p>
      <w:pPr>
        <w:spacing w:after="0" w:line="182" w:lineRule="exact"/>
        <w:rPr>
          <w:sz w:val="20"/>
          <w:szCs w:val="20"/>
          <w:color w:val="auto"/>
        </w:rPr>
      </w:pPr>
    </w:p>
    <w:p>
      <w:pPr>
        <w:ind w:left="540" w:right="140" w:hanging="263"/>
        <w:spacing w:after="0" w:line="275" w:lineRule="auto"/>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Research and development targets: The Company recognizes the portion of the transaction price allocated to each of the research and development performance obligations as the research and development services are provided, using an input method, in proportion to costs incurred to date for each research development target as compared to total costs incurred and expected to be incurred in the future to satisfy the underlying obligation related to said research and development target. The transfer of control occurs over this period and, in management’s judgment, is the best measure of progress towards satisfying the performance obligation.</w:t>
      </w:r>
    </w:p>
    <w:p>
      <w:pPr>
        <w:spacing w:after="0" w:line="173" w:lineRule="exact"/>
        <w:rPr>
          <w:rFonts w:ascii="Arial" w:cs="Arial" w:eastAsia="Arial" w:hAnsi="Arial"/>
          <w:sz w:val="17"/>
          <w:szCs w:val="17"/>
          <w:color w:val="auto"/>
        </w:rPr>
      </w:pPr>
    </w:p>
    <w:p>
      <w:pPr>
        <w:ind w:left="540" w:right="440" w:hanging="263"/>
        <w:spacing w:after="0" w:line="341" w:lineRule="auto"/>
        <w:tabs>
          <w:tab w:leader="none" w:pos="5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Option rights: The transaction price allocated to the options rights, which are considered material rights, is recognized in the period that Roche elects to exercise or elects to not exercise its option right to license and commercialize the underlying research and development target.</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83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60" w:right="339" w:bottom="1440" w:gutter="0" w:footer="0" w:header="0"/>
        </w:sectPr>
      </w:pPr>
    </w:p>
    <w:bookmarkStart w:id="17" w:name="page18"/>
    <w:bookmarkEnd w:id="17"/>
    <w:p>
      <w:pPr>
        <w:ind w:right="160"/>
        <w:spacing w:after="0" w:line="276" w:lineRule="auto"/>
        <w:rPr>
          <w:sz w:val="20"/>
          <w:szCs w:val="20"/>
          <w:color w:val="auto"/>
        </w:rPr>
      </w:pPr>
      <w:r>
        <w:rPr>
          <w:rFonts w:ascii="Arial" w:cs="Arial" w:eastAsia="Arial" w:hAnsi="Arial"/>
          <w:sz w:val="18"/>
          <w:szCs w:val="18"/>
          <w:color w:val="auto"/>
        </w:rPr>
        <w:t>Amounts due to the Company that have not yet been received are recorded as accounts receivable and amounts received that have not yet been recognized as revenue are recorded in deferred revenue on the Company’s condensed consolidated balance sheet.</w:t>
      </w:r>
    </w:p>
    <w:p>
      <w:pPr>
        <w:spacing w:after="0" w:line="6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Under the terms of the Roche Agreement, the Company and Roche equally shared development costs associated with the BRAF program upon certain development milestones being met. During the nine months ended September 30, 2021, the Company incurred costs of $2.4 million related to development activities performed under the terms of the Roche Agreement, $1.2 million of which will be reimbursed by Roche. The amount is recorded in accounts receivable on the Company’s condensed consolidated balance sheet as of September 30, 2021. In addition, this reimbursement of $1.2 million was added to the transaction price and will be recognized as collaboration revenue under the input method described above. As a result of the mutual termination of the Roche Agreement as to the target BRAF, the two parties will not share future development costs associated with the BRAF program.</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Biogen Collaboration Research and License Agreement</w:t>
      </w:r>
    </w:p>
    <w:p>
      <w:pPr>
        <w:spacing w:after="0" w:line="116"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In December 2018, the Company entered into a collaboration research and license agreement, or the Biogen Agreement, with Biogen MA, Inc., or Biogen, which was amended in February 2020. Pursuant to the terms of the Biogen Agreement, the Company and Biogen agreed to collaborate on research activities to develop novel treatments in the field of target protein degradation, or TPD, using the Company’s degrader technology. Under the terms of the Biogen Agreement, the Company will initially develop TPD therapeutics that utilize degrader technology for up to five target proteins over a period of 54 months, ending in June 2023. On a target-by-target basis, after successful completion of a defined target evaluation period, Biogen assumes full rights and responsibility to each degrader to meet certain criteria against a target. Biogen also has the option to pay an additional $62.5 million to extend the contract for four additional years and select up to five additional targets for development.</w:t>
      </w:r>
    </w:p>
    <w:p>
      <w:pPr>
        <w:spacing w:after="0" w:line="7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In exchange for the non-exclusive research license from Biogen, as well as a $45.0 million nonrefundable upfront payment, the Company has granted a license to develop, commercialize and manufacture products related to each of the targets (which is contingent on not cancelling the contract), performs initial research services for drug discovery, has provided a non-exclusive research and commercial license to its intellectual property and participates on the joint steering committee, or the Biogen JSC. The Company is also obligated to participate in early research activities for other potential targets or sandbox activities, at Biogen’s election up to a maximum amount; any work performed for these services is reimbursed by Biogen, and Biogen reimburses the Company for certain full-time equivalent, or FTE, costs. The Company’s obligations under the sandbox activities are completed as of September 30, 2021. Biogen is also required to pay the Company up to $35.0 million per target in development milestones and $26.0 million per target in one-time sales-based payments for the first product to achieve certain levels of net sales. In addition, Biogen is required to pay the Company royalties on a licensed product-by-licensed product basis, on worldwide net product sales.</w:t>
      </w:r>
    </w:p>
    <w:p>
      <w:pPr>
        <w:spacing w:after="0" w:line="75"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color w:val="auto"/>
        </w:rPr>
        <w:t>The collaboration is managed by the Biogen JSC, which Biogen has control over, and Biogen may terminate the Biogen Agreement on a target-by-target or product-by-product basis under several scenarios, upon at least 90 days’ prior written notice.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Biogen Agreement accounting</w:t>
      </w:r>
    </w:p>
    <w:p>
      <w:pPr>
        <w:spacing w:after="0" w:line="116"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The Company recognizes revenue under the Biogen Agreement from two types of services: 1) research and development services, and 2) sandbox activities, which are discovery-type research services.</w:t>
      </w:r>
    </w:p>
    <w:p>
      <w:pPr>
        <w:spacing w:after="0" w:line="170" w:lineRule="exact"/>
        <w:rPr>
          <w:sz w:val="20"/>
          <w:szCs w:val="20"/>
          <w:color w:val="auto"/>
        </w:rPr>
      </w:pPr>
    </w:p>
    <w:p>
      <w:pPr>
        <w:jc w:val="both"/>
        <w:ind w:left="540" w:right="380" w:hanging="263"/>
        <w:spacing w:after="0" w:line="290" w:lineRule="auto"/>
        <w:tabs>
          <w:tab w:leader="none" w:pos="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Research and development services: The Company identified one performance obligation at the outset of the Biogen Agreement, representing a combined performance obligation consisting of (1) the licenses, (2) the research activities for the target evaluation phase for all five targets and</w:t>
      </w:r>
    </w:p>
    <w:p>
      <w:pPr>
        <w:ind w:left="540"/>
        <w:spacing w:after="0"/>
        <w:rPr>
          <w:rFonts w:ascii="Arial" w:cs="Arial" w:eastAsia="Arial" w:hAnsi="Arial"/>
          <w:sz w:val="16"/>
          <w:szCs w:val="16"/>
          <w:color w:val="auto"/>
        </w:rPr>
      </w:pPr>
      <w:r>
        <w:rPr>
          <w:rFonts w:ascii="Arial" w:cs="Arial" w:eastAsia="Arial" w:hAnsi="Arial"/>
          <w:sz w:val="18"/>
          <w:szCs w:val="18"/>
          <w:color w:val="auto"/>
        </w:rPr>
        <w:t>(3) the joint research plan phase for each target.</w:t>
      </w:r>
    </w:p>
    <w:p>
      <w:pPr>
        <w:spacing w:after="0" w:line="210" w:lineRule="exact"/>
        <w:rPr>
          <w:sz w:val="20"/>
          <w:szCs w:val="20"/>
          <w:color w:val="auto"/>
        </w:rPr>
      </w:pPr>
    </w:p>
    <w:p>
      <w:pPr>
        <w:ind w:left="560"/>
        <w:spacing w:after="0" w:line="301" w:lineRule="auto"/>
        <w:rPr>
          <w:sz w:val="20"/>
          <w:szCs w:val="20"/>
          <w:color w:val="auto"/>
        </w:rPr>
      </w:pPr>
      <w:r>
        <w:rPr>
          <w:rFonts w:ascii="Arial" w:cs="Arial" w:eastAsia="Arial" w:hAnsi="Arial"/>
          <w:sz w:val="16"/>
          <w:szCs w:val="16"/>
          <w:color w:val="auto"/>
        </w:rPr>
        <w:t>The Company recognizes the transaction price allocated to this performance obligation as the research and development services are provided, using an input method, in proportion to costs incurred to date for each research development target as compared to total costs incurred and expected to be incurred in the future to satisfy the underlying obligation related to said research and development target. The transfer of control occurs over this period and, in management’s judgment, is the best measure of progress towards satisfying the performance obligation.</w:t>
      </w:r>
    </w:p>
    <w:p>
      <w:pPr>
        <w:spacing w:after="0" w:line="154" w:lineRule="exact"/>
        <w:rPr>
          <w:sz w:val="20"/>
          <w:szCs w:val="20"/>
          <w:color w:val="auto"/>
        </w:rPr>
      </w:pPr>
    </w:p>
    <w:p>
      <w:pPr>
        <w:ind w:left="540" w:right="400" w:hanging="263"/>
        <w:spacing w:after="0" w:line="275" w:lineRule="auto"/>
        <w:tabs>
          <w:tab w:leader="none" w:pos="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Sandbox activities: Biogen has the option to fund sandbox activities in exchange for consideration at market rates, whereby the Company will perform discovery-type research at Biogen’s election to develop other potential targets that may be used as replacement targets for the initially nominated targets or two additional targets under the Biogen Agreement. Revenues earned under this option are recognized as services are performed and are not included in the transaction price allocated to the performance obligation described above. The Company recognizes FTE reimbursement received for sandbox activities as revenue as the hours are incurred each quarter.</w:t>
      </w:r>
    </w:p>
    <w:p>
      <w:pPr>
        <w:spacing w:after="0" w:line="173" w:lineRule="exact"/>
        <w:rPr>
          <w:sz w:val="20"/>
          <w:szCs w:val="20"/>
          <w:color w:val="auto"/>
        </w:rPr>
      </w:pPr>
    </w:p>
    <w:p>
      <w:pPr>
        <w:ind w:right="160"/>
        <w:spacing w:after="0" w:line="276" w:lineRule="auto"/>
        <w:rPr>
          <w:sz w:val="20"/>
          <w:szCs w:val="20"/>
          <w:color w:val="auto"/>
        </w:rPr>
      </w:pPr>
      <w:r>
        <w:rPr>
          <w:rFonts w:ascii="Arial" w:cs="Arial" w:eastAsia="Arial" w:hAnsi="Arial"/>
          <w:sz w:val="18"/>
          <w:szCs w:val="18"/>
          <w:color w:val="auto"/>
        </w:rPr>
        <w:t>Amounts due to the Company that have not yet been received are recorded as accounts receivable and amounts received that have not yet been recognized as revenue are recorded in deferred revenue on the Company’s condensed consolidated balance sheet.</w:t>
      </w:r>
    </w:p>
    <w:p>
      <w:pPr>
        <w:spacing w:after="0" w:line="63"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In May 2021, the Company achieved a $3.0 million lead fee under the Biogen Agreement. This amount was deemed to be consideration for research and development services and recorded as deferred revenue. The deferred revenue is recognized as revenue from collaboration agreements consistent with the revenue recognition method for research and development services described above.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83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Calico Collaboration and License Agreement</w:t>
      </w:r>
    </w:p>
    <w:p>
      <w:pPr>
        <w:spacing w:after="0" w:line="116" w:lineRule="exact"/>
        <w:rPr>
          <w:sz w:val="20"/>
          <w:szCs w:val="20"/>
          <w:color w:val="auto"/>
        </w:rPr>
      </w:pPr>
    </w:p>
    <w:p>
      <w:pPr>
        <w:ind w:right="320"/>
        <w:spacing w:after="0" w:line="258" w:lineRule="auto"/>
        <w:rPr>
          <w:sz w:val="20"/>
          <w:szCs w:val="20"/>
          <w:color w:val="auto"/>
        </w:rPr>
      </w:pPr>
      <w:r>
        <w:rPr>
          <w:rFonts w:ascii="Arial" w:cs="Arial" w:eastAsia="Arial" w:hAnsi="Arial"/>
          <w:sz w:val="18"/>
          <w:szCs w:val="18"/>
          <w:color w:val="auto"/>
        </w:rPr>
        <w:t>In March 2017, the Company entered into a collaboration and license agreement, or the Calico Agreement, with Calico Life Sciences LLC, or Calico, whereby the Company and Calico agreed to collaborate to develop and commercialize small molecule protein degraders for diseases of aging, including cancer, for a five-year period ending in March 2022. As further described below, during September 2021, the research term for a certain program was extended to March 2023.</w:t>
      </w:r>
    </w:p>
    <w:p>
      <w:pPr>
        <w:spacing w:after="0" w:line="8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Under the terms of the Calico Agreement, the Company will initially develop and commercialize small molecule protein degraders for up to five target proteins over the research term. On a target-by-target basis, after successful completion of a defined target evaluation period, Calico has an exclusive option to pursue further pre-clinical development and commercialization via a joint research plan for each target.</w:t>
      </w:r>
    </w:p>
    <w:p>
      <w:pPr>
        <w:spacing w:after="0" w:line="74"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Under the Calico Agreement, Calico paid an upfront amount of $5.0 million and certain annual payments totaling $5.0 million through June 30, 2020 and pays target initiation fees and reimburses the Company for a number of FTEs, depending on the stage of the research, at specified market rates. Upon completion of the required discovery research and development services on any target, Calico is entitled to pursue commercial development of products related to that target. The Company will perform initial research services for drug discovery and preclinical development, provide a non-exclusive research and commercial license to its IP and will participate on the Calico joint research committee, or the Calico JRC. For each target, the Company is eligible to receive up to $132.0 million in potential research, development and commercial milestone payments, on sales of all products resulting from the collaboration efforts. Calico is also required to pay the Company up to $65.0 million in one-time sales-based payments for the first product to achieve certain levels of net sales. In addition, Calico is required to pay the Company royalties, at percentages in the mid-single digits, on a licensed product-by-licensed product basis, on worldwide net product sales.</w:t>
      </w:r>
    </w:p>
    <w:p>
      <w:pPr>
        <w:spacing w:after="0" w:line="75" w:lineRule="exact"/>
        <w:rPr>
          <w:sz w:val="20"/>
          <w:szCs w:val="20"/>
          <w:color w:val="auto"/>
        </w:rPr>
      </w:pPr>
    </w:p>
    <w:p>
      <w:pPr>
        <w:ind w:right="400"/>
        <w:spacing w:after="0" w:line="276" w:lineRule="auto"/>
        <w:rPr>
          <w:sz w:val="20"/>
          <w:szCs w:val="20"/>
          <w:color w:val="auto"/>
        </w:rPr>
      </w:pPr>
      <w:r>
        <w:rPr>
          <w:rFonts w:ascii="Arial" w:cs="Arial" w:eastAsia="Arial" w:hAnsi="Arial"/>
          <w:sz w:val="18"/>
          <w:szCs w:val="18"/>
          <w:color w:val="auto"/>
        </w:rPr>
        <w:t>The Calico Agreement is managed by the Calico JRC. Calico has control over the Calico JRC and may terminate the Calico Agreement on a target-by-target or product-by-product basis under several scenarios, upon prior written notice.</w:t>
      </w:r>
    </w:p>
    <w:p>
      <w:pPr>
        <w:spacing w:after="0" w:line="63" w:lineRule="exact"/>
        <w:rPr>
          <w:sz w:val="20"/>
          <w:szCs w:val="20"/>
          <w:color w:val="auto"/>
        </w:rPr>
      </w:pPr>
    </w:p>
    <w:p>
      <w:pPr>
        <w:ind w:right="440"/>
        <w:spacing w:after="0" w:line="258" w:lineRule="auto"/>
        <w:rPr>
          <w:sz w:val="20"/>
          <w:szCs w:val="20"/>
          <w:color w:val="auto"/>
        </w:rPr>
      </w:pPr>
      <w:r>
        <w:rPr>
          <w:rFonts w:ascii="Arial" w:cs="Arial" w:eastAsia="Arial" w:hAnsi="Arial"/>
          <w:sz w:val="18"/>
          <w:szCs w:val="18"/>
          <w:color w:val="auto"/>
        </w:rPr>
        <w:t>In August 2021, the Company provided Calico with an option to extend the research term with respect to a certain program for up to a one year period ending in March 2023. In September 2021, Calico elected to exercise the option resulting in a $1.0 million extension payment to the Company. The extension payment is recorded within accounts receivable as of September 30, 2021. In addition, Calico will continue to reimburse the Company for a number of FTEs, depending on the stage of the research, at specified market rates.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Calico Agreement accounting</w:t>
      </w:r>
    </w:p>
    <w:p>
      <w:pPr>
        <w:spacing w:after="0" w:line="116" w:lineRule="exact"/>
        <w:rPr>
          <w:sz w:val="20"/>
          <w:szCs w:val="20"/>
          <w:color w:val="auto"/>
        </w:rPr>
      </w:pPr>
    </w:p>
    <w:p>
      <w:pPr>
        <w:ind w:right="400"/>
        <w:spacing w:after="0" w:line="306" w:lineRule="auto"/>
        <w:rPr>
          <w:sz w:val="20"/>
          <w:szCs w:val="20"/>
          <w:color w:val="auto"/>
        </w:rPr>
      </w:pPr>
      <w:r>
        <w:rPr>
          <w:rFonts w:ascii="Arial" w:cs="Arial" w:eastAsia="Arial" w:hAnsi="Arial"/>
          <w:sz w:val="17"/>
          <w:szCs w:val="17"/>
          <w:color w:val="auto"/>
        </w:rPr>
        <w:t>The Company identified one performance obligation at the outset of the Calico Agreement, which consists of: (1) the non-exclusive license and (2) the research activities for the target evaluation phase for all five targets and the joint research plan phase for targets 1 and 2.</w:t>
      </w:r>
    </w:p>
    <w:p>
      <w:pPr>
        <w:spacing w:after="0" w:line="4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transaction price consists of the upfront amount, the committed anniversary payments, the target initiation fees related to the targets nominated at the execution of the Calico Agreement, and the extension payment upon exercise of the extension option discussed above. Initially, the Company amortized the transaction price on a straight-line basis over the initial five-year term of the Calico Agreement. Beginning in September 2021, as a result of the extension of the research term and additional transaction price, the Company amortizes the revised transaction price on a straight-line basis over the six-year term of the Calico Agreement. Straight-line amortization of the transaction price was considered the best measure of progress because the customer has access to research and development services throughout the period. Incremental fees for research and development services are paid at agreed upon FTE rates and recognized in the period incurred. Amounts due to the Company that have not yet been received are recorded as accounts receivable and amounts received that have not yet been recognized as revenue are recorded in deferred revenue on the Company’s condensed consolidated balance sheet.</w:t>
      </w:r>
    </w:p>
    <w:p>
      <w:pPr>
        <w:spacing w:after="0" w:line="5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May 2021, the Company achieved a $1.0 million milestone payment under the Calico Agreement. As the underlying obligation to this milestone payment was determined to have been satisfied, the amount was included within revenue from collaboration agreements during the nine months ended September 30, 2021.</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revenue recognized from collaboration agreements</w:t>
      </w:r>
    </w:p>
    <w:p>
      <w:pPr>
        <w:spacing w:after="0" w:line="116" w:lineRule="exact"/>
        <w:rPr>
          <w:sz w:val="20"/>
          <w:szCs w:val="20"/>
          <w:color w:val="auto"/>
        </w:rPr>
      </w:pPr>
    </w:p>
    <w:p>
      <w:pPr>
        <w:ind w:right="340"/>
        <w:spacing w:after="0" w:line="276" w:lineRule="auto"/>
        <w:rPr>
          <w:sz w:val="20"/>
          <w:szCs w:val="20"/>
          <w:color w:val="auto"/>
        </w:rPr>
      </w:pPr>
      <w:r>
        <w:rPr>
          <w:rFonts w:ascii="Arial" w:cs="Arial" w:eastAsia="Arial" w:hAnsi="Arial"/>
          <w:sz w:val="18"/>
          <w:szCs w:val="18"/>
          <w:color w:val="auto"/>
        </w:rPr>
        <w:t>Revenue from collaboration agreements for the three and nine months ended September 30, 2021 and 2020 in the condensed consolidated statements of operations and comprehensive loss was as follows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80" w:type="dxa"/>
            <w:vAlign w:val="bottom"/>
            <w:gridSpan w:val="6"/>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4"/>
                <w:szCs w:val="14"/>
                <w:color w:val="auto"/>
              </w:rPr>
            </w:pPr>
          </w:p>
        </w:tc>
        <w:tc>
          <w:tcPr>
            <w:tcW w:w="2580" w:type="dxa"/>
            <w:vAlign w:val="bottom"/>
            <w:gridSpan w:val="4"/>
          </w:tcPr>
          <w:p>
            <w:pPr>
              <w:jc w:val="right"/>
              <w:ind w:right="274"/>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155"/>
        </w:trPr>
        <w:tc>
          <w:tcPr>
            <w:tcW w:w="4380" w:type="dxa"/>
            <w:vAlign w:val="bottom"/>
            <w:tcBorders>
              <w:bottom w:val="single" w:sz="8" w:color="CFF0FC"/>
            </w:tcBorders>
          </w:tcPr>
          <w:p>
            <w:pPr>
              <w:spacing w:after="0"/>
              <w:rPr>
                <w:sz w:val="13"/>
                <w:szCs w:val="13"/>
                <w:color w:val="auto"/>
              </w:rPr>
            </w:pPr>
          </w:p>
        </w:tc>
        <w:tc>
          <w:tcPr>
            <w:tcW w:w="1240" w:type="dxa"/>
            <w:vAlign w:val="bottom"/>
            <w:tcBorders>
              <w:bottom w:val="single" w:sz="8" w:color="CFF0FC"/>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4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496"/>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74"/>
              <w:spacing w:after="0" w:line="155" w:lineRule="exact"/>
              <w:rPr>
                <w:sz w:val="20"/>
                <w:szCs w:val="20"/>
                <w:color w:val="auto"/>
              </w:rPr>
            </w:pPr>
            <w:r>
              <w:rPr>
                <w:rFonts w:ascii="Arial" w:cs="Arial" w:eastAsia="Arial" w:hAnsi="Arial"/>
                <w:sz w:val="14"/>
                <w:szCs w:val="14"/>
                <w:b w:val="1"/>
                <w:bCs w:val="1"/>
                <w:color w:val="auto"/>
              </w:rPr>
              <w:t>2020</w:t>
            </w:r>
          </w:p>
        </w:tc>
      </w:tr>
      <w:tr>
        <w:trPr>
          <w:trHeight w:val="222"/>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Revenue from collaboration agreements:</w:t>
            </w:r>
          </w:p>
        </w:tc>
        <w:tc>
          <w:tcPr>
            <w:tcW w:w="1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r>
      <w:tr>
        <w:trPr>
          <w:trHeight w:val="229"/>
        </w:trPr>
        <w:tc>
          <w:tcPr>
            <w:tcW w:w="4380" w:type="dxa"/>
            <w:vAlign w:val="bottom"/>
          </w:tcPr>
          <w:p>
            <w:pPr>
              <w:ind w:left="260"/>
              <w:spacing w:after="0"/>
              <w:rPr>
                <w:sz w:val="20"/>
                <w:szCs w:val="20"/>
                <w:color w:val="auto"/>
              </w:rPr>
            </w:pPr>
            <w:r>
              <w:rPr>
                <w:rFonts w:ascii="Arial" w:cs="Arial" w:eastAsia="Arial" w:hAnsi="Arial"/>
                <w:sz w:val="18"/>
                <w:szCs w:val="18"/>
                <w:color w:val="auto"/>
              </w:rPr>
              <w:t>Roche Agreement</w:t>
            </w:r>
          </w:p>
        </w:tc>
        <w:tc>
          <w:tcPr>
            <w:tcW w:w="2000" w:type="dxa"/>
            <w:vAlign w:val="bottom"/>
            <w:gridSpan w:val="2"/>
          </w:tcPr>
          <w:p>
            <w:pPr>
              <w:jc w:val="right"/>
              <w:ind w:right="582"/>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2,330</w:t>
            </w:r>
          </w:p>
        </w:tc>
        <w:tc>
          <w:tcPr>
            <w:tcW w:w="40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1,395</w:t>
            </w:r>
          </w:p>
        </w:tc>
        <w:tc>
          <w:tcPr>
            <w:tcW w:w="14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7,416</w:t>
            </w:r>
          </w:p>
        </w:tc>
        <w:tc>
          <w:tcPr>
            <w:tcW w:w="40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7,424</w:t>
            </w:r>
          </w:p>
        </w:tc>
      </w:tr>
      <w:tr>
        <w:trPr>
          <w:trHeight w:val="229"/>
        </w:trPr>
        <w:tc>
          <w:tcPr>
            <w:tcW w:w="4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Biogen Agreement</w:t>
            </w:r>
          </w:p>
        </w:tc>
        <w:tc>
          <w:tcPr>
            <w:tcW w:w="1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8"/>
              </w:rPr>
              <w:t>4,827</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3,525</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9,647</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6,827</w:t>
            </w:r>
          </w:p>
        </w:tc>
      </w:tr>
      <w:tr>
        <w:trPr>
          <w:trHeight w:val="229"/>
        </w:trPr>
        <w:tc>
          <w:tcPr>
            <w:tcW w:w="43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Calico Agreement</w:t>
            </w:r>
          </w:p>
        </w:tc>
        <w:tc>
          <w:tcPr>
            <w:tcW w:w="124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8"/>
              </w:rPr>
              <w:t>1,343</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3,527</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8,644</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10,682</w:t>
            </w:r>
          </w:p>
        </w:tc>
      </w:tr>
      <w:tr>
        <w:trPr>
          <w:trHeight w:val="222"/>
        </w:trPr>
        <w:tc>
          <w:tcPr>
            <w:tcW w:w="4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 from collaboration agreements</w:t>
            </w:r>
          </w:p>
        </w:tc>
        <w:tc>
          <w:tcPr>
            <w:tcW w:w="124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582"/>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88"/>
              </w:rPr>
              <w:t>8,500</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8,447</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25,707</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24,933</w:t>
            </w:r>
          </w:p>
        </w:tc>
      </w:tr>
      <w:tr>
        <w:trPr>
          <w:trHeight w:val="20"/>
        </w:trPr>
        <w:tc>
          <w:tcPr>
            <w:tcW w:w="4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412"/>
        </w:trPr>
        <w:tc>
          <w:tcPr>
            <w:tcW w:w="4380" w:type="dxa"/>
            <w:vAlign w:val="bottom"/>
          </w:tcPr>
          <w:p>
            <w:pPr>
              <w:spacing w:after="0"/>
              <w:rPr>
                <w:sz w:val="24"/>
                <w:szCs w:val="24"/>
                <w:color w:val="auto"/>
              </w:rPr>
            </w:pPr>
          </w:p>
        </w:tc>
        <w:tc>
          <w:tcPr>
            <w:tcW w:w="2000" w:type="dxa"/>
            <w:vAlign w:val="bottom"/>
            <w:gridSpan w:val="2"/>
          </w:tcPr>
          <w:p>
            <w:pPr>
              <w:jc w:val="right"/>
              <w:ind w:right="582"/>
              <w:spacing w:after="0"/>
              <w:rPr>
                <w:sz w:val="20"/>
                <w:szCs w:val="20"/>
                <w:color w:val="auto"/>
              </w:rPr>
            </w:pPr>
            <w:r>
              <w:rPr>
                <w:rFonts w:ascii="Arial" w:cs="Arial" w:eastAsia="Arial" w:hAnsi="Arial"/>
                <w:sz w:val="18"/>
                <w:szCs w:val="18"/>
                <w:color w:val="auto"/>
              </w:rPr>
              <w:t>13</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0"/>
        </w:trPr>
        <w:tc>
          <w:tcPr>
            <w:tcW w:w="43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9" w:name="page20"/>
    <w:bookmarkEnd w:id="19"/>
    <w:p>
      <w:pPr>
        <w:spacing w:after="0" w:line="276" w:lineRule="auto"/>
        <w:rPr>
          <w:sz w:val="20"/>
          <w:szCs w:val="20"/>
          <w:color w:val="auto"/>
        </w:rPr>
      </w:pPr>
      <w:r>
        <w:rPr>
          <w:rFonts w:ascii="Arial" w:cs="Arial" w:eastAsia="Arial" w:hAnsi="Arial"/>
          <w:sz w:val="18"/>
          <w:szCs w:val="18"/>
          <w:color w:val="auto"/>
        </w:rPr>
        <w:t>Financial information related to the collaboration and license agreements consisted of the following in the Company’s condensed consolidated balance sheet as of September 30, 2021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ind w:right="336"/>
              <w:spacing w:after="0"/>
              <w:rPr>
                <w:sz w:val="20"/>
                <w:szCs w:val="20"/>
                <w:color w:val="auto"/>
              </w:rPr>
            </w:pPr>
            <w:r>
              <w:rPr>
                <w:rFonts w:ascii="Arial" w:cs="Arial" w:eastAsia="Arial" w:hAnsi="Arial"/>
                <w:sz w:val="14"/>
                <w:szCs w:val="14"/>
                <w:b w:val="1"/>
                <w:bCs w:val="1"/>
                <w:color w:val="auto"/>
              </w:rPr>
              <w:t>Accounts</w:t>
            </w:r>
          </w:p>
        </w:tc>
        <w:tc>
          <w:tcPr>
            <w:tcW w:w="140" w:type="dxa"/>
            <w:vAlign w:val="bottom"/>
          </w:tcPr>
          <w:p>
            <w:pPr>
              <w:spacing w:after="0"/>
              <w:rPr>
                <w:sz w:val="14"/>
                <w:szCs w:val="14"/>
                <w:color w:val="auto"/>
              </w:rPr>
            </w:pPr>
          </w:p>
        </w:tc>
        <w:tc>
          <w:tcPr>
            <w:tcW w:w="14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2"/>
              </w:rPr>
              <w:t>Deferred Revenue,</w:t>
            </w: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Deferred Revenue,</w:t>
            </w:r>
          </w:p>
        </w:tc>
        <w:tc>
          <w:tcPr>
            <w:tcW w:w="140" w:type="dxa"/>
            <w:vAlign w:val="bottom"/>
          </w:tcPr>
          <w:p>
            <w:pPr>
              <w:spacing w:after="0"/>
              <w:rPr>
                <w:sz w:val="14"/>
                <w:szCs w:val="14"/>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Deferred Revenue,</w:t>
            </w:r>
          </w:p>
        </w:tc>
      </w:tr>
      <w:tr>
        <w:trPr>
          <w:trHeight w:val="171"/>
        </w:trPr>
        <w:tc>
          <w:tcPr>
            <w:tcW w:w="5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ind w:right="296"/>
              <w:spacing w:after="0"/>
              <w:rPr>
                <w:sz w:val="20"/>
                <w:szCs w:val="20"/>
                <w:color w:val="auto"/>
              </w:rPr>
            </w:pPr>
            <w:r>
              <w:rPr>
                <w:rFonts w:ascii="Arial" w:cs="Arial" w:eastAsia="Arial" w:hAnsi="Arial"/>
                <w:sz w:val="14"/>
                <w:szCs w:val="14"/>
                <w:b w:val="1"/>
                <w:bCs w:val="1"/>
                <w:color w:val="auto"/>
                <w:w w:val="98"/>
              </w:rPr>
              <w:t>Receivable</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8"/>
              </w:rPr>
              <w:t>Current</w:t>
            </w:r>
          </w:p>
        </w:tc>
        <w:tc>
          <w:tcPr>
            <w:tcW w:w="100" w:type="dxa"/>
            <w:vAlign w:val="bottom"/>
          </w:tcPr>
          <w:p>
            <w:pPr>
              <w:spacing w:after="0"/>
              <w:rPr>
                <w:sz w:val="14"/>
                <w:szCs w:val="14"/>
                <w:color w:val="auto"/>
              </w:rPr>
            </w:pPr>
          </w:p>
        </w:tc>
        <w:tc>
          <w:tcPr>
            <w:tcW w:w="1200" w:type="dxa"/>
            <w:vAlign w:val="bottom"/>
          </w:tcPr>
          <w:p>
            <w:pPr>
              <w:jc w:val="right"/>
              <w:ind w:right="174"/>
              <w:spacing w:after="0"/>
              <w:rPr>
                <w:sz w:val="20"/>
                <w:szCs w:val="20"/>
                <w:color w:val="auto"/>
              </w:rPr>
            </w:pPr>
            <w:r>
              <w:rPr>
                <w:rFonts w:ascii="Arial" w:cs="Arial" w:eastAsia="Arial" w:hAnsi="Arial"/>
                <w:sz w:val="14"/>
                <w:szCs w:val="14"/>
                <w:b w:val="1"/>
                <w:bCs w:val="1"/>
                <w:color w:val="auto"/>
                <w:w w:val="97"/>
              </w:rPr>
              <w:t>Net of Current</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474"/>
              <w:spacing w:after="0"/>
              <w:rPr>
                <w:sz w:val="20"/>
                <w:szCs w:val="20"/>
                <w:color w:val="auto"/>
              </w:rPr>
            </w:pPr>
            <w:r>
              <w:rPr>
                <w:rFonts w:ascii="Arial" w:cs="Arial" w:eastAsia="Arial" w:hAnsi="Arial"/>
                <w:sz w:val="14"/>
                <w:szCs w:val="14"/>
                <w:b w:val="1"/>
                <w:bCs w:val="1"/>
                <w:color w:val="auto"/>
              </w:rPr>
              <w:t>Total</w:t>
            </w:r>
          </w:p>
        </w:tc>
      </w:tr>
      <w:tr>
        <w:trPr>
          <w:trHeight w:val="222"/>
        </w:trPr>
        <w:tc>
          <w:tcPr>
            <w:tcW w:w="5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Supplemental information:</w:t>
            </w:r>
          </w:p>
        </w:tc>
        <w:tc>
          <w:tcPr>
            <w:tcW w:w="18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r>
      <w:tr>
        <w:trPr>
          <w:trHeight w:val="229"/>
        </w:trPr>
        <w:tc>
          <w:tcPr>
            <w:tcW w:w="5620" w:type="dxa"/>
            <w:vAlign w:val="bottom"/>
          </w:tcPr>
          <w:p>
            <w:pPr>
              <w:ind w:left="260"/>
              <w:spacing w:after="0"/>
              <w:rPr>
                <w:sz w:val="20"/>
                <w:szCs w:val="20"/>
                <w:color w:val="auto"/>
              </w:rPr>
            </w:pPr>
            <w:r>
              <w:rPr>
                <w:rFonts w:ascii="Arial" w:cs="Arial" w:eastAsia="Arial" w:hAnsi="Arial"/>
                <w:sz w:val="18"/>
                <w:szCs w:val="18"/>
                <w:color w:val="auto"/>
              </w:rPr>
              <w:t>Roche Agreement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1,950</w:t>
            </w:r>
          </w:p>
        </w:tc>
        <w:tc>
          <w:tcPr>
            <w:tcW w:w="34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8,816</w:t>
            </w:r>
          </w:p>
        </w:tc>
        <w:tc>
          <w:tcPr>
            <w:tcW w:w="1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25,448</w:t>
            </w: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34,264</w:t>
            </w:r>
          </w:p>
        </w:tc>
      </w:tr>
      <w:tr>
        <w:trPr>
          <w:trHeight w:val="229"/>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Biogen Agreement</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102</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21,311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12,405</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33,716</w:t>
            </w:r>
          </w:p>
        </w:tc>
      </w:tr>
      <w:tr>
        <w:trPr>
          <w:trHeight w:val="229"/>
        </w:trPr>
        <w:tc>
          <w:tcPr>
            <w:tcW w:w="56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Calico Agreement</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2,793</w:t>
            </w: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2,167</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1,083</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3,250</w:t>
            </w:r>
          </w:p>
        </w:tc>
      </w:tr>
      <w:tr>
        <w:trPr>
          <w:trHeight w:val="222"/>
        </w:trPr>
        <w:tc>
          <w:tcPr>
            <w:tcW w:w="5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4,845</w:t>
            </w: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32,294</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38,936</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71,230</w:t>
            </w: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Financial information related to the collaboration and license agreements consisted of the following in the Company’s condensed consolidated balance sheet as of December 31, 2020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216"/>
              <w:spacing w:after="0"/>
              <w:rPr>
                <w:sz w:val="20"/>
                <w:szCs w:val="20"/>
                <w:color w:val="auto"/>
              </w:rPr>
            </w:pPr>
            <w:r>
              <w:rPr>
                <w:rFonts w:ascii="Arial" w:cs="Arial" w:eastAsia="Arial" w:hAnsi="Arial"/>
                <w:sz w:val="14"/>
                <w:szCs w:val="14"/>
                <w:b w:val="1"/>
                <w:bCs w:val="1"/>
                <w:color w:val="auto"/>
              </w:rPr>
              <w:t>Accounts</w:t>
            </w:r>
          </w:p>
        </w:tc>
        <w:tc>
          <w:tcPr>
            <w:tcW w:w="260" w:type="dxa"/>
            <w:vAlign w:val="bottom"/>
          </w:tcPr>
          <w:p>
            <w:pPr>
              <w:spacing w:after="0"/>
              <w:rPr>
                <w:sz w:val="14"/>
                <w:szCs w:val="14"/>
                <w:color w:val="auto"/>
              </w:rPr>
            </w:pPr>
          </w:p>
        </w:tc>
        <w:tc>
          <w:tcPr>
            <w:tcW w:w="14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2"/>
              </w:rPr>
              <w:t>Deferred Revenue,</w:t>
            </w: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Deferred Revenue,</w:t>
            </w:r>
          </w:p>
        </w:tc>
        <w:tc>
          <w:tcPr>
            <w:tcW w:w="24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Deferred Revenue,</w:t>
            </w:r>
          </w:p>
        </w:tc>
      </w:tr>
      <w:tr>
        <w:trPr>
          <w:trHeight w:val="171"/>
        </w:trPr>
        <w:tc>
          <w:tcPr>
            <w:tcW w:w="5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176"/>
              <w:spacing w:after="0"/>
              <w:rPr>
                <w:sz w:val="20"/>
                <w:szCs w:val="20"/>
                <w:color w:val="auto"/>
              </w:rPr>
            </w:pPr>
            <w:r>
              <w:rPr>
                <w:rFonts w:ascii="Arial" w:cs="Arial" w:eastAsia="Arial" w:hAnsi="Arial"/>
                <w:sz w:val="14"/>
                <w:szCs w:val="14"/>
                <w:b w:val="1"/>
                <w:bCs w:val="1"/>
                <w:color w:val="auto"/>
                <w:w w:val="98"/>
              </w:rPr>
              <w:t>Receivable</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8"/>
              </w:rPr>
              <w:t>Current</w:t>
            </w:r>
          </w:p>
        </w:tc>
        <w:tc>
          <w:tcPr>
            <w:tcW w:w="100" w:type="dxa"/>
            <w:vAlign w:val="bottom"/>
          </w:tcPr>
          <w:p>
            <w:pPr>
              <w:spacing w:after="0"/>
              <w:rPr>
                <w:sz w:val="14"/>
                <w:szCs w:val="14"/>
                <w:color w:val="auto"/>
              </w:rPr>
            </w:pPr>
          </w:p>
        </w:tc>
        <w:tc>
          <w:tcPr>
            <w:tcW w:w="1100" w:type="dxa"/>
            <w:vAlign w:val="bottom"/>
          </w:tcPr>
          <w:p>
            <w:pPr>
              <w:jc w:val="right"/>
              <w:ind w:right="74"/>
              <w:spacing w:after="0"/>
              <w:rPr>
                <w:sz w:val="20"/>
                <w:szCs w:val="20"/>
                <w:color w:val="auto"/>
              </w:rPr>
            </w:pPr>
            <w:r>
              <w:rPr>
                <w:rFonts w:ascii="Arial" w:cs="Arial" w:eastAsia="Arial" w:hAnsi="Arial"/>
                <w:sz w:val="14"/>
                <w:szCs w:val="14"/>
                <w:b w:val="1"/>
                <w:bCs w:val="1"/>
                <w:color w:val="auto"/>
                <w:w w:val="97"/>
              </w:rPr>
              <w:t>Net of Current</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r>
      <w:tr>
        <w:trPr>
          <w:trHeight w:val="222"/>
        </w:trPr>
        <w:tc>
          <w:tcPr>
            <w:tcW w:w="5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Supplemental information:</w:t>
            </w:r>
          </w:p>
        </w:tc>
        <w:tc>
          <w:tcPr>
            <w:tcW w:w="1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620" w:type="dxa"/>
            <w:vAlign w:val="bottom"/>
          </w:tcPr>
          <w:p>
            <w:pPr>
              <w:ind w:left="260"/>
              <w:spacing w:after="0"/>
              <w:rPr>
                <w:sz w:val="20"/>
                <w:szCs w:val="20"/>
                <w:color w:val="auto"/>
              </w:rPr>
            </w:pPr>
            <w:r>
              <w:rPr>
                <w:rFonts w:ascii="Arial" w:cs="Arial" w:eastAsia="Arial" w:hAnsi="Arial"/>
                <w:sz w:val="18"/>
                <w:szCs w:val="18"/>
                <w:color w:val="auto"/>
              </w:rPr>
              <w:t>Roche Agreement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750</w:t>
            </w:r>
          </w:p>
        </w:tc>
        <w:tc>
          <w:tcPr>
            <w:tcW w:w="4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11,238</w:t>
            </w:r>
          </w:p>
        </w:tc>
        <w:tc>
          <w:tcPr>
            <w:tcW w:w="2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26,991</w:t>
            </w: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38,229</w:t>
            </w:r>
          </w:p>
        </w:tc>
        <w:tc>
          <w:tcPr>
            <w:tcW w:w="100" w:type="dxa"/>
            <w:vAlign w:val="bottom"/>
          </w:tcPr>
          <w:p>
            <w:pPr>
              <w:spacing w:after="0"/>
              <w:rPr>
                <w:sz w:val="19"/>
                <w:szCs w:val="19"/>
                <w:color w:val="auto"/>
              </w:rPr>
            </w:pPr>
          </w:p>
        </w:tc>
      </w:tr>
      <w:tr>
        <w:trPr>
          <w:trHeight w:val="229"/>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Biogen Agreement</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13,965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26,026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39,991</w:t>
            </w:r>
          </w:p>
        </w:tc>
        <w:tc>
          <w:tcPr>
            <w:tcW w:w="100" w:type="dxa"/>
            <w:vAlign w:val="bottom"/>
            <w:shd w:val="clear" w:color="auto" w:fill="CFF0FC"/>
          </w:tcPr>
          <w:p>
            <w:pPr>
              <w:spacing w:after="0"/>
              <w:rPr>
                <w:sz w:val="19"/>
                <w:szCs w:val="19"/>
                <w:color w:val="auto"/>
              </w:rPr>
            </w:pPr>
          </w:p>
        </w:tc>
      </w:tr>
      <w:tr>
        <w:trPr>
          <w:trHeight w:val="229"/>
        </w:trPr>
        <w:tc>
          <w:tcPr>
            <w:tcW w:w="56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Calico Agreement</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2,958</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2,400</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Borders>
              <w:bottom w:val="single" w:sz="8" w:color="CFF0FC"/>
            </w:tcBorders>
          </w:tcPr>
          <w:p>
            <w:pPr>
              <w:spacing w:after="0"/>
              <w:rPr>
                <w:sz w:val="19"/>
                <w:szCs w:val="19"/>
                <w:color w:val="auto"/>
              </w:rPr>
            </w:pPr>
          </w:p>
        </w:tc>
      </w:tr>
      <w:tr>
        <w:trPr>
          <w:trHeight w:val="222"/>
        </w:trPr>
        <w:tc>
          <w:tcPr>
            <w:tcW w:w="5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4,484</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27,603</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53,617</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81,220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3" w:lineRule="exact"/>
        <w:rPr>
          <w:sz w:val="20"/>
          <w:szCs w:val="20"/>
          <w:color w:val="auto"/>
        </w:rPr>
      </w:pPr>
    </w:p>
    <w:p>
      <w:pPr>
        <w:ind w:right="180"/>
        <w:spacing w:after="0" w:line="276" w:lineRule="auto"/>
        <w:rPr>
          <w:sz w:val="20"/>
          <w:szCs w:val="20"/>
          <w:color w:val="auto"/>
        </w:rPr>
      </w:pPr>
      <w:r>
        <w:rPr>
          <w:rFonts w:ascii="Arial" w:cs="Arial" w:eastAsia="Arial" w:hAnsi="Arial"/>
          <w:sz w:val="18"/>
          <w:szCs w:val="18"/>
          <w:color w:val="auto"/>
        </w:rPr>
        <w:t>Supplemental financial information related to the collaboration and license agreements for the three and nine months ended September 30, 2021 and 2020 are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2880" w:type="dxa"/>
            <w:vAlign w:val="bottom"/>
            <w:gridSpan w:val="6"/>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4"/>
                <w:szCs w:val="14"/>
                <w:color w:val="auto"/>
              </w:rPr>
            </w:pPr>
          </w:p>
        </w:tc>
        <w:tc>
          <w:tcPr>
            <w:tcW w:w="2580" w:type="dxa"/>
            <w:vAlign w:val="bottom"/>
            <w:gridSpan w:val="5"/>
          </w:tcPr>
          <w:p>
            <w:pPr>
              <w:ind w:left="80"/>
              <w:spacing w:after="0"/>
              <w:rPr>
                <w:sz w:val="20"/>
                <w:szCs w:val="20"/>
                <w:color w:val="auto"/>
              </w:rPr>
            </w:pPr>
            <w:r>
              <w:rPr>
                <w:rFonts w:ascii="Arial" w:cs="Arial" w:eastAsia="Arial" w:hAnsi="Arial"/>
                <w:sz w:val="14"/>
                <w:szCs w:val="14"/>
                <w:b w:val="1"/>
                <w:bCs w:val="1"/>
                <w:color w:val="auto"/>
              </w:rPr>
              <w:t>Nine Months Ended September 30,</w:t>
            </w:r>
          </w:p>
        </w:tc>
      </w:tr>
      <w:tr>
        <w:trPr>
          <w:trHeight w:val="155"/>
        </w:trPr>
        <w:tc>
          <w:tcPr>
            <w:tcW w:w="5620" w:type="dxa"/>
            <w:vAlign w:val="bottom"/>
            <w:tcBorders>
              <w:bottom w:val="single" w:sz="8" w:color="CFF0FC"/>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96"/>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99"/>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76"/>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08"/>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Revenue recognized that was included in the contract liability at the</w:t>
            </w:r>
          </w:p>
        </w:tc>
        <w:tc>
          <w:tcPr>
            <w:tcW w:w="7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beginning of the period</w:t>
            </w:r>
          </w:p>
        </w:tc>
        <w:tc>
          <w:tcPr>
            <w:tcW w:w="760" w:type="dxa"/>
            <w:vAlign w:val="bottom"/>
            <w:shd w:val="clear" w:color="auto" w:fill="CFF0FC"/>
          </w:tcPr>
          <w:p>
            <w:pPr>
              <w:jc w:val="right"/>
              <w:ind w:right="582"/>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7,479</w:t>
            </w:r>
          </w:p>
        </w:tc>
        <w:tc>
          <w:tcPr>
            <w:tcW w:w="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4,889</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17,060</w:t>
            </w:r>
          </w:p>
        </w:tc>
        <w:tc>
          <w:tcPr>
            <w:tcW w:w="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13,697</w:t>
            </w:r>
          </w:p>
        </w:tc>
        <w:tc>
          <w:tcPr>
            <w:tcW w:w="100" w:type="dxa"/>
            <w:vAlign w:val="bottom"/>
            <w:shd w:val="clear" w:color="auto" w:fill="CFF0FC"/>
          </w:tcPr>
          <w:p>
            <w:pPr>
              <w:spacing w:after="0"/>
              <w:rPr>
                <w:sz w:val="19"/>
                <w:szCs w:val="19"/>
                <w:color w:val="auto"/>
              </w:rPr>
            </w:pPr>
          </w:p>
        </w:tc>
      </w:tr>
      <w:tr>
        <w:trPr>
          <w:trHeight w:val="215"/>
        </w:trPr>
        <w:tc>
          <w:tcPr>
            <w:tcW w:w="5620" w:type="dxa"/>
            <w:vAlign w:val="bottom"/>
          </w:tcPr>
          <w:p>
            <w:pPr>
              <w:spacing w:after="0"/>
              <w:rPr>
                <w:sz w:val="20"/>
                <w:szCs w:val="20"/>
                <w:color w:val="auto"/>
              </w:rPr>
            </w:pPr>
            <w:r>
              <w:rPr>
                <w:rFonts w:ascii="Arial" w:cs="Arial" w:eastAsia="Arial" w:hAnsi="Arial"/>
                <w:sz w:val="18"/>
                <w:szCs w:val="18"/>
                <w:color w:val="auto"/>
              </w:rPr>
              <w:t>Revenue recognized from performance obligations fully or partially</w:t>
            </w: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satisfied in previous periods</w:t>
            </w: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9"/>
                <w:szCs w:val="19"/>
                <w:color w:val="auto"/>
              </w:rPr>
            </w:pPr>
          </w:p>
        </w:tc>
      </w:tr>
    </w:tbl>
    <w:p>
      <w:pPr>
        <w:spacing w:after="0" w:line="93" w:lineRule="exact"/>
        <w:rPr>
          <w:sz w:val="20"/>
          <w:szCs w:val="20"/>
          <w:color w:val="auto"/>
        </w:rPr>
      </w:pPr>
    </w:p>
    <w:p>
      <w:pPr>
        <w:ind w:right="420"/>
        <w:spacing w:after="0" w:line="276" w:lineRule="auto"/>
        <w:rPr>
          <w:sz w:val="20"/>
          <w:szCs w:val="20"/>
          <w:color w:val="auto"/>
        </w:rPr>
      </w:pPr>
      <w:r>
        <w:rPr>
          <w:rFonts w:ascii="Arial" w:cs="Arial" w:eastAsia="Arial" w:hAnsi="Arial"/>
          <w:sz w:val="18"/>
          <w:szCs w:val="18"/>
          <w:color w:val="auto"/>
        </w:rPr>
        <w:t>As of September 30, 2021, the aggregate amount of the transaction price allocated to performance obligations under the Roche Agreement, the Biogen Agreement, and the Calico Agreement that are partially unsatisfied was $79.0 million.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Long-term debt and warrant – related party</w:t>
      </w:r>
    </w:p>
    <w:p>
      <w:pPr>
        <w:spacing w:after="0" w:line="120" w:lineRule="exact"/>
        <w:rPr>
          <w:sz w:val="20"/>
          <w:szCs w:val="20"/>
          <w:color w:val="auto"/>
        </w:rPr>
      </w:pPr>
    </w:p>
    <w:p>
      <w:pPr>
        <w:ind w:right="500"/>
        <w:spacing w:after="0" w:line="269" w:lineRule="auto"/>
        <w:rPr>
          <w:sz w:val="20"/>
          <w:szCs w:val="20"/>
          <w:color w:val="auto"/>
        </w:rPr>
      </w:pPr>
      <w:r>
        <w:rPr>
          <w:rFonts w:ascii="Arial" w:cs="Arial" w:eastAsia="Arial" w:hAnsi="Arial"/>
          <w:sz w:val="18"/>
          <w:szCs w:val="18"/>
          <w:color w:val="auto"/>
        </w:rPr>
        <w:t>On June 5, 2020, contemporaneously with the completion of its Series B Financing, the Company entered into a Credit Agreement, or the Credit Agreement, with Perceptive Credit Holdings III, LP, an affiliate of Perceptive Advisors LLC, or Perceptive, that provided for an aggregate principal borrowing amount of up to $20.0 million, available in two tranches of $12.5 million and $7.5 million. Perceptive is a considered a related party to the Company based on its ownership of the Company’s common stock.</w:t>
      </w:r>
    </w:p>
    <w:p>
      <w:pPr>
        <w:spacing w:after="0" w:line="69"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In June 2020, the Company drew down on the first tranche of $12.5 million, or the Term Loan, which is outstanding as of September 30, 2021. The Company elected not to draw down the second tranche, which expired on June 30, 2021. The Term Loan bears interest at a variable rate using the greater of LIBOR or 1.75%, plus 9.50%, 11.25% as of September 30, 2021, and is secured by a lien on substantially all of the Company’s assets. The Credit Agreement requires the Company to maintain a minimum aggregate cash balance of $3.0 million in one or more controlled accounts and contains various affirmative and negative covenants that limit its ability to engage in specified types of transactions.</w:t>
      </w:r>
    </w:p>
    <w:p>
      <w:pPr>
        <w:spacing w:after="0" w:line="6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Company is required to make interest-only payments until December 5, 2022, after which point the Company will be required to make payments of principal equal to 2% of the Term Loan until maturity on June 5, 2024, or the Maturity Date. If the Company pays off the Term Loan prior to the Maturity Date, it will be required to pay a prepayment fee of $3.1 million as of September 30, 2021.</w:t>
      </w:r>
    </w:p>
    <w:p>
      <w:pPr>
        <w:spacing w:after="0" w:line="7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Under the terms of the Credit Agreement, Perceptive held a warrant to purchase up to 338,784 shares of the Company’s common stock at an exercise price of $8.86 per share. As further described in Note 10, Stockholders’ equity, in May 2021, Perceptive exercised its warrant using the net exercise method provided by the Credit Agreement.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83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48" w:right="339" w:bottom="1440" w:gutter="0" w:footer="0" w:header="0"/>
        </w:sectPr>
      </w:pPr>
    </w:p>
    <w:bookmarkStart w:id="20" w:name="page21"/>
    <w:bookmarkEnd w:id="20"/>
    <w:p>
      <w:pPr>
        <w:ind w:right="100"/>
        <w:spacing w:after="0" w:line="306" w:lineRule="auto"/>
        <w:rPr>
          <w:sz w:val="20"/>
          <w:szCs w:val="20"/>
          <w:color w:val="auto"/>
        </w:rPr>
      </w:pPr>
      <w:r>
        <w:rPr>
          <w:rFonts w:ascii="Arial" w:cs="Arial" w:eastAsia="Arial" w:hAnsi="Arial"/>
          <w:sz w:val="17"/>
          <w:szCs w:val="17"/>
          <w:color w:val="auto"/>
        </w:rPr>
        <w:t>The following table contains the anticipated future minimum payments on long-term debt as of September 30, 2021 for each of the years ending December 31 and a reconciliation to the carrying value of long-term debt on the Company’s condensed consolidated balance sheets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Undiscounted, minimum long-term debt payments:</w:t>
            </w:r>
          </w:p>
        </w:tc>
        <w:tc>
          <w:tcPr>
            <w:tcW w:w="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ind w:left="260"/>
              <w:spacing w:after="0"/>
              <w:rPr>
                <w:sz w:val="20"/>
                <w:szCs w:val="20"/>
                <w:color w:val="auto"/>
              </w:rPr>
            </w:pPr>
            <w:r>
              <w:rPr>
                <w:rFonts w:ascii="Arial" w:cs="Arial" w:eastAsia="Arial" w:hAnsi="Arial"/>
                <w:sz w:val="18"/>
                <w:szCs w:val="18"/>
                <w:color w:val="auto"/>
              </w:rPr>
              <w:t>Remaining 2021</w:t>
            </w:r>
          </w:p>
        </w:tc>
        <w:tc>
          <w:tcPr>
            <w:tcW w:w="720" w:type="dxa"/>
            <w:vAlign w:val="bottom"/>
            <w:gridSpan w:val="2"/>
          </w:tcPr>
          <w:p>
            <w:pPr>
              <w:jc w:val="right"/>
              <w:ind w:right="547"/>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9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2022</w:t>
            </w:r>
          </w:p>
        </w:tc>
        <w:tc>
          <w:tcPr>
            <w:tcW w:w="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9260" w:type="dxa"/>
            <w:vAlign w:val="bottom"/>
          </w:tcPr>
          <w:p>
            <w:pPr>
              <w:ind w:left="260"/>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9"/>
                <w:szCs w:val="19"/>
                <w:color w:val="auto"/>
              </w:rPr>
            </w:pPr>
          </w:p>
        </w:tc>
      </w:tr>
      <w:tr>
        <w:trPr>
          <w:trHeight w:val="229"/>
        </w:trPr>
        <w:tc>
          <w:tcPr>
            <w:tcW w:w="9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2024</w:t>
            </w:r>
          </w:p>
        </w:tc>
        <w:tc>
          <w:tcPr>
            <w:tcW w:w="2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9,500</w:t>
            </w:r>
          </w:p>
        </w:tc>
        <w:tc>
          <w:tcPr>
            <w:tcW w:w="100" w:type="dxa"/>
            <w:vAlign w:val="bottom"/>
            <w:shd w:val="clear" w:color="auto" w:fill="CFF0FC"/>
          </w:tcPr>
          <w:p>
            <w:pPr>
              <w:spacing w:after="0"/>
              <w:rPr>
                <w:sz w:val="19"/>
                <w:szCs w:val="19"/>
                <w:color w:val="auto"/>
              </w:rPr>
            </w:pPr>
          </w:p>
        </w:tc>
      </w:tr>
      <w:tr>
        <w:trPr>
          <w:trHeight w:val="222"/>
        </w:trPr>
        <w:tc>
          <w:tcPr>
            <w:tcW w:w="9260" w:type="dxa"/>
            <w:vAlign w:val="bottom"/>
          </w:tcPr>
          <w:p>
            <w:pPr>
              <w:spacing w:after="0"/>
              <w:rPr>
                <w:sz w:val="20"/>
                <w:szCs w:val="20"/>
                <w:color w:val="auto"/>
              </w:rPr>
            </w:pPr>
            <w:r>
              <w:rPr>
                <w:rFonts w:ascii="Arial" w:cs="Arial" w:eastAsia="Arial" w:hAnsi="Arial"/>
                <w:sz w:val="18"/>
                <w:szCs w:val="18"/>
                <w:color w:val="auto"/>
              </w:rPr>
              <w:t>Total undiscounted, minimum long-term debt payments</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12,500</w:t>
            </w:r>
          </w:p>
        </w:tc>
        <w:tc>
          <w:tcPr>
            <w:tcW w:w="100" w:type="dxa"/>
            <w:vAlign w:val="bottom"/>
          </w:tcPr>
          <w:p>
            <w:pPr>
              <w:spacing w:after="0"/>
              <w:rPr>
                <w:sz w:val="19"/>
                <w:szCs w:val="19"/>
                <w:color w:val="auto"/>
              </w:rPr>
            </w:pP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Less: Unamortized debt issuance costs and debt discount</w:t>
            </w:r>
          </w:p>
        </w:tc>
        <w:tc>
          <w:tcPr>
            <w:tcW w:w="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(1,912)</w:t>
            </w:r>
          </w:p>
        </w:tc>
      </w:tr>
      <w:tr>
        <w:trPr>
          <w:trHeight w:val="222"/>
        </w:trPr>
        <w:tc>
          <w:tcPr>
            <w:tcW w:w="9260" w:type="dxa"/>
            <w:vAlign w:val="bottom"/>
          </w:tcPr>
          <w:p>
            <w:pPr>
              <w:spacing w:after="0"/>
              <w:rPr>
                <w:sz w:val="20"/>
                <w:szCs w:val="20"/>
                <w:color w:val="auto"/>
              </w:rPr>
            </w:pPr>
            <w:r>
              <w:rPr>
                <w:rFonts w:ascii="Arial" w:cs="Arial" w:eastAsia="Arial" w:hAnsi="Arial"/>
                <w:sz w:val="18"/>
                <w:szCs w:val="18"/>
                <w:color w:val="auto"/>
              </w:rPr>
              <w:t>Total long-term debt—related party</w:t>
            </w:r>
          </w:p>
        </w:tc>
        <w:tc>
          <w:tcPr>
            <w:tcW w:w="20" w:type="dxa"/>
            <w:vAlign w:val="bottom"/>
            <w:tcBorders>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54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10,588</w:t>
            </w:r>
          </w:p>
        </w:tc>
        <w:tc>
          <w:tcPr>
            <w:tcW w:w="100" w:type="dxa"/>
            <w:vAlign w:val="bottom"/>
          </w:tcPr>
          <w:p>
            <w:pPr>
              <w:spacing w:after="0"/>
              <w:rPr>
                <w:sz w:val="19"/>
                <w:szCs w:val="19"/>
                <w:color w:val="auto"/>
              </w:rPr>
            </w:pPr>
          </w:p>
        </w:tc>
      </w:tr>
      <w:tr>
        <w:trPr>
          <w:trHeight w:val="20"/>
        </w:trPr>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Stockholders’ equity</w:t>
      </w:r>
    </w:p>
    <w:p>
      <w:pPr>
        <w:spacing w:after="0" w:line="120"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In October 2020, the Company authorized preferred stock issuable of 10,000,000 shares and increased its authorized common stock issuable to 150,000,000 shares, both with a $0.0001 par value per share.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 xml:space="preserve">As described in Note 1, </w:t>
      </w:r>
      <w:r>
        <w:rPr>
          <w:rFonts w:ascii="Arial" w:cs="Arial" w:eastAsia="Arial" w:hAnsi="Arial"/>
          <w:sz w:val="18"/>
          <w:szCs w:val="18"/>
          <w:i w:val="1"/>
          <w:iCs w:val="1"/>
          <w:color w:val="auto"/>
        </w:rPr>
        <w:t>Nature of the business and basis of presentation</w:t>
      </w:r>
      <w:r>
        <w:rPr>
          <w:rFonts w:ascii="Arial" w:cs="Arial" w:eastAsia="Arial" w:hAnsi="Arial"/>
          <w:sz w:val="18"/>
          <w:szCs w:val="18"/>
          <w:color w:val="auto"/>
        </w:rPr>
        <w:t>, on September 25, 2020 the Company effected a one-for-8.4335 reverse stock split of its issued and then outstanding common stock, stock options and common stock warrant and a proportional adjustment to the existing conversion ratios for the Company’s convertible preferred stock. Accordingly, all issued and then outstanding common stock, options to purchase common stock and per share amounts contained in the condensed consolidated financial statements have been retroactively adjusted to give effect to the reverse stock split for all periods presented.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offerings of common stock</w:t>
      </w:r>
    </w:p>
    <w:p>
      <w:pPr>
        <w:spacing w:after="0" w:line="116"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On October 6, 2020, the Company completed its IPO at which time the Company issued 11,040,000 shares of its common stock at a price to the public of $19.00 per share, which number includes 1,440,000 shares of common stock that were issued to the underwriters for the IPO when they exercised in full their overallotment option. Upon the closing of the IPO, all outstanding shares of the Company’s redeemable convertible preferred stock automatically converted into 30,355,379 shares of common stock.</w:t>
      </w:r>
    </w:p>
    <w:p>
      <w:pPr>
        <w:spacing w:after="0" w:line="80"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In June 2021, the Company completed a follow-on offering, at which time the Company issued 4,887,500 shares of its common stock, including 637,500 shares of common stock that were issued to the underwriters when they exercised in full their overallotment option. Net proceeds from the follow-on offering, including the exercise in full of the underwriters’ option to purchase additional shares, were $169.5 million, after deducting underwriting discounts and commissions, and expenses.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Perceptive warrant – related party</w:t>
      </w:r>
    </w:p>
    <w:p>
      <w:pPr>
        <w:spacing w:after="0" w:line="116"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 xml:space="preserve">As described in Note 9, </w:t>
      </w:r>
      <w:r>
        <w:rPr>
          <w:rFonts w:ascii="Arial" w:cs="Arial" w:eastAsia="Arial" w:hAnsi="Arial"/>
          <w:sz w:val="16"/>
          <w:szCs w:val="16"/>
          <w:i w:val="1"/>
          <w:iCs w:val="1"/>
          <w:color w:val="auto"/>
        </w:rPr>
        <w:t>Long-term debt and warrant – related party</w:t>
      </w:r>
      <w:r>
        <w:rPr>
          <w:rFonts w:ascii="Arial" w:cs="Arial" w:eastAsia="Arial" w:hAnsi="Arial"/>
          <w:sz w:val="16"/>
          <w:szCs w:val="16"/>
          <w:color w:val="auto"/>
        </w:rPr>
        <w:t>, Perceptive held a warrant to purchase up to 338,784 shares of the Company’s common stock at an exercise price of $8.86 per share. In May 2021, Perceptive exercised its warrant using the net exercise method provided by the Credit Agreement. Under the net exercise method, Perceptive requested that the Company withhold the number of shares equivalent to the aggregate exercise price, or $3.0 million. As a result of the net exercise, the Company issued Perceptive 256,038 shares of the Company’s common stock.</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Stock-based compensation</w:t>
      </w:r>
    </w:p>
    <w:p>
      <w:pPr>
        <w:spacing w:after="0" w:line="120"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C4 Therapeutics, Inc. 2015 Incentive Stock Option and Grant Plan, or the 2015 Plan, adopted by the Company’s board of directors in December 2015 provides for the grant of incentive stock options, nonqualified stock options and restricted stock awards to eligible employees, outside directors and consultants of the Company.</w:t>
      </w:r>
    </w:p>
    <w:p>
      <w:pPr>
        <w:spacing w:after="0" w:line="74"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In September 2020, the Company’s board of directors adopted the C4 Therapeutics, Inc. 2020 Stock Option and Incentive Plan, or the 2020 Plan. Following the effectiveness of the 2020 Plan, the Company ceased making grants under the 2015 Plan. However, the 2015 Plan continues to govern the terms and conditions of the outstanding awards granted under it. Shares of common stock subject to awards granted under the 2015 Plan that cease to be subject to such awards by forfeiture or otherwise after the termination of the 2015 Plan will be available for issuance under the 2020 Plan. As of September 30, 2021, the Company had 9,798,580 shares reserved under the 2020 Plan and 2015 Plan, and 3,916,276 shares available for future issuance under the 2020 Plan.</w:t>
      </w:r>
    </w:p>
    <w:p>
      <w:pPr>
        <w:spacing w:after="0" w:line="5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March 3, 2020, the Company’s former president and chief executive officer, or the Former CEO, terminated employment with the Company. The Company repurchased all of the Former CEO’s exercised shares for total consideration of $0.1 million. The Former CEO also relinquished his right to purchase common shares through the exercise of vested options, for total consideration paid by the Company of $0.7 million. The Company recorded the repurchase liability once the termination was deemed probable during the nine months ended September 30, 2020. The Company recognized the repurchase price of the common shares and the relinquishment of the vested options in additional-paid-in-capital on the condensed consolidated balance sheet as of March 31, 2020.</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83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1" w:name="page22"/>
    <w:bookmarkEnd w:id="21"/>
    <w:p>
      <w:pPr>
        <w:ind w:right="700"/>
        <w:spacing w:after="0" w:line="276" w:lineRule="auto"/>
        <w:rPr>
          <w:sz w:val="20"/>
          <w:szCs w:val="20"/>
          <w:color w:val="auto"/>
        </w:rPr>
      </w:pPr>
      <w:r>
        <w:rPr>
          <w:rFonts w:ascii="Arial" w:cs="Arial" w:eastAsia="Arial" w:hAnsi="Arial"/>
          <w:sz w:val="18"/>
          <w:szCs w:val="18"/>
          <w:color w:val="auto"/>
        </w:rPr>
        <w:t>Stock-based compensation expense for the three and nine months ended September 30, 2021 and 2020 was classified in the Company’s condensed consolidated statement of operations and comprehensive loss as follows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2880" w:type="dxa"/>
            <w:vAlign w:val="bottom"/>
            <w:gridSpan w:val="6"/>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4"/>
                <w:szCs w:val="14"/>
                <w:color w:val="auto"/>
              </w:rPr>
            </w:pPr>
          </w:p>
        </w:tc>
        <w:tc>
          <w:tcPr>
            <w:tcW w:w="2580" w:type="dxa"/>
            <w:vAlign w:val="bottom"/>
            <w:gridSpan w:val="5"/>
          </w:tcPr>
          <w:p>
            <w:pPr>
              <w:jc w:val="right"/>
              <w:ind w:right="275"/>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155"/>
        </w:trPr>
        <w:tc>
          <w:tcPr>
            <w:tcW w:w="5620" w:type="dxa"/>
            <w:vAlign w:val="bottom"/>
            <w:tcBorders>
              <w:bottom w:val="single" w:sz="8" w:color="CFF0FC"/>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4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95"/>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497"/>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75"/>
              <w:spacing w:after="0" w:line="155" w:lineRule="exact"/>
              <w:rPr>
                <w:sz w:val="20"/>
                <w:szCs w:val="20"/>
                <w:color w:val="auto"/>
              </w:rPr>
            </w:pPr>
            <w:r>
              <w:rPr>
                <w:rFonts w:ascii="Arial" w:cs="Arial" w:eastAsia="Arial" w:hAnsi="Arial"/>
                <w:sz w:val="14"/>
                <w:szCs w:val="14"/>
                <w:b w:val="1"/>
                <w:bCs w:val="1"/>
                <w:color w:val="auto"/>
              </w:rPr>
              <w:t>2020</w:t>
            </w:r>
          </w:p>
        </w:tc>
      </w:tr>
      <w:tr>
        <w:trPr>
          <w:trHeight w:val="222"/>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7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r>
      <w:tr>
        <w:trPr>
          <w:trHeight w:val="229"/>
        </w:trPr>
        <w:tc>
          <w:tcPr>
            <w:tcW w:w="562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760" w:type="dxa"/>
            <w:vAlign w:val="bottom"/>
          </w:tcPr>
          <w:p>
            <w:pPr>
              <w:jc w:val="right"/>
              <w:ind w:right="579"/>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2,054</w:t>
            </w:r>
          </w:p>
        </w:tc>
        <w:tc>
          <w:tcPr>
            <w:tcW w:w="40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345</w:t>
            </w:r>
          </w:p>
        </w:tc>
        <w:tc>
          <w:tcPr>
            <w:tcW w:w="14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5,165</w:t>
            </w:r>
          </w:p>
        </w:tc>
        <w:tc>
          <w:tcPr>
            <w:tcW w:w="140" w:type="dxa"/>
            <w:vAlign w:val="bottom"/>
          </w:tcPr>
          <w:p>
            <w:pPr>
              <w:spacing w:after="0"/>
              <w:rPr>
                <w:sz w:val="19"/>
                <w:szCs w:val="19"/>
                <w:color w:val="auto"/>
              </w:rPr>
            </w:pP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620</w:t>
            </w:r>
          </w:p>
        </w:tc>
      </w:tr>
      <w:tr>
        <w:trPr>
          <w:trHeight w:val="229"/>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76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88"/>
              </w:rPr>
              <w:t>4,032</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91</w:t>
            </w: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9,994</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93</w:t>
            </w:r>
          </w:p>
        </w:tc>
      </w:tr>
      <w:tr>
        <w:trPr>
          <w:trHeight w:val="222"/>
        </w:trPr>
        <w:tc>
          <w:tcPr>
            <w:tcW w:w="562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760" w:type="dxa"/>
            <w:vAlign w:val="bottom"/>
            <w:tcBorders>
              <w:bottom w:val="single" w:sz="8" w:color="auto"/>
            </w:tcBorders>
          </w:tcPr>
          <w:p>
            <w:pPr>
              <w:jc w:val="right"/>
              <w:ind w:right="57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8"/>
              </w:rPr>
              <w:t>6,086</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436</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15,159</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713</w:t>
            </w:r>
          </w:p>
        </w:tc>
      </w:tr>
      <w:tr>
        <w:trPr>
          <w:trHeight w:val="20"/>
        </w:trPr>
        <w:tc>
          <w:tcPr>
            <w:tcW w:w="56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stock option activity under the Company’s equity awards plans for the nine months ended September 30, 2021:</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19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71"/>
        </w:trPr>
        <w:tc>
          <w:tcPr>
            <w:tcW w:w="7540" w:type="dxa"/>
            <w:vAlign w:val="bottom"/>
          </w:tcPr>
          <w:p>
            <w:pPr>
              <w:spacing w:after="0"/>
              <w:rPr>
                <w:sz w:val="14"/>
                <w:szCs w:val="14"/>
                <w:color w:val="auto"/>
              </w:rPr>
            </w:pPr>
          </w:p>
        </w:tc>
        <w:tc>
          <w:tcPr>
            <w:tcW w:w="19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Stock Options</w:t>
            </w:r>
          </w:p>
        </w:tc>
        <w:tc>
          <w:tcPr>
            <w:tcW w:w="160" w:type="dxa"/>
            <w:vAlign w:val="bottom"/>
          </w:tcPr>
          <w:p>
            <w:pPr>
              <w:spacing w:after="0"/>
              <w:rPr>
                <w:sz w:val="14"/>
                <w:szCs w:val="14"/>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222"/>
        </w:trPr>
        <w:tc>
          <w:tcPr>
            <w:tcW w:w="7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December 31, 2020</w:t>
            </w: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5,029,364</w:t>
            </w: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tcPr>
          <w:p>
            <w:pPr>
              <w:ind w:left="260"/>
              <w:spacing w:after="0"/>
              <w:rPr>
                <w:sz w:val="20"/>
                <w:szCs w:val="20"/>
                <w:color w:val="auto"/>
              </w:rPr>
            </w:pPr>
            <w:r>
              <w:rPr>
                <w:rFonts w:ascii="Arial" w:cs="Arial" w:eastAsia="Arial" w:hAnsi="Arial"/>
                <w:sz w:val="18"/>
                <w:szCs w:val="18"/>
                <w:color w:val="auto"/>
              </w:rPr>
              <w:t>Granted</w:t>
            </w:r>
          </w:p>
        </w:tc>
        <w:tc>
          <w:tcPr>
            <w:tcW w:w="1640" w:type="dxa"/>
            <w:vAlign w:val="bottom"/>
          </w:tcPr>
          <w:p>
            <w:pPr>
              <w:jc w:val="right"/>
              <w:spacing w:after="0"/>
              <w:rPr>
                <w:sz w:val="20"/>
                <w:szCs w:val="20"/>
                <w:color w:val="auto"/>
              </w:rPr>
            </w:pPr>
            <w:r>
              <w:rPr>
                <w:rFonts w:ascii="Arial" w:cs="Arial" w:eastAsia="Arial" w:hAnsi="Arial"/>
                <w:sz w:val="18"/>
                <w:szCs w:val="18"/>
                <w:color w:val="auto"/>
              </w:rPr>
              <w:t>1,629,304</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41.85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(380,688)</w:t>
            </w: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tcPr>
          <w:p>
            <w:pPr>
              <w:ind w:left="260"/>
              <w:spacing w:after="0"/>
              <w:rPr>
                <w:sz w:val="20"/>
                <w:szCs w:val="20"/>
                <w:color w:val="auto"/>
              </w:rPr>
            </w:pPr>
            <w:r>
              <w:rPr>
                <w:rFonts w:ascii="Arial" w:cs="Arial" w:eastAsia="Arial" w:hAnsi="Arial"/>
                <w:sz w:val="18"/>
                <w:szCs w:val="18"/>
                <w:color w:val="auto"/>
              </w:rPr>
              <w:t>Cancelled or forfeited</w:t>
            </w:r>
          </w:p>
        </w:tc>
        <w:tc>
          <w:tcPr>
            <w:tcW w:w="1940" w:type="dxa"/>
            <w:vAlign w:val="bottom"/>
            <w:gridSpan w:val="2"/>
          </w:tcPr>
          <w:p>
            <w:pPr>
              <w:jc w:val="right"/>
              <w:ind w:right="240"/>
              <w:spacing w:after="0"/>
              <w:rPr>
                <w:sz w:val="20"/>
                <w:szCs w:val="20"/>
                <w:color w:val="auto"/>
              </w:rPr>
            </w:pPr>
            <w:r>
              <w:rPr>
                <w:rFonts w:ascii="Arial" w:cs="Arial" w:eastAsia="Arial" w:hAnsi="Arial"/>
                <w:sz w:val="18"/>
                <w:szCs w:val="18"/>
                <w:color w:val="auto"/>
              </w:rPr>
              <w:t>(395,676)</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5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September 30, 2021</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5,882,304</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8"/>
                <w:szCs w:val="18"/>
                <w:color w:val="auto"/>
              </w:rPr>
              <w:t>Options exercisable as of September 30, 2021</w:t>
            </w:r>
          </w:p>
        </w:tc>
        <w:tc>
          <w:tcPr>
            <w:tcW w:w="1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540" w:type="dxa"/>
            <w:vAlign w:val="bottom"/>
            <w:tcBorders>
              <w:bottom w:val="single" w:sz="8" w:color="CFF0FC"/>
            </w:tcBorders>
            <w:vMerge w:val="continue"/>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1,120,931</w:t>
            </w:r>
          </w:p>
        </w:tc>
        <w:tc>
          <w:tcPr>
            <w:tcW w:w="30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15.48</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7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Vested and expected to vest as of September 30, 2021</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5,882,304</w:t>
            </w:r>
          </w:p>
        </w:tc>
        <w:tc>
          <w:tcPr>
            <w:tcW w:w="3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21.29</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auto"/>
        </w:rPr>
        <w:t>As of September 30, 2021, the unrecognized compensation cost related to outstanding options was $72.8 million, which is expected to be recognized over a weighted-average period of 3.1 years.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Income taxes</w:t>
      </w:r>
    </w:p>
    <w:p>
      <w:pPr>
        <w:spacing w:after="0" w:line="120" w:lineRule="exact"/>
        <w:rPr>
          <w:sz w:val="20"/>
          <w:szCs w:val="20"/>
          <w:color w:val="auto"/>
        </w:rPr>
      </w:pPr>
    </w:p>
    <w:p>
      <w:pPr>
        <w:ind w:right="840"/>
        <w:spacing w:after="0" w:line="276" w:lineRule="auto"/>
        <w:rPr>
          <w:sz w:val="20"/>
          <w:szCs w:val="20"/>
          <w:color w:val="auto"/>
        </w:rPr>
      </w:pPr>
      <w:r>
        <w:rPr>
          <w:rFonts w:ascii="Arial" w:cs="Arial" w:eastAsia="Arial" w:hAnsi="Arial"/>
          <w:sz w:val="18"/>
          <w:szCs w:val="18"/>
          <w:color w:val="auto"/>
        </w:rPr>
        <w:t>Income tax benefit for the three and nine months ended September 30, 2021 and 2020 in the condensed consolidated statement of operations and comprehensive loss are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2880" w:type="dxa"/>
            <w:vAlign w:val="bottom"/>
            <w:gridSpan w:val="6"/>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4"/>
                <w:szCs w:val="14"/>
                <w:color w:val="auto"/>
              </w:rPr>
            </w:pPr>
          </w:p>
        </w:tc>
        <w:tc>
          <w:tcPr>
            <w:tcW w:w="2580" w:type="dxa"/>
            <w:vAlign w:val="bottom"/>
            <w:gridSpan w:val="5"/>
          </w:tcPr>
          <w:p>
            <w:pPr>
              <w:ind w:left="80"/>
              <w:spacing w:after="0"/>
              <w:rPr>
                <w:sz w:val="20"/>
                <w:szCs w:val="20"/>
                <w:color w:val="auto"/>
              </w:rPr>
            </w:pPr>
            <w:r>
              <w:rPr>
                <w:rFonts w:ascii="Arial" w:cs="Arial" w:eastAsia="Arial" w:hAnsi="Arial"/>
                <w:sz w:val="14"/>
                <w:szCs w:val="14"/>
                <w:b w:val="1"/>
                <w:bCs w:val="1"/>
                <w:color w:val="auto"/>
              </w:rPr>
              <w:t>Nine Months Ended September 30,</w:t>
            </w:r>
          </w:p>
        </w:tc>
      </w:tr>
      <w:tr>
        <w:trPr>
          <w:trHeight w:val="155"/>
        </w:trPr>
        <w:tc>
          <w:tcPr>
            <w:tcW w:w="5620" w:type="dxa"/>
            <w:vAlign w:val="bottom"/>
            <w:tcBorders>
              <w:bottom w:val="single" w:sz="8" w:color="CFF0FC"/>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42"/>
              <w:spacing w:after="0" w:line="155"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99"/>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02"/>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2"/>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w:t>
            </w:r>
          </w:p>
        </w:tc>
        <w:tc>
          <w:tcPr>
            <w:tcW w:w="860" w:type="dxa"/>
            <w:vAlign w:val="bottom"/>
            <w:shd w:val="clear" w:color="auto" w:fill="CFF0FC"/>
          </w:tcPr>
          <w:p>
            <w:pPr>
              <w:jc w:val="right"/>
              <w:ind w:right="682"/>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FF0FC"/>
          </w:tcPr>
          <w:p>
            <w:pPr>
              <w:ind w:left="14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FF0FC"/>
          </w:tcPr>
          <w:p>
            <w:pPr>
              <w:spacing w:after="0"/>
              <w:rPr>
                <w:sz w:val="19"/>
                <w:szCs w:val="19"/>
                <w:color w:val="auto"/>
              </w:rPr>
            </w:pPr>
          </w:p>
        </w:tc>
      </w:tr>
    </w:tbl>
    <w:p>
      <w:pPr>
        <w:spacing w:after="0" w:line="93" w:lineRule="exact"/>
        <w:rPr>
          <w:sz w:val="20"/>
          <w:szCs w:val="20"/>
          <w:color w:val="auto"/>
        </w:rPr>
      </w:pPr>
    </w:p>
    <w:p>
      <w:pPr>
        <w:ind w:right="740"/>
        <w:spacing w:after="0" w:line="276" w:lineRule="auto"/>
        <w:rPr>
          <w:sz w:val="20"/>
          <w:szCs w:val="20"/>
          <w:color w:val="auto"/>
        </w:rPr>
      </w:pPr>
      <w:r>
        <w:rPr>
          <w:rFonts w:ascii="Arial" w:cs="Arial" w:eastAsia="Arial" w:hAnsi="Arial"/>
          <w:sz w:val="18"/>
          <w:szCs w:val="18"/>
          <w:color w:val="auto"/>
        </w:rPr>
        <w:t>As of September 30, 2021 and December 31, 2020, the Company recorded a full valuation allowance on federal and state deferred tax assets since management does not forecast the Company to be in a profitable position in the near future.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Loss per share</w:t>
      </w:r>
    </w:p>
    <w:p>
      <w:pPr>
        <w:spacing w:after="0" w:line="120"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For periods in which the Company reports a net loss attributable to common stockholders, potentially dilutive securities have been excluded from the computation of diluted net loss per share as their effects would be anti-dilutive. Therefore, the weighted average number of common shares outstanding used to calculate both basic and diluted net loss per share attributable to common stockholders is the same. The Company excluded the following potential common shares presented based on amounts outstanding at period end, from the computation of diluted net loss per share attributable to common stockholders for the periods indicated because including them would have had an anti-dilutive effect: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40" w:type="dxa"/>
            <w:vAlign w:val="bottom"/>
          </w:tcPr>
          <w:p>
            <w:pPr>
              <w:spacing w:after="0"/>
              <w:rPr>
                <w:sz w:val="14"/>
                <w:szCs w:val="14"/>
                <w:color w:val="auto"/>
              </w:rPr>
            </w:pPr>
          </w:p>
        </w:tc>
        <w:tc>
          <w:tcPr>
            <w:tcW w:w="2500" w:type="dxa"/>
            <w:vAlign w:val="bottom"/>
            <w:tcBorders>
              <w:bottom w:val="single" w:sz="8" w:color="auto"/>
            </w:tcBorders>
            <w:gridSpan w:val="3"/>
          </w:tcPr>
          <w:p>
            <w:pPr>
              <w:ind w:left="1180"/>
              <w:spacing w:after="0"/>
              <w:rPr>
                <w:sz w:val="20"/>
                <w:szCs w:val="20"/>
                <w:color w:val="auto"/>
              </w:rPr>
            </w:pPr>
            <w:r>
              <w:rPr>
                <w:rFonts w:ascii="Arial" w:cs="Arial" w:eastAsia="Arial" w:hAnsi="Arial"/>
                <w:sz w:val="14"/>
                <w:szCs w:val="14"/>
                <w:b w:val="1"/>
                <w:bCs w:val="1"/>
                <w:color w:val="auto"/>
                <w:w w:val="96"/>
              </w:rPr>
              <w:t>As of September 30,</w:t>
            </w:r>
          </w:p>
        </w:tc>
        <w:tc>
          <w:tcPr>
            <w:tcW w:w="10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7540" w:type="dxa"/>
            <w:vAlign w:val="bottom"/>
            <w:tcBorders>
              <w:bottom w:val="single" w:sz="8" w:color="CFF0FC"/>
            </w:tcBorders>
          </w:tcPr>
          <w:p>
            <w:pPr>
              <w:spacing w:after="0"/>
              <w:rPr>
                <w:sz w:val="13"/>
                <w:szCs w:val="13"/>
                <w:color w:val="auto"/>
              </w:rPr>
            </w:pPr>
          </w:p>
        </w:tc>
        <w:tc>
          <w:tcPr>
            <w:tcW w:w="1640" w:type="dxa"/>
            <w:vAlign w:val="bottom"/>
            <w:tcBorders>
              <w:bottom w:val="single" w:sz="8" w:color="auto"/>
            </w:tcBorders>
          </w:tcPr>
          <w:p>
            <w:pPr>
              <w:jc w:val="right"/>
              <w:ind w:right="595"/>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93"/>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222"/>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Anti-dilutive common stock equivalents:</w:t>
            </w:r>
          </w:p>
        </w:tc>
        <w:tc>
          <w:tcPr>
            <w:tcW w:w="1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540" w:type="dxa"/>
            <w:vAlign w:val="bottom"/>
          </w:tcPr>
          <w:p>
            <w:pPr>
              <w:ind w:left="260"/>
              <w:spacing w:after="0"/>
              <w:rPr>
                <w:sz w:val="20"/>
                <w:szCs w:val="20"/>
                <w:color w:val="auto"/>
              </w:rPr>
            </w:pPr>
            <w:r>
              <w:rPr>
                <w:rFonts w:ascii="Arial" w:cs="Arial" w:eastAsia="Arial" w:hAnsi="Arial"/>
                <w:sz w:val="18"/>
                <w:szCs w:val="18"/>
                <w:color w:val="auto"/>
              </w:rPr>
              <w:t>Series Seed Preferred Stock</w:t>
            </w:r>
          </w:p>
        </w:tc>
        <w:tc>
          <w:tcPr>
            <w:tcW w:w="2500" w:type="dxa"/>
            <w:vAlign w:val="bottom"/>
            <w:gridSpan w:val="3"/>
          </w:tcPr>
          <w:p>
            <w:pPr>
              <w:jc w:val="right"/>
              <w:ind w:right="8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474,298</w:t>
            </w:r>
          </w:p>
        </w:tc>
        <w:tc>
          <w:tcPr>
            <w:tcW w:w="120" w:type="dxa"/>
            <w:vAlign w:val="bottom"/>
          </w:tcPr>
          <w:p>
            <w:pPr>
              <w:spacing w:after="0"/>
              <w:rPr>
                <w:sz w:val="19"/>
                <w:szCs w:val="19"/>
                <w:color w:val="auto"/>
              </w:rPr>
            </w:pPr>
          </w:p>
        </w:tc>
      </w:tr>
      <w:tr>
        <w:trPr>
          <w:trHeight w:val="229"/>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Series A Preferred Stock</w:t>
            </w:r>
          </w:p>
        </w:tc>
        <w:tc>
          <w:tcPr>
            <w:tcW w:w="2500" w:type="dxa"/>
            <w:vAlign w:val="bottom"/>
            <w:gridSpan w:val="3"/>
            <w:shd w:val="clear" w:color="auto" w:fill="CFF0FC"/>
          </w:tcPr>
          <w:p>
            <w:pPr>
              <w:jc w:val="right"/>
              <w:ind w:right="8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12,941,857</w:t>
            </w:r>
          </w:p>
        </w:tc>
        <w:tc>
          <w:tcPr>
            <w:tcW w:w="120" w:type="dxa"/>
            <w:vAlign w:val="bottom"/>
            <w:shd w:val="clear" w:color="auto" w:fill="CFF0FC"/>
          </w:tcPr>
          <w:p>
            <w:pPr>
              <w:spacing w:after="0"/>
              <w:rPr>
                <w:sz w:val="19"/>
                <w:szCs w:val="19"/>
                <w:color w:val="auto"/>
              </w:rPr>
            </w:pPr>
          </w:p>
        </w:tc>
      </w:tr>
      <w:tr>
        <w:trPr>
          <w:trHeight w:val="229"/>
        </w:trPr>
        <w:tc>
          <w:tcPr>
            <w:tcW w:w="7540" w:type="dxa"/>
            <w:vAlign w:val="bottom"/>
          </w:tcPr>
          <w:p>
            <w:pPr>
              <w:ind w:left="260"/>
              <w:spacing w:after="0"/>
              <w:rPr>
                <w:sz w:val="20"/>
                <w:szCs w:val="20"/>
                <w:color w:val="auto"/>
              </w:rPr>
            </w:pPr>
            <w:r>
              <w:rPr>
                <w:rFonts w:ascii="Arial" w:cs="Arial" w:eastAsia="Arial" w:hAnsi="Arial"/>
                <w:sz w:val="18"/>
                <w:szCs w:val="18"/>
                <w:color w:val="auto"/>
              </w:rPr>
              <w:t>Series B Preferred Stock</w:t>
            </w:r>
          </w:p>
        </w:tc>
        <w:tc>
          <w:tcPr>
            <w:tcW w:w="2500" w:type="dxa"/>
            <w:vAlign w:val="bottom"/>
            <w:gridSpan w:val="3"/>
          </w:tcPr>
          <w:p>
            <w:pPr>
              <w:jc w:val="right"/>
              <w:ind w:right="8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16,939,224</w:t>
            </w:r>
          </w:p>
        </w:tc>
        <w:tc>
          <w:tcPr>
            <w:tcW w:w="120" w:type="dxa"/>
            <w:vAlign w:val="bottom"/>
          </w:tcPr>
          <w:p>
            <w:pPr>
              <w:spacing w:after="0"/>
              <w:rPr>
                <w:sz w:val="19"/>
                <w:szCs w:val="19"/>
                <w:color w:val="auto"/>
              </w:rPr>
            </w:pPr>
          </w:p>
        </w:tc>
      </w:tr>
      <w:tr>
        <w:trPr>
          <w:trHeight w:val="229"/>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Warrant to purchase common stock</w:t>
            </w:r>
          </w:p>
        </w:tc>
        <w:tc>
          <w:tcPr>
            <w:tcW w:w="2500" w:type="dxa"/>
            <w:vAlign w:val="bottom"/>
            <w:gridSpan w:val="3"/>
            <w:shd w:val="clear" w:color="auto" w:fill="CFF0FC"/>
          </w:tcPr>
          <w:p>
            <w:pPr>
              <w:jc w:val="right"/>
              <w:ind w:right="8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338,784</w:t>
            </w:r>
          </w:p>
        </w:tc>
        <w:tc>
          <w:tcPr>
            <w:tcW w:w="120" w:type="dxa"/>
            <w:vAlign w:val="bottom"/>
            <w:shd w:val="clear" w:color="auto" w:fill="CFF0FC"/>
          </w:tcPr>
          <w:p>
            <w:pPr>
              <w:spacing w:after="0"/>
              <w:rPr>
                <w:sz w:val="19"/>
                <w:szCs w:val="19"/>
                <w:color w:val="auto"/>
              </w:rPr>
            </w:pPr>
          </w:p>
        </w:tc>
      </w:tr>
      <w:tr>
        <w:trPr>
          <w:trHeight w:val="229"/>
        </w:trPr>
        <w:tc>
          <w:tcPr>
            <w:tcW w:w="75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Options to purchase common stock</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5,882,304</w:t>
            </w:r>
          </w:p>
        </w:tc>
        <w:tc>
          <w:tcPr>
            <w:tcW w:w="30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2,355,854</w:t>
            </w:r>
          </w:p>
        </w:tc>
        <w:tc>
          <w:tcPr>
            <w:tcW w:w="120" w:type="dxa"/>
            <w:vAlign w:val="bottom"/>
            <w:tcBorders>
              <w:bottom w:val="single" w:sz="8" w:color="CFF0FC"/>
            </w:tcBorders>
          </w:tcPr>
          <w:p>
            <w:pPr>
              <w:spacing w:after="0"/>
              <w:rPr>
                <w:sz w:val="19"/>
                <w:szCs w:val="19"/>
                <w:color w:val="auto"/>
              </w:rPr>
            </w:pPr>
          </w:p>
        </w:tc>
      </w:tr>
      <w:tr>
        <w:trPr>
          <w:trHeight w:val="222"/>
        </w:trPr>
        <w:tc>
          <w:tcPr>
            <w:tcW w:w="7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anti-dilutive common stock equivalents</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5,882,304</w:t>
            </w:r>
          </w:p>
        </w:tc>
        <w:tc>
          <w:tcPr>
            <w:tcW w:w="30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33,050,017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5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60"/>
        <w:spacing w:after="0" w:line="276" w:lineRule="auto"/>
        <w:rPr>
          <w:sz w:val="20"/>
          <w:szCs w:val="20"/>
          <w:color w:val="auto"/>
        </w:rPr>
      </w:pPr>
      <w:r>
        <w:rPr>
          <w:rFonts w:ascii="Arial" w:cs="Arial" w:eastAsia="Arial" w:hAnsi="Arial"/>
          <w:sz w:val="18"/>
          <w:szCs w:val="18"/>
          <w:color w:val="auto"/>
        </w:rPr>
        <w:t>All redeemable, convertible preferred stock, including those that were outstanding as of September 30, 2020, as shown above, were effected for a one-for-8.4335 reverse stock split and converted to shares of the Company’s common stock.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83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48" w:right="339" w:bottom="1440" w:gutter="0" w:footer="0" w:header="0"/>
        </w:sectPr>
      </w:pPr>
    </w:p>
    <w:bookmarkStart w:id="22" w:name="page23"/>
    <w:bookmarkEnd w:id="22"/>
    <w:p>
      <w:pPr>
        <w:ind w:right="60"/>
        <w:spacing w:after="0" w:line="276" w:lineRule="auto"/>
        <w:rPr>
          <w:sz w:val="20"/>
          <w:szCs w:val="20"/>
          <w:color w:val="auto"/>
        </w:rPr>
      </w:pPr>
      <w:r>
        <w:rPr>
          <w:rFonts w:ascii="Arial" w:cs="Arial" w:eastAsia="Arial" w:hAnsi="Arial"/>
          <w:sz w:val="18"/>
          <w:szCs w:val="18"/>
          <w:color w:val="auto"/>
        </w:rPr>
        <w:t>Basic and diluted loss per share is computed by dividing net loss attributable to common stockholders by the weighted-average common shares outstanding for the three and nine months ended September 30, 2021 and 2020 (in thousands, except share and per share data):</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4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4"/>
              </w:rPr>
              <w:t>Three Months Ended September 30,</w:t>
            </w:r>
          </w:p>
        </w:tc>
        <w:tc>
          <w:tcPr>
            <w:tcW w:w="160" w:type="dxa"/>
            <w:vAlign w:val="bottom"/>
          </w:tcPr>
          <w:p>
            <w:pPr>
              <w:spacing w:after="0"/>
              <w:rPr>
                <w:sz w:val="14"/>
                <w:szCs w:val="14"/>
                <w:color w:val="auto"/>
              </w:rPr>
            </w:pPr>
          </w:p>
        </w:tc>
        <w:tc>
          <w:tcPr>
            <w:tcW w:w="258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155"/>
        </w:trPr>
        <w:tc>
          <w:tcPr>
            <w:tcW w:w="548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95"/>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2"/>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480" w:type="dxa"/>
            <w:vAlign w:val="bottom"/>
          </w:tcPr>
          <w:p>
            <w:pPr>
              <w:ind w:left="260"/>
              <w:spacing w:after="0"/>
              <w:rPr>
                <w:sz w:val="20"/>
                <w:szCs w:val="20"/>
                <w:color w:val="auto"/>
              </w:rPr>
            </w:pPr>
            <w:r>
              <w:rPr>
                <w:rFonts w:ascii="Arial" w:cs="Arial" w:eastAsia="Arial" w:hAnsi="Arial"/>
                <w:sz w:val="18"/>
                <w:szCs w:val="18"/>
                <w:color w:val="auto"/>
              </w:rPr>
              <w:t>Net loss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(24,683)</w:t>
            </w:r>
          </w:p>
        </w:tc>
        <w:tc>
          <w:tcPr>
            <w:tcW w:w="3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(21,835)</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(68,234)</w:t>
            </w:r>
          </w:p>
        </w:tc>
        <w:tc>
          <w:tcPr>
            <w:tcW w:w="3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(44,540)</w:t>
            </w:r>
          </w:p>
        </w:tc>
      </w:tr>
      <w:tr>
        <w:trPr>
          <w:trHeight w:val="229"/>
        </w:trPr>
        <w:tc>
          <w:tcPr>
            <w:tcW w:w="5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Accrual of preferred stock dividends</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(5,212)</w:t>
            </w: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(10,363)</w:t>
            </w:r>
          </w:p>
        </w:tc>
      </w:tr>
      <w:tr>
        <w:trPr>
          <w:trHeight w:val="262"/>
        </w:trPr>
        <w:tc>
          <w:tcPr>
            <w:tcW w:w="54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loss attributable to common stockholders</w:t>
            </w:r>
          </w:p>
        </w:tc>
        <w:tc>
          <w:tcPr>
            <w:tcW w:w="14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(24,683)</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(27,047)</w:t>
            </w:r>
          </w:p>
        </w:tc>
        <w:tc>
          <w:tcPr>
            <w:tcW w:w="24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(68,234)</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(54,903)</w:t>
            </w:r>
          </w:p>
        </w:tc>
        <w:tc>
          <w:tcPr>
            <w:tcW w:w="100" w:type="dxa"/>
            <w:vAlign w:val="bottom"/>
            <w:tcBorders>
              <w:bottom w:val="single" w:sz="8" w:color="CFF0FC"/>
            </w:tcBorders>
          </w:tcPr>
          <w:p>
            <w:pPr>
              <w:spacing w:after="0"/>
              <w:rPr>
                <w:sz w:val="22"/>
                <w:szCs w:val="22"/>
                <w:color w:val="auto"/>
              </w:rPr>
            </w:pPr>
          </w:p>
        </w:tc>
      </w:tr>
      <w:tr>
        <w:trPr>
          <w:trHeight w:val="209"/>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5480" w:type="dxa"/>
            <w:vAlign w:val="bottom"/>
          </w:tcPr>
          <w:p>
            <w:pPr>
              <w:ind w:left="260"/>
              <w:spacing w:after="0"/>
              <w:rPr>
                <w:sz w:val="20"/>
                <w:szCs w:val="20"/>
                <w:color w:val="auto"/>
              </w:rPr>
            </w:pPr>
            <w:r>
              <w:rPr>
                <w:rFonts w:ascii="Arial" w:cs="Arial" w:eastAsia="Arial" w:hAnsi="Arial"/>
                <w:sz w:val="18"/>
                <w:szCs w:val="18"/>
                <w:color w:val="auto"/>
                <w:w w:val="88"/>
              </w:rPr>
              <w:t>Weighted-average number of shares used in computed net loss per share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54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 basic and diluted</w:t>
            </w:r>
          </w:p>
        </w:tc>
        <w:tc>
          <w:tcPr>
            <w:tcW w:w="140" w:type="dxa"/>
            <w:vAlign w:val="bottom"/>
            <w:tcBorders>
              <w:bottom w:val="single" w:sz="8" w:color="CFF0FC"/>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48,490,533</w:t>
            </w:r>
          </w:p>
        </w:tc>
        <w:tc>
          <w:tcPr>
            <w:tcW w:w="16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1,540,902</w:t>
            </w:r>
          </w:p>
        </w:tc>
        <w:tc>
          <w:tcPr>
            <w:tcW w:w="240" w:type="dxa"/>
            <w:vAlign w:val="bottom"/>
            <w:tcBorders>
              <w:bottom w:val="single" w:sz="8" w:color="CFF0FC"/>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45,163,444</w:t>
            </w:r>
          </w:p>
        </w:tc>
        <w:tc>
          <w:tcPr>
            <w:tcW w:w="14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1,493,521</w:t>
            </w:r>
          </w:p>
        </w:tc>
        <w:tc>
          <w:tcPr>
            <w:tcW w:w="100" w:type="dxa"/>
            <w:vAlign w:val="bottom"/>
            <w:tcBorders>
              <w:bottom w:val="single" w:sz="8" w:color="CFF0FC"/>
            </w:tcBorders>
          </w:tcPr>
          <w:p>
            <w:pPr>
              <w:spacing w:after="0"/>
              <w:rPr>
                <w:sz w:val="23"/>
                <w:szCs w:val="23"/>
                <w:color w:val="auto"/>
              </w:rPr>
            </w:pPr>
          </w:p>
        </w:tc>
      </w:tr>
      <w:tr>
        <w:trPr>
          <w:trHeight w:val="209"/>
        </w:trPr>
        <w:tc>
          <w:tcPr>
            <w:tcW w:w="5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1"/>
              </w:rPr>
              <w:t>Net loss per share attributable to common stockholders − basic and diluted</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(0.51)</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(17.55)</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5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5"/>
        </w:trPr>
        <w:tc>
          <w:tcPr>
            <w:tcW w:w="548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0"/>
        </w:trPr>
        <w:tc>
          <w:tcPr>
            <w:tcW w:w="54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interim condensed consolidated financial statements and related notes appearing elsewhere in this Quarterly Report on Form 10-Q and our audited consolidated financial statements and notes and Management’s Discussion and Analysis of Financial Condition and Results of Operations, included in our Annual Report on Form 10-K for the year ended December 31, 2020 filed with the SEC on March 11, 2021.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identified below and those discussed in the section titled “Risk Factors” in Part II, Item 1A of this Quarterly Report on Form 10-Q and in our Annual Report on Form 10-K for the year ended December 31, 2020.</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0"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We are a clinical-stage biopharmaceutical company focused on harnessing the body’s natural regulation of protein levels to develop novel therapeutic candidates to target and destroy disease-causing proteins for the treatment of cancer and other diseases. We leverage our proprietary technology platform, TORPEDO (</w:t>
      </w:r>
      <w:r>
        <w:rPr>
          <w:rFonts w:ascii="Arial" w:cs="Arial" w:eastAsia="Arial" w:hAnsi="Arial"/>
          <w:sz w:val="16"/>
          <w:szCs w:val="16"/>
          <w:u w:val="single" w:color="auto"/>
          <w:color w:val="auto"/>
        </w:rPr>
        <w:t>T</w:t>
      </w:r>
      <w:r>
        <w:rPr>
          <w:rFonts w:ascii="Arial" w:cs="Arial" w:eastAsia="Arial" w:hAnsi="Arial"/>
          <w:sz w:val="16"/>
          <w:szCs w:val="16"/>
          <w:color w:val="auto"/>
        </w:rPr>
        <w:t xml:space="preserve">arget </w:t>
      </w:r>
      <w:r>
        <w:rPr>
          <w:rFonts w:ascii="Arial" w:cs="Arial" w:eastAsia="Arial" w:hAnsi="Arial"/>
          <w:sz w:val="16"/>
          <w:szCs w:val="16"/>
          <w:u w:val="single" w:color="auto"/>
          <w:color w:val="auto"/>
        </w:rPr>
        <w:t>OR</w:t>
      </w:r>
      <w:r>
        <w:rPr>
          <w:rFonts w:ascii="Arial" w:cs="Arial" w:eastAsia="Arial" w:hAnsi="Arial"/>
          <w:sz w:val="16"/>
          <w:szCs w:val="16"/>
          <w:color w:val="auto"/>
        </w:rPr>
        <w:t xml:space="preserve">iented </w:t>
      </w:r>
      <w:r>
        <w:rPr>
          <w:rFonts w:ascii="Arial" w:cs="Arial" w:eastAsia="Arial" w:hAnsi="Arial"/>
          <w:sz w:val="16"/>
          <w:szCs w:val="16"/>
          <w:u w:val="single" w:color="auto"/>
          <w:color w:val="auto"/>
        </w:rPr>
        <w:t>P</w:t>
      </w:r>
      <w:r>
        <w:rPr>
          <w:rFonts w:ascii="Arial" w:cs="Arial" w:eastAsia="Arial" w:hAnsi="Arial"/>
          <w:sz w:val="16"/>
          <w:szCs w:val="16"/>
          <w:color w:val="auto"/>
        </w:rPr>
        <w:t>rot</w:t>
      </w:r>
      <w:r>
        <w:rPr>
          <w:rFonts w:ascii="Arial" w:cs="Arial" w:eastAsia="Arial" w:hAnsi="Arial"/>
          <w:sz w:val="16"/>
          <w:szCs w:val="16"/>
          <w:u w:val="single" w:color="auto"/>
          <w:color w:val="auto"/>
        </w:rPr>
        <w:t>E</w:t>
      </w:r>
      <w:r>
        <w:rPr>
          <w:rFonts w:ascii="Arial" w:cs="Arial" w:eastAsia="Arial" w:hAnsi="Arial"/>
          <w:sz w:val="16"/>
          <w:szCs w:val="16"/>
          <w:color w:val="auto"/>
        </w:rPr>
        <w:t xml:space="preserve">in </w:t>
      </w:r>
      <w:r>
        <w:rPr>
          <w:rFonts w:ascii="Arial" w:cs="Arial" w:eastAsia="Arial" w:hAnsi="Arial"/>
          <w:sz w:val="16"/>
          <w:szCs w:val="16"/>
          <w:u w:val="single" w:color="auto"/>
          <w:color w:val="auto"/>
        </w:rPr>
        <w:t>D</w:t>
      </w:r>
      <w:r>
        <w:rPr>
          <w:rFonts w:ascii="Arial" w:cs="Arial" w:eastAsia="Arial" w:hAnsi="Arial"/>
          <w:sz w:val="16"/>
          <w:szCs w:val="16"/>
          <w:color w:val="auto"/>
        </w:rPr>
        <w:t xml:space="preserve">egrader </w:t>
      </w:r>
      <w:r>
        <w:rPr>
          <w:rFonts w:ascii="Arial" w:cs="Arial" w:eastAsia="Arial" w:hAnsi="Arial"/>
          <w:sz w:val="16"/>
          <w:szCs w:val="16"/>
          <w:u w:val="single" w:color="auto"/>
          <w:color w:val="auto"/>
        </w:rPr>
        <w:t>O</w:t>
      </w:r>
      <w:r>
        <w:rPr>
          <w:rFonts w:ascii="Arial" w:cs="Arial" w:eastAsia="Arial" w:hAnsi="Arial"/>
          <w:sz w:val="16"/>
          <w:szCs w:val="16"/>
          <w:color w:val="auto"/>
        </w:rPr>
        <w:t>ptimizer), to synthesize a new class of small molecule medicines that are designed to destroy disease-causing proteins selectively and efficiently, including targets previously considered to be undruggable. We are using our TORPEDO platform to build a robust pipeline of oral protein degradation drug candidates, with our lead product candidates focused on oncology indications.</w:t>
      </w:r>
    </w:p>
    <w:p>
      <w:pPr>
        <w:spacing w:after="0" w:line="51"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Our most advanced product candidate, CFT7455, is an orally bioavailable degrader of a protein target called IKZF1/3, for multiple myeloma, or MM, and non-Hodgkin lymphomas, or NHLs, including peripheral T-cell lymphoma, or PTCL, and mantle cell lymphoma, or MCL. We initiated a first-in-human Phase 1/2 clinical trial for this product candidate in June of 2021 and a number of sites are presently open and enrolling patients. In August 2021, the FDA granted orphan drug designation to CFT7455 for the treatment of multiple myeloma.</w:t>
      </w:r>
    </w:p>
    <w:p>
      <w:pPr>
        <w:spacing w:after="0" w:line="8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are also developing CFT8634, an orally bioavailable degrader of a protein target called BRD9, for synovial sarcoma and SMARCB1-deleted solid tumors and we expect to submit an investigational new drug, or IND, application for this product candidate to the FDA by year-end 2021 and begin a first-in-human Phase 1/2 clinical trial for this product candidate in 2022.</w:t>
      </w:r>
    </w:p>
    <w:p>
      <w:pPr>
        <w:spacing w:after="0" w:line="7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Additionally, we are developing CFT8919, an orally bioavailable, allosteric, mutant-selective degrader of epidermal growth factor receptor, or EGFR, L858R in non-small cell lung cancer, or NSCLC, and we expect to submit an IND for this product candidate to the FDA in mid-2022 and begin a first-in-human Phase 1/2 clinical trial by year-end 2022.</w:t>
      </w:r>
    </w:p>
    <w:p>
      <w:pPr>
        <w:spacing w:after="0" w:line="7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addition to our lead product candidates, we are developing CFT1946, an orally bioavailable degrader specifically targeting V600X mutant BRAF to treat melanoma, NSCLC, colorectal cancer and other solid malignancies that harbor this mutation. We expect to submit an IND for this product candidate to the FDA in 2022 and begin a first-in-human Phase 1/2 clinical trial by year-end 2022.</w:t>
      </w:r>
    </w:p>
    <w:p>
      <w:pPr>
        <w:spacing w:after="0" w:line="74" w:lineRule="exact"/>
        <w:rPr>
          <w:sz w:val="20"/>
          <w:szCs w:val="20"/>
          <w:color w:val="auto"/>
        </w:rPr>
      </w:pPr>
    </w:p>
    <w:p>
      <w:pPr>
        <w:ind w:right="140"/>
        <w:spacing w:after="0" w:line="276" w:lineRule="auto"/>
        <w:rPr>
          <w:sz w:val="20"/>
          <w:szCs w:val="20"/>
          <w:color w:val="auto"/>
        </w:rPr>
      </w:pPr>
      <w:r>
        <w:rPr>
          <w:rFonts w:ascii="Arial" w:cs="Arial" w:eastAsia="Arial" w:hAnsi="Arial"/>
          <w:sz w:val="18"/>
          <w:szCs w:val="18"/>
          <w:color w:val="auto"/>
        </w:rPr>
        <w:t>We are also developing degraders of a protein target called RET to treat lung cancer, sporadic medullary thyroid cancers and other solid malignancies that harbor oncogenic RET lesions.</w:t>
      </w:r>
    </w:p>
    <w:p>
      <w:pPr>
        <w:spacing w:after="0" w:line="6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Beyond these initial product candidates, we are further diversifying our pipeline by developing new degraders against targets where we believe degradation offers potential advantages over existing therapeutic modalities. We have engineered degraders that have successfully achieved blood-brain barrier penetration in preclinical studies, which is a key step in developing medicines with the potential to treat brain metastases in oncology, as well as therapeutic areas such as neurodegenerative diseases. We also believe there are many other therapeutic areas and indications where leveraging our TORPEDO platform to develop novel degraders may be advantageous.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To date, we have not generated any revenue from product sales and do not expect to generate any revenue from the sale of products for the foreseeable future. Our revenues to date have been generated through research collaboration and license agreements. We recognize revenue over our expected performance period under each agreement. We expect that our revenue for the next several years will be derived primarily from our current collaboration agreements and any additional collaborations that we may enter into in the future. To date, we have not received any royalties under any of our existing collaboration agreements.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Roche Collaboration and License Agreement</w:t>
      </w:r>
    </w:p>
    <w:p>
      <w:pPr>
        <w:spacing w:after="0" w:line="1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March 2016, we entered into a license agreement, or the Original Roche Agreement, with F. Hoffmann-La Roche Ltd and Hoffmann-La Roche Inc., or Roche, whereby Roche provided us with a non-refundable upfront payment of $15.0 million, which was creditable against our target initiation fees of either $1.0 million or $4.0 million, depending on the compound selected. Pursuant to the terms of the Original Roche Agreement, we collaborated on research activities to develop novel treatments in the field of targeted protein degradation using our degrader technology. We initially developed therapeutics that utilize degrader technology for up to ten</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83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444" w:right="379" w:bottom="1440" w:gutter="0" w:footer="0" w:header="0"/>
        </w:sectPr>
      </w:pPr>
    </w:p>
    <w:bookmarkStart w:id="24" w:name="page25"/>
    <w:bookmarkEnd w:id="24"/>
    <w:p>
      <w:pPr>
        <w:ind w:right="20"/>
        <w:spacing w:after="0" w:line="276" w:lineRule="auto"/>
        <w:rPr>
          <w:sz w:val="20"/>
          <w:szCs w:val="20"/>
          <w:color w:val="auto"/>
        </w:rPr>
      </w:pPr>
      <w:r>
        <w:rPr>
          <w:rFonts w:ascii="Arial" w:cs="Arial" w:eastAsia="Arial" w:hAnsi="Arial"/>
          <w:sz w:val="18"/>
          <w:szCs w:val="18"/>
          <w:color w:val="auto"/>
        </w:rPr>
        <w:t>target proteins. On a target-by-target basis, after successful completion of a defined preclinical development phase, Roche had an exclusive option to pursue a license from us for further clinical development and commercialization.</w:t>
      </w:r>
    </w:p>
    <w:p>
      <w:pPr>
        <w:spacing w:after="0" w:line="6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December 22, 2018, we amended and restated the Original Roche Agreement, or the Roche Agreement. Under the Roche Agreement, we have a more active role in the manufacturing and commercialization of products related to the targets included in the collaboration, whereby if we elect to opt into certain co-development rights, we will receive an increased royalty rate on future product sales from commercializing products directed to the target. If we opt into certain co-detailing rights, we are entitled to reimbursement of certain commercialization costs. The target structure was revised to six potential targets, three of which had been nominated as of the execution of the Roche Agreement and represent continuations of the initial preclinical research and development efforts begun under the Original Roche Agreement, and three additional targets that were not nominated as of the date of execution of the Roche Agreement. At the time of entry into the Roche Agreement, Roche maintained its option rights to license and commercialize products related to these six targets. Subsequently, with the November 2020 amendment to the Roche Agreement, the number of targets on which the parties would continue to collaborate was reduced to five and, following the entry into a Mutual Target Termination Agreement in November 2021, that number was further reduced to four. Roche maintains its option rights to license and commercialize products directed to those four targets.</w:t>
      </w:r>
    </w:p>
    <w:p>
      <w:pPr>
        <w:spacing w:after="0" w:line="63"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Under the Roche Agreement, we received additional upfront consideration of $40.0 million from Roche. Roche will make annual research plan payments of $1.0 million for each active research plan. Finally, adjustments were made to the option exercise fees, whereby targets that have progressed through standard good laboratory practice, or GLP, toxicology studies at the time of exercise now have option exercise fees of $7.0 million to $12.0 million and those progressed through Phase 1 trials have option exercise fees of $20.0 million.</w:t>
      </w:r>
    </w:p>
    <w:p>
      <w:pPr>
        <w:spacing w:after="0" w:line="80"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For certain targets, Roche is required to pay us fees of $2.0 million and $3.0 million upon the identification of a lead series and the commencement of GLP toxicology studies, respectively. For each target option exercised by Roche, we are eligible to receive up to $275 million in research, development and commercial milestone payments per target. Roche is also required to pay us up to $150 million per target in one-time sales-based payments if the target achieves certain levels of net sales. Roche is also required to pay us royalties, at percentages from the mid-single digits to the low double-digits, on a licensed product-by licensed product basis, on worldwide net product sales.</w:t>
      </w:r>
    </w:p>
    <w:p>
      <w:pPr>
        <w:spacing w:after="0" w:line="6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November 2020, we signed a further amendment to the Roche Agreement that provides a mechanism through which we and Roche can mutually agree to terminate the Roche Agreement on a target-by-target basis by the entry into a mutual target termination agreement. Upon a termination of this nature, the Roche Agreement, as amended, provides that all rights in know-how and intellectual property in support of products that use inhibition as their mode of action, referred to as the Roche Field, will revert to Roche and all rights in respect of know-how and intellectual property in support of products that use degradation as their mode of action, referred to as the C4T Field, will revert to us. Further, this amendment states that, following the entry into a mutual target termination agreement, Roche will have rights in and responsibility for any know-how and intellectual property generated as a result of the collaboration that fits within the Roche Field and we will have rights in and responsibility for any know-how and intellectual property generated as a result of the collaboration that fits within the C4T Field. In support of this allocation of rights, under the amendment, Roche provided us, and we provided Roche, with a perpetual, irrevocable, fully paid up, exclusive (even as to party granting the license), sublicensable (including in multiple tiers) license to the patents that are allocated to a party under the mutual target termination agreement and a perpetual, irrevocable fully paid up, non-exclusive, sublicensable (including in multiple tiers) license to the know-how that is allocable to a party under the mutual termination agreement. Finally, through the entry into this amendment, we and Roche mutually agreed to terminate the Roche Agreement as to the target EGFR.</w:t>
      </w:r>
    </w:p>
    <w:p>
      <w:pPr>
        <w:spacing w:after="0" w:line="6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As a result of the November 2020 amendment related to EGFR and the November 2021 Mutual Target Termination Agreement as to BRAF, Roche is now free to pursue the targets EGFR and BRAF in the Roche Field and we are free to pursue the targets EGFR and BRAF in the C4T Field. All rights in and responsibility for know-how and intellectual property related to EGFR and BRAF in the Roche Field reverted to the Roche parties and all rights in and responsibility for know-how and intellectual property related to EGFR and BRAF in the C4T Field reverted to us, with Roche assigning the relevant patents in the C4T Field to us.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Biogen Collaboration Research and License Agreement</w:t>
      </w:r>
    </w:p>
    <w:p>
      <w:pPr>
        <w:spacing w:after="0" w:line="11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On December 28, 2018, we entered into a collaborative research and license agreement, or the Biogen Agreement, with Biogen MA, Inc., or Biogen, whereby we agreed to collaborate on research and development efforts for up to five targets to discover and develop potential new treatments for neurological conditions, such as Alzheimer’s disease and Parkinson’s disease. The Biogen Agreement also has an option for Biogen to nominate additional targets and extend the Biogen Agreement. In February 2020, we entered into an amendment to the Biogen Agreement that provided further clarity around Biogen’s ownership of target binding moieties, which are portions of molecules, and any related intellectual property that are directed at or bind to collaboration targets. This amendment further provides that Biogen licenses to us rights to use these Biogen target binding moieties and any related intellectual property as needed in order to conduct the research and development activities contemplated under the Biogen Agreement.</w:t>
      </w:r>
    </w:p>
    <w:p>
      <w:pPr>
        <w:spacing w:after="0" w:line="55"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We granted Biogen a non-exclusive research license under our intellectual property to perform research activities, select and optimize degraders and develop products including the degraders, as well as a commercial license to manufacture and commercialize the products related to the targets once the initial research and development work is complete. The research under the Biogen Agreement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83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5" w:name="page26"/>
    <w:bookmarkEnd w:id="25"/>
    <w:p>
      <w:pPr>
        <w:ind w:right="20"/>
        <w:spacing w:after="0" w:line="263" w:lineRule="auto"/>
        <w:rPr>
          <w:sz w:val="20"/>
          <w:szCs w:val="20"/>
          <w:color w:val="auto"/>
        </w:rPr>
      </w:pPr>
      <w:r>
        <w:rPr>
          <w:rFonts w:ascii="Arial" w:cs="Arial" w:eastAsia="Arial" w:hAnsi="Arial"/>
          <w:sz w:val="18"/>
          <w:szCs w:val="18"/>
          <w:color w:val="auto"/>
        </w:rPr>
        <w:t>will take place over a 54-month research term, ending in June 2023, with Biogen having an option to extend the Biogen Agreement for up to four additional years. If Biogen elects to extend the term of the Biogen Agreement, Biogen would be required to make an additional payment of $62.5 million and would be entitled to nominate up to five additional targets.</w:t>
      </w:r>
    </w:p>
    <w:p>
      <w:pPr>
        <w:spacing w:after="0" w:line="74"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The Biogen Agreement provides for three initial targets, with Biogen having the right to initiate up to an additional two targets and to control all post-discovery activities. Biogen paid us a nonrefundable upfront payment of $45.0 million for access to our technology and research services through the discovery research phase. The nonrefundable upfront cash payment of $45.0 million is not creditable against any of the target development milestone fees.</w:t>
      </w:r>
    </w:p>
    <w:p>
      <w:pPr>
        <w:spacing w:after="0" w:line="3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Following the achievement of development candidate criteria, prior to any IND-enabling study, for any target, Biogen will bear all costs and expenses of and will have sole discretion and decision-making authority with respect to the performance of further activities with respect to any degrader under development under the Biogen Agreement and all products that incorporate that degrader. Biogen is also required to pay us up to $35.0 million per target in development milestones and $26.0 million per target in one-time sales-based payments for the first product to achieve certain levels of net sales. In addition, Biogen is required to pay us royalties on a licensed product-by-licensed product basis, on worldwide net product sales, at percentages in the mid-single digits. All milestone and sales-based payments are made after we have met the defined criteria in the joint research plan for that target, at which time Biogen will have control of the products related to the targets for commercialization; the receipt of these payments is contingent on the further development of products directed to the targets to commercialization by Biogen, without any additional research and development efforts from us.</w:t>
      </w:r>
    </w:p>
    <w:p>
      <w:pPr>
        <w:spacing w:after="0" w:line="5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Biogen also has the option to fund additional discovery activities, whereby we will perform discovery-type research at Biogen’s election to develop other potential targets that may be used as replacement targets for the initially nominated targets or two additional targets under the Biogen Agreement. Revenues earned under this option, if initiated, will be recognized as services are performed and are not included in the transaction price at the outset of the arrangement. These research activities will be reimbursed on a full-time equivalent, or FTE, basis at specified market rates. These additional discovery activities can be purchased up to a maximum amount by Biogen on an à la carte basis at an amount consistent with standalone selling price. If Biogen were to exercise these options, we would recognize revenue as those options are exercised.</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Calico Collaboration and License Agreement</w:t>
      </w:r>
    </w:p>
    <w:p>
      <w:pPr>
        <w:spacing w:after="0" w:line="116"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color w:val="auto"/>
        </w:rPr>
        <w:t>In March 2017, we entered into Collaboration and License Agreement, or the Calico Agreement, with Calico Life Sciences LLC, or Calico, whereby we agreed to collaborate to develop and commercialize a set number of targets for small molecule protein degraders for diseases of aging, including cancer, for a five-year period ending in March 2022. In August 2021, we provided Calico with an option to extend the research term with respect to a certain program for up to a one year period ending in March 2023, or the research term. In September 2021, Calico elected to exercise the option.</w:t>
      </w:r>
    </w:p>
    <w:p>
      <w:pPr>
        <w:spacing w:after="0" w:line="64" w:lineRule="exact"/>
        <w:rPr>
          <w:sz w:val="20"/>
          <w:szCs w:val="20"/>
          <w:color w:val="auto"/>
        </w:rPr>
      </w:pPr>
    </w:p>
    <w:p>
      <w:pPr>
        <w:ind w:right="120"/>
        <w:spacing w:after="0" w:line="278" w:lineRule="auto"/>
        <w:rPr>
          <w:sz w:val="20"/>
          <w:szCs w:val="20"/>
          <w:color w:val="auto"/>
        </w:rPr>
      </w:pPr>
      <w:r>
        <w:rPr>
          <w:rFonts w:ascii="Arial" w:cs="Arial" w:eastAsia="Arial" w:hAnsi="Arial"/>
          <w:sz w:val="17"/>
          <w:szCs w:val="17"/>
          <w:color w:val="auto"/>
        </w:rPr>
        <w:t>We provided Calico with a non-exclusive research license under our intellectual property to perform research activities and select and optimize degraders and develop products including the degraders. We also granted Calico a commercial license for any licensed products resulting from the development candidates supplied by us. We are required to perform research and development activities for the nominated targets over the research term, with the intent to provide a development candidate for each target to Calico once the agreed-upon research is complete.</w:t>
      </w:r>
    </w:p>
    <w:p>
      <w:pPr>
        <w:spacing w:after="0" w:line="64" w:lineRule="exact"/>
        <w:rPr>
          <w:sz w:val="20"/>
          <w:szCs w:val="20"/>
          <w:color w:val="auto"/>
        </w:rPr>
      </w:pPr>
    </w:p>
    <w:p>
      <w:pPr>
        <w:ind w:right="480"/>
        <w:spacing w:after="0" w:line="276" w:lineRule="auto"/>
        <w:rPr>
          <w:sz w:val="20"/>
          <w:szCs w:val="20"/>
          <w:color w:val="auto"/>
        </w:rPr>
      </w:pPr>
      <w:r>
        <w:rPr>
          <w:rFonts w:ascii="Arial" w:cs="Arial" w:eastAsia="Arial" w:hAnsi="Arial"/>
          <w:sz w:val="18"/>
          <w:szCs w:val="18"/>
          <w:color w:val="auto"/>
        </w:rPr>
        <w:t>Calico is obligated to reimburse our research and development activities for each target at specified levels through the identification of a development candidate, after which Calico shall assume full responsibility for candidate development.</w:t>
      </w:r>
    </w:p>
    <w:p>
      <w:pPr>
        <w:spacing w:after="0" w:line="6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After the initiation of each target, the Calico Agreement does not contain any options for Calico to license the individual targets; once we complete the initial research and development activities required, Calico controls and directs the targets with no additional work required to be performed by us. There is no exercise price or incremental fee payable to us to progress the research further, though Calico is required to pay an initiation fee with the commencement of each research plan. Once Calico nominates a target and pays the applicable target initiation fee, we will commence research and development activities for that target. The Calico Agreement provides for up to five initial targets. Research activities performed are reimbursed at specified levels for the five-year term of the Calico Agreement, with the term for one research program having been extended by an additional year.</w:t>
      </w:r>
    </w:p>
    <w:p>
      <w:pPr>
        <w:spacing w:after="0" w:line="6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Under this agreement, Calico paid us a nonrefundable upfront amount of $5.0 million and certain annual payments of $5.0 million through December 31, 2020. Upon our completion of the required discovery research and development services on any target, Calico is entitled to pursue development of that target to commercialized product. For each target, we are eligible to receive potential research, development and commercial milestone payments aggregating up to $132.0 million. Calico is also required to pay one-time sales-based payments aggregating up to $65.0 million for the first product to achieve certain levels of net sales. In addition, Calico is required to pay us royalties, on a licensed product-by-licensed product basis, on worldwide net product sales, at percentages in the mid-single digits. All milestone and sales-based payments are made after we have met the defined criteria in the joint research plan for that target, at which time Calico will have control of the products related to targets for commercialization; the receipt of these payments by us is contingent on the further development of the targets to commercialized products by Calico, without any additional research and development efforts required by us.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83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6" w:lineRule="exact"/>
        <w:rPr>
          <w:sz w:val="20"/>
          <w:szCs w:val="20"/>
          <w:color w:val="auto"/>
        </w:rPr>
      </w:pPr>
    </w:p>
    <w:p>
      <w:pPr>
        <w:ind w:right="160"/>
        <w:spacing w:after="0" w:line="276" w:lineRule="auto"/>
        <w:rPr>
          <w:sz w:val="20"/>
          <w:szCs w:val="20"/>
          <w:color w:val="auto"/>
        </w:rPr>
      </w:pPr>
      <w:r>
        <w:rPr>
          <w:rFonts w:ascii="Arial" w:cs="Arial" w:eastAsia="Arial" w:hAnsi="Arial"/>
          <w:sz w:val="18"/>
          <w:szCs w:val="18"/>
          <w:color w:val="auto"/>
        </w:rPr>
        <w:t>Research and development expenses consist primarily of costs incurred for our research activities, including our discovery efforts and the development of our product candidates, and include:</w:t>
      </w:r>
    </w:p>
    <w:p>
      <w:pPr>
        <w:spacing w:after="0" w:line="170" w:lineRule="exact"/>
        <w:rPr>
          <w:sz w:val="20"/>
          <w:szCs w:val="20"/>
          <w:color w:val="auto"/>
        </w:rPr>
      </w:pPr>
    </w:p>
    <w:p>
      <w:pPr>
        <w:ind w:left="540" w:right="680" w:hanging="263"/>
        <w:spacing w:after="0" w:line="276"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salaries, benefits and other related costs, including stock-based compensation expense, for personnel engaged in research and development functions;</w:t>
      </w:r>
    </w:p>
    <w:p>
      <w:pPr>
        <w:spacing w:after="0" w:line="170" w:lineRule="exact"/>
        <w:rPr>
          <w:rFonts w:ascii="Arial" w:cs="Arial" w:eastAsia="Arial" w:hAnsi="Arial"/>
          <w:sz w:val="18"/>
          <w:szCs w:val="18"/>
          <w:color w:val="auto"/>
        </w:rPr>
      </w:pPr>
    </w:p>
    <w:p>
      <w:pPr>
        <w:ind w:left="540" w:hanging="263"/>
        <w:spacing w:after="0" w:line="263"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including contract research organizations and other third parties that conduct research, preclinical, and clinical activities on our behalf as well as third parties that manufacture our product candidates for use in our preclinical and clinical trials;</w:t>
      </w:r>
    </w:p>
    <w:p>
      <w:pPr>
        <w:spacing w:after="0" w:line="181" w:lineRule="exact"/>
        <w:rPr>
          <w:rFonts w:ascii="Arial" w:cs="Arial" w:eastAsia="Arial" w:hAnsi="Arial"/>
          <w:sz w:val="18"/>
          <w:szCs w:val="18"/>
          <w:color w:val="auto"/>
        </w:rPr>
      </w:pPr>
    </w:p>
    <w:p>
      <w:pPr>
        <w:ind w:left="540" w:hanging="263"/>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costs of outside consultants, including their fees, unit-based compensation and related travel expenses;</w:t>
      </w:r>
    </w:p>
    <w:p>
      <w:pPr>
        <w:spacing w:after="0" w:line="250" w:lineRule="exact"/>
        <w:rPr>
          <w:rFonts w:ascii="Arial" w:cs="Arial" w:eastAsia="Arial" w:hAnsi="Arial"/>
          <w:sz w:val="18"/>
          <w:szCs w:val="18"/>
          <w:color w:val="auto"/>
        </w:rPr>
      </w:pPr>
    </w:p>
    <w:p>
      <w:pPr>
        <w:ind w:left="540" w:hanging="263"/>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of laboratory supplies and acquiring materials for preclinical studies and clinical trials;</w:t>
      </w:r>
    </w:p>
    <w:p>
      <w:pPr>
        <w:spacing w:after="0" w:line="250" w:lineRule="exact"/>
        <w:rPr>
          <w:rFonts w:ascii="Arial" w:cs="Arial" w:eastAsia="Arial" w:hAnsi="Arial"/>
          <w:sz w:val="18"/>
          <w:szCs w:val="18"/>
          <w:color w:val="auto"/>
        </w:rPr>
      </w:pPr>
    </w:p>
    <w:p>
      <w:pPr>
        <w:ind w:left="540" w:right="340" w:hanging="263"/>
        <w:spacing w:after="0" w:line="276"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facility-related expenses, which include direct depreciation costs of equipment and allocated expenses for rent and maintenance of facilities and other operating costs; and</w:t>
      </w:r>
    </w:p>
    <w:p>
      <w:pPr>
        <w:spacing w:after="0" w:line="170" w:lineRule="exact"/>
        <w:rPr>
          <w:rFonts w:ascii="Arial" w:cs="Arial" w:eastAsia="Arial" w:hAnsi="Arial"/>
          <w:sz w:val="18"/>
          <w:szCs w:val="18"/>
          <w:color w:val="auto"/>
        </w:rPr>
      </w:pPr>
    </w:p>
    <w:p>
      <w:pPr>
        <w:ind w:left="540" w:hanging="263"/>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third-party licensing fees.</w:t>
      </w:r>
    </w:p>
    <w:p>
      <w:pPr>
        <w:spacing w:after="0" w:line="251"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We expense research and development costs as incurred. Costs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are reflected in our condensed consolidated financial statements as prepaid or accrued research and development expenses. Nonrefundable advance payments for goods or services to be received in the future for use in research and development activities are recorded as prepaid expenses and expensed as the related goods are delivered or the services are performed.</w:t>
      </w:r>
    </w:p>
    <w:p>
      <w:pPr>
        <w:spacing w:after="0" w:line="51" w:lineRule="exact"/>
        <w:rPr>
          <w:sz w:val="20"/>
          <w:szCs w:val="20"/>
          <w:color w:val="auto"/>
        </w:rPr>
      </w:pPr>
    </w:p>
    <w:p>
      <w:pPr>
        <w:ind w:right="400"/>
        <w:spacing w:after="0" w:line="276" w:lineRule="auto"/>
        <w:rPr>
          <w:sz w:val="20"/>
          <w:szCs w:val="20"/>
          <w:color w:val="auto"/>
        </w:rPr>
      </w:pPr>
      <w:r>
        <w:rPr>
          <w:rFonts w:ascii="Arial" w:cs="Arial" w:eastAsia="Arial" w:hAnsi="Arial"/>
          <w:sz w:val="18"/>
          <w:szCs w:val="18"/>
          <w:color w:val="auto"/>
        </w:rPr>
        <w:t>We expect that our research and development expenses will increase substantially in connection with our planned preclinical and clinical development activities.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6" w:lineRule="exact"/>
        <w:rPr>
          <w:sz w:val="20"/>
          <w:szCs w:val="20"/>
          <w:color w:val="auto"/>
        </w:rPr>
      </w:pPr>
    </w:p>
    <w:p>
      <w:pPr>
        <w:ind w:right="280"/>
        <w:spacing w:after="0" w:line="301" w:lineRule="auto"/>
        <w:rPr>
          <w:sz w:val="20"/>
          <w:szCs w:val="20"/>
          <w:color w:val="auto"/>
        </w:rPr>
      </w:pPr>
      <w:r>
        <w:rPr>
          <w:rFonts w:ascii="Arial" w:cs="Arial" w:eastAsia="Arial" w:hAnsi="Arial"/>
          <w:sz w:val="16"/>
          <w:szCs w:val="16"/>
          <w:color w:val="auto"/>
        </w:rPr>
        <w:t>General and administrative expenses consist primarily of salaries and other related costs, including stock-based compensation, for personnel in our executive, finance, legal, business development and administrative functions. General and administrative expenses also include legal fees relating to intellectual property and corporate matters; professional fees for accounting, auditing, tax and consulting services; insurance costs; travel expenses; and facility-related expenses, which include direct depreciation costs and allocated expenses for rent and maintenance of facilities and other operating costs.</w:t>
      </w:r>
    </w:p>
    <w:p>
      <w:pPr>
        <w:spacing w:after="0" w:line="47" w:lineRule="exact"/>
        <w:rPr>
          <w:sz w:val="20"/>
          <w:szCs w:val="20"/>
          <w:color w:val="auto"/>
        </w:rPr>
      </w:pPr>
    </w:p>
    <w:p>
      <w:pPr>
        <w:ind w:right="380"/>
        <w:spacing w:after="0" w:line="278" w:lineRule="auto"/>
        <w:rPr>
          <w:sz w:val="20"/>
          <w:szCs w:val="20"/>
          <w:color w:val="auto"/>
        </w:rPr>
      </w:pPr>
      <w:r>
        <w:rPr>
          <w:rFonts w:ascii="Arial" w:cs="Arial" w:eastAsia="Arial" w:hAnsi="Arial"/>
          <w:sz w:val="17"/>
          <w:szCs w:val="17"/>
          <w:color w:val="auto"/>
        </w:rPr>
        <w:t>We expect that our general and administrative expenses will increase in the future to support our growing operations, including additional personnel to support our operations as a publicly traded company. We also expect to continue to incur additional expenses associated with being a public company, including higher costs of accounting, audit, legal, regulatory and tax-related services associated with maintaining compliance with Nasdaq and SEC requirements, director and officer insurance costs and investor and public relations costs.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Other (expense) income, net primarily consists of the following:</w:t>
      </w:r>
    </w:p>
    <w:p>
      <w:pPr>
        <w:spacing w:after="0" w:line="224" w:lineRule="exact"/>
        <w:rPr>
          <w:sz w:val="20"/>
          <w:szCs w:val="20"/>
          <w:color w:val="auto"/>
        </w:rPr>
      </w:pPr>
    </w:p>
    <w:p>
      <w:pPr>
        <w:ind w:left="540" w:right="60" w:hanging="263"/>
        <w:spacing w:after="0" w:line="276"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interest expense and amortization of our long-term debt, which is discussed in greater detail in Note 9, </w:t>
      </w:r>
      <w:r>
        <w:rPr>
          <w:rFonts w:ascii="Arial" w:cs="Arial" w:eastAsia="Arial" w:hAnsi="Arial"/>
          <w:sz w:val="18"/>
          <w:szCs w:val="18"/>
          <w:i w:val="1"/>
          <w:iCs w:val="1"/>
          <w:color w:val="auto"/>
        </w:rPr>
        <w:t>Long-term debt and warrant – related party</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left="540" w:hanging="263"/>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interest income earned on our cash, cash equivalents, and marketable securities and accretion of discount on marketable securities.</w:t>
      </w: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83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and nine months ended September 30, 2021 and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16" w:lineRule="exact"/>
        <w:rPr>
          <w:sz w:val="20"/>
          <w:szCs w:val="20"/>
          <w:color w:val="auto"/>
        </w:rPr>
      </w:pPr>
    </w:p>
    <w:p>
      <w:pPr>
        <w:ind w:right="240"/>
        <w:spacing w:after="0" w:line="276" w:lineRule="auto"/>
        <w:rPr>
          <w:sz w:val="20"/>
          <w:szCs w:val="20"/>
          <w:color w:val="auto"/>
        </w:rPr>
      </w:pPr>
      <w:r>
        <w:rPr>
          <w:rFonts w:ascii="Arial" w:cs="Arial" w:eastAsia="Arial" w:hAnsi="Arial"/>
          <w:sz w:val="18"/>
          <w:szCs w:val="18"/>
          <w:color w:val="auto"/>
        </w:rPr>
        <w:t>Revenue from our collaboration and license agreements consisted of the following for the three and nine months ended September 30, 2021 and 2020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2880" w:type="dxa"/>
            <w:vAlign w:val="bottom"/>
            <w:gridSpan w:val="6"/>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4"/>
                <w:szCs w:val="14"/>
                <w:color w:val="auto"/>
              </w:rPr>
            </w:pPr>
          </w:p>
        </w:tc>
        <w:tc>
          <w:tcPr>
            <w:tcW w:w="2580" w:type="dxa"/>
            <w:vAlign w:val="bottom"/>
            <w:gridSpan w:val="5"/>
          </w:tcPr>
          <w:p>
            <w:pPr>
              <w:ind w:left="80"/>
              <w:spacing w:after="0"/>
              <w:rPr>
                <w:sz w:val="20"/>
                <w:szCs w:val="20"/>
                <w:color w:val="auto"/>
              </w:rPr>
            </w:pPr>
            <w:r>
              <w:rPr>
                <w:rFonts w:ascii="Arial" w:cs="Arial" w:eastAsia="Arial" w:hAnsi="Arial"/>
                <w:sz w:val="14"/>
                <w:szCs w:val="14"/>
                <w:b w:val="1"/>
                <w:bCs w:val="1"/>
                <w:color w:val="auto"/>
              </w:rPr>
              <w:t>Nine Months Ended September 30,</w:t>
            </w:r>
          </w:p>
        </w:tc>
      </w:tr>
      <w:tr>
        <w:trPr>
          <w:trHeight w:val="155"/>
        </w:trPr>
        <w:tc>
          <w:tcPr>
            <w:tcW w:w="5620" w:type="dxa"/>
            <w:vAlign w:val="bottom"/>
            <w:tcBorders>
              <w:bottom w:val="single" w:sz="8" w:color="CFF0FC"/>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96"/>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2"/>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Revenue from collaboration agreements:</w:t>
            </w:r>
          </w:p>
        </w:tc>
        <w:tc>
          <w:tcPr>
            <w:tcW w:w="7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620" w:type="dxa"/>
            <w:vAlign w:val="bottom"/>
          </w:tcPr>
          <w:p>
            <w:pPr>
              <w:ind w:left="260"/>
              <w:spacing w:after="0"/>
              <w:rPr>
                <w:sz w:val="20"/>
                <w:szCs w:val="20"/>
                <w:color w:val="auto"/>
              </w:rPr>
            </w:pPr>
            <w:r>
              <w:rPr>
                <w:rFonts w:ascii="Arial" w:cs="Arial" w:eastAsia="Arial" w:hAnsi="Arial"/>
                <w:sz w:val="18"/>
                <w:szCs w:val="18"/>
                <w:color w:val="auto"/>
              </w:rPr>
              <w:t>Roche Agreement</w:t>
            </w:r>
          </w:p>
        </w:tc>
        <w:tc>
          <w:tcPr>
            <w:tcW w:w="760" w:type="dxa"/>
            <w:vAlign w:val="bottom"/>
          </w:tcPr>
          <w:p>
            <w:pPr>
              <w:jc w:val="right"/>
              <w:ind w:right="579"/>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2,330</w:t>
            </w:r>
          </w:p>
        </w:tc>
        <w:tc>
          <w:tcPr>
            <w:tcW w:w="52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1,395</w:t>
            </w:r>
          </w:p>
        </w:tc>
        <w:tc>
          <w:tcPr>
            <w:tcW w:w="24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7,416</w:t>
            </w:r>
          </w:p>
        </w:tc>
        <w:tc>
          <w:tcPr>
            <w:tcW w:w="50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7,424</w:t>
            </w:r>
          </w:p>
        </w:tc>
        <w:tc>
          <w:tcPr>
            <w:tcW w:w="100" w:type="dxa"/>
            <w:vAlign w:val="bottom"/>
          </w:tcPr>
          <w:p>
            <w:pPr>
              <w:spacing w:after="0"/>
              <w:rPr>
                <w:sz w:val="19"/>
                <w:szCs w:val="19"/>
                <w:color w:val="auto"/>
              </w:rPr>
            </w:pPr>
          </w:p>
        </w:tc>
      </w:tr>
      <w:tr>
        <w:trPr>
          <w:trHeight w:val="229"/>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Biogen Agreement</w:t>
            </w:r>
          </w:p>
        </w:tc>
        <w:tc>
          <w:tcPr>
            <w:tcW w:w="7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4,827</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9,647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6,827</w:t>
            </w:r>
          </w:p>
        </w:tc>
        <w:tc>
          <w:tcPr>
            <w:tcW w:w="100" w:type="dxa"/>
            <w:vAlign w:val="bottom"/>
            <w:shd w:val="clear" w:color="auto" w:fill="CFF0FC"/>
          </w:tcPr>
          <w:p>
            <w:pPr>
              <w:spacing w:after="0"/>
              <w:rPr>
                <w:sz w:val="19"/>
                <w:szCs w:val="19"/>
                <w:color w:val="auto"/>
              </w:rPr>
            </w:pPr>
          </w:p>
        </w:tc>
      </w:tr>
      <w:tr>
        <w:trPr>
          <w:trHeight w:val="229"/>
        </w:trPr>
        <w:tc>
          <w:tcPr>
            <w:tcW w:w="56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Calico Agreement</w:t>
            </w: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1,343</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3,527</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8,644</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10,682</w:t>
            </w:r>
          </w:p>
        </w:tc>
        <w:tc>
          <w:tcPr>
            <w:tcW w:w="100" w:type="dxa"/>
            <w:vAlign w:val="bottom"/>
            <w:tcBorders>
              <w:bottom w:val="single" w:sz="8" w:color="CFF0FC"/>
            </w:tcBorders>
          </w:tcPr>
          <w:p>
            <w:pPr>
              <w:spacing w:after="0"/>
              <w:rPr>
                <w:sz w:val="19"/>
                <w:szCs w:val="19"/>
                <w:color w:val="auto"/>
              </w:rPr>
            </w:pPr>
          </w:p>
        </w:tc>
      </w:tr>
      <w:tr>
        <w:trPr>
          <w:trHeight w:val="222"/>
        </w:trPr>
        <w:tc>
          <w:tcPr>
            <w:tcW w:w="5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 from collaboration agreements</w:t>
            </w:r>
          </w:p>
        </w:tc>
        <w:tc>
          <w:tcPr>
            <w:tcW w:w="760" w:type="dxa"/>
            <w:vAlign w:val="bottom"/>
            <w:tcBorders>
              <w:bottom w:val="single" w:sz="8" w:color="auto"/>
            </w:tcBorders>
            <w:shd w:val="clear" w:color="auto" w:fill="CFF0FC"/>
          </w:tcPr>
          <w:p>
            <w:pPr>
              <w:jc w:val="right"/>
              <w:ind w:right="57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8,500</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8,447</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25,707</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24,933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$0.1 million increase in revenue in the three months ended September 30, 2021 as compared to the three months ended September 30, 2020 is primarily driven by:</w:t>
      </w:r>
    </w:p>
    <w:p>
      <w:pPr>
        <w:spacing w:after="0" w:line="170" w:lineRule="exact"/>
        <w:rPr>
          <w:sz w:val="20"/>
          <w:szCs w:val="20"/>
          <w:color w:val="auto"/>
        </w:rPr>
      </w:pPr>
    </w:p>
    <w:p>
      <w:pPr>
        <w:ind w:left="580" w:right="440" w:hanging="262"/>
        <w:spacing w:after="0" w:line="276" w:lineRule="auto"/>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$1.3 million increase in revenue recognized under the Biogen Agreement, resulting from increased effort made on the nominated targets and additional revenue recognized from the Biogen milestone earned in Q2 2021; and</w:t>
      </w:r>
    </w:p>
    <w:p>
      <w:pPr>
        <w:spacing w:after="0" w:line="170" w:lineRule="exact"/>
        <w:rPr>
          <w:rFonts w:ascii="Arial" w:cs="Arial" w:eastAsia="Arial" w:hAnsi="Arial"/>
          <w:sz w:val="18"/>
          <w:szCs w:val="18"/>
          <w:color w:val="auto"/>
        </w:rPr>
      </w:pPr>
    </w:p>
    <w:p>
      <w:pPr>
        <w:ind w:left="580" w:hanging="262"/>
        <w:spacing w:after="0"/>
        <w:tabs>
          <w:tab w:leader="none" w:pos="5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$1.0 million increase in revenue recognized under the Roche Agreement resulting from increased effort made on the nominated targets.</w:t>
      </w:r>
    </w:p>
    <w:p>
      <w:pPr>
        <w:spacing w:after="0" w:line="262" w:lineRule="exact"/>
        <w:rPr>
          <w:sz w:val="20"/>
          <w:szCs w:val="20"/>
          <w:color w:val="auto"/>
        </w:rPr>
      </w:pPr>
    </w:p>
    <w:p>
      <w:pPr>
        <w:ind w:right="180"/>
        <w:spacing w:after="0" w:line="306" w:lineRule="auto"/>
        <w:rPr>
          <w:sz w:val="20"/>
          <w:szCs w:val="20"/>
          <w:color w:val="auto"/>
        </w:rPr>
      </w:pPr>
      <w:r>
        <w:rPr>
          <w:rFonts w:ascii="Arial" w:cs="Arial" w:eastAsia="Arial" w:hAnsi="Arial"/>
          <w:sz w:val="17"/>
          <w:szCs w:val="17"/>
          <w:color w:val="auto"/>
        </w:rPr>
        <w:t>This was offset by a $2.2 million decrease in revenue recognized under the Calico Agreement, primarily driven by a decrease in FTE reimbursements and the impact resulting from the extension of the Calico Agreement’s term for one of the research programs in that collaboration.</w:t>
      </w:r>
    </w:p>
    <w:p>
      <w:pPr>
        <w:spacing w:after="0" w:line="40"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color w:val="auto"/>
        </w:rPr>
        <w:t>The $0.8 million increase in revenue in the nine months ended September 30, 2021 as compared to the nine months ended September 30, 2020 is primarily driven by:</w:t>
      </w:r>
    </w:p>
    <w:p>
      <w:pPr>
        <w:spacing w:after="0" w:line="170" w:lineRule="exact"/>
        <w:rPr>
          <w:sz w:val="20"/>
          <w:szCs w:val="20"/>
          <w:color w:val="auto"/>
        </w:rPr>
      </w:pPr>
    </w:p>
    <w:p>
      <w:pPr>
        <w:ind w:left="600" w:right="420" w:hanging="269"/>
        <w:spacing w:after="0" w:line="276" w:lineRule="auto"/>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$2.8 million increase in revenue recognized under the Biogen Agreement, resulting from increased effort made on the nominated targets and additional revenue recognized from the Biogen milestone earned in Q2 2021; and</w:t>
      </w:r>
    </w:p>
    <w:p>
      <w:pPr>
        <w:spacing w:after="0" w:line="170" w:lineRule="exact"/>
        <w:rPr>
          <w:rFonts w:ascii="Arial" w:cs="Arial" w:eastAsia="Arial" w:hAnsi="Arial"/>
          <w:sz w:val="18"/>
          <w:szCs w:val="18"/>
          <w:color w:val="auto"/>
        </w:rPr>
      </w:pPr>
    </w:p>
    <w:p>
      <w:pPr>
        <w:ind w:left="600" w:hanging="269"/>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$1.0 million milestone revenue recognized under the Calico Agreement.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These were offset by:</w:t>
      </w:r>
    </w:p>
    <w:p>
      <w:pPr>
        <w:spacing w:after="0" w:line="224" w:lineRule="exact"/>
        <w:rPr>
          <w:sz w:val="20"/>
          <w:szCs w:val="20"/>
          <w:color w:val="auto"/>
        </w:rPr>
      </w:pPr>
    </w:p>
    <w:p>
      <w:pPr>
        <w:ind w:left="580" w:right="200" w:hanging="262"/>
        <w:spacing w:after="0" w:line="276"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$3.1 million decrease in FTE reimbursements recognized under the Calico Agreement and the impact resulting from the extension of the Calico Agreement’s term for one of the research programs in that collaboration.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research and development expense for the three and nine months ended September 30, 2021 and 2020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4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4"/>
                <w:szCs w:val="14"/>
                <w:color w:val="auto"/>
              </w:rPr>
            </w:pPr>
          </w:p>
        </w:tc>
        <w:tc>
          <w:tcPr>
            <w:tcW w:w="2580" w:type="dxa"/>
            <w:vAlign w:val="bottom"/>
            <w:gridSpan w:val="5"/>
          </w:tcPr>
          <w:p>
            <w:pPr>
              <w:ind w:left="80"/>
              <w:spacing w:after="0"/>
              <w:rPr>
                <w:sz w:val="20"/>
                <w:szCs w:val="20"/>
                <w:color w:val="auto"/>
              </w:rPr>
            </w:pPr>
            <w:r>
              <w:rPr>
                <w:rFonts w:ascii="Arial" w:cs="Arial" w:eastAsia="Arial" w:hAnsi="Arial"/>
                <w:sz w:val="14"/>
                <w:szCs w:val="14"/>
                <w:b w:val="1"/>
                <w:bCs w:val="1"/>
                <w:color w:val="auto"/>
              </w:rPr>
              <w:t>Nine Months Ended September 30,</w:t>
            </w:r>
          </w:p>
        </w:tc>
      </w:tr>
      <w:tr>
        <w:trPr>
          <w:trHeight w:val="155"/>
        </w:trPr>
        <w:tc>
          <w:tcPr>
            <w:tcW w:w="562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2"/>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620" w:type="dxa"/>
            <w:vAlign w:val="bottom"/>
          </w:tcPr>
          <w:p>
            <w:pPr>
              <w:ind w:left="260"/>
              <w:spacing w:after="0"/>
              <w:rPr>
                <w:sz w:val="20"/>
                <w:szCs w:val="20"/>
                <w:color w:val="auto"/>
              </w:rPr>
            </w:pPr>
            <w:r>
              <w:rPr>
                <w:rFonts w:ascii="Arial" w:cs="Arial" w:eastAsia="Arial" w:hAnsi="Arial"/>
                <w:sz w:val="18"/>
                <w:szCs w:val="18"/>
                <w:color w:val="auto"/>
              </w:rPr>
              <w:t>Preclinical and development expenses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12,653</w:t>
            </w:r>
          </w:p>
        </w:tc>
        <w:tc>
          <w:tcPr>
            <w:tcW w:w="52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14,454</w:t>
            </w:r>
          </w:p>
        </w:tc>
        <w:tc>
          <w:tcPr>
            <w:tcW w:w="24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33,025</w:t>
            </w:r>
          </w:p>
        </w:tc>
        <w:tc>
          <w:tcPr>
            <w:tcW w:w="50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32,225</w:t>
            </w:r>
          </w:p>
        </w:tc>
        <w:tc>
          <w:tcPr>
            <w:tcW w:w="100" w:type="dxa"/>
            <w:vAlign w:val="bottom"/>
          </w:tcPr>
          <w:p>
            <w:pPr>
              <w:spacing w:after="0"/>
              <w:rPr>
                <w:sz w:val="19"/>
                <w:szCs w:val="19"/>
                <w:color w:val="auto"/>
              </w:rPr>
            </w:pPr>
          </w:p>
        </w:tc>
      </w:tr>
      <w:tr>
        <w:trPr>
          <w:trHeight w:val="229"/>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Personnel expenses</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7,107</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21,389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14,605</w:t>
            </w:r>
          </w:p>
        </w:tc>
        <w:tc>
          <w:tcPr>
            <w:tcW w:w="100" w:type="dxa"/>
            <w:vAlign w:val="bottom"/>
            <w:shd w:val="clear" w:color="auto" w:fill="CFF0FC"/>
          </w:tcPr>
          <w:p>
            <w:pPr>
              <w:spacing w:after="0"/>
              <w:rPr>
                <w:sz w:val="19"/>
                <w:szCs w:val="19"/>
                <w:color w:val="auto"/>
              </w:rPr>
            </w:pPr>
          </w:p>
        </w:tc>
      </w:tr>
      <w:tr>
        <w:trPr>
          <w:trHeight w:val="229"/>
        </w:trPr>
        <w:tc>
          <w:tcPr>
            <w:tcW w:w="5620" w:type="dxa"/>
            <w:vAlign w:val="bottom"/>
          </w:tcPr>
          <w:p>
            <w:pPr>
              <w:ind w:left="260"/>
              <w:spacing w:after="0"/>
              <w:rPr>
                <w:sz w:val="20"/>
                <w:szCs w:val="20"/>
                <w:color w:val="auto"/>
              </w:rPr>
            </w:pPr>
            <w:r>
              <w:rPr>
                <w:rFonts w:ascii="Arial" w:cs="Arial" w:eastAsia="Arial" w:hAnsi="Arial"/>
                <w:sz w:val="18"/>
                <w:szCs w:val="18"/>
                <w:color w:val="auto"/>
              </w:rPr>
              <w:t>Facilities and supplies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1,922</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2,654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6,459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7,155</w:t>
            </w:r>
          </w:p>
        </w:tc>
        <w:tc>
          <w:tcPr>
            <w:tcW w:w="100" w:type="dxa"/>
            <w:vAlign w:val="bottom"/>
          </w:tcPr>
          <w:p>
            <w:pPr>
              <w:spacing w:after="0"/>
              <w:rPr>
                <w:sz w:val="19"/>
                <w:szCs w:val="19"/>
                <w:color w:val="auto"/>
              </w:rPr>
            </w:pPr>
          </w:p>
        </w:tc>
      </w:tr>
      <w:tr>
        <w:trPr>
          <w:trHeight w:val="229"/>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Professional fees</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1,444</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1,129</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2,969</w:t>
            </w:r>
          </w:p>
        </w:tc>
        <w:tc>
          <w:tcPr>
            <w:tcW w:w="100" w:type="dxa"/>
            <w:vAlign w:val="bottom"/>
            <w:shd w:val="clear" w:color="auto" w:fill="CFF0FC"/>
          </w:tcPr>
          <w:p>
            <w:pPr>
              <w:spacing w:after="0"/>
              <w:rPr>
                <w:sz w:val="19"/>
                <w:szCs w:val="19"/>
                <w:color w:val="auto"/>
              </w:rPr>
            </w:pPr>
          </w:p>
        </w:tc>
      </w:tr>
      <w:tr>
        <w:trPr>
          <w:trHeight w:val="229"/>
        </w:trPr>
        <w:tc>
          <w:tcPr>
            <w:tcW w:w="5620" w:type="dxa"/>
            <w:vAlign w:val="bottom"/>
          </w:tcPr>
          <w:p>
            <w:pPr>
              <w:ind w:left="260"/>
              <w:spacing w:after="0"/>
              <w:rPr>
                <w:sz w:val="20"/>
                <w:szCs w:val="20"/>
                <w:color w:val="auto"/>
              </w:rPr>
            </w:pPr>
            <w:r>
              <w:rPr>
                <w:rFonts w:ascii="Arial" w:cs="Arial" w:eastAsia="Arial" w:hAnsi="Arial"/>
                <w:sz w:val="18"/>
                <w:szCs w:val="18"/>
                <w:color w:val="auto"/>
              </w:rPr>
              <w:t>Clinical expenses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422</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1,606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Intellectual property</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708</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886</w:t>
            </w:r>
          </w:p>
        </w:tc>
        <w:tc>
          <w:tcPr>
            <w:tcW w:w="100" w:type="dxa"/>
            <w:vAlign w:val="bottom"/>
            <w:shd w:val="clear" w:color="auto" w:fill="CFF0FC"/>
          </w:tcPr>
          <w:p>
            <w:pPr>
              <w:spacing w:after="0"/>
              <w:rPr>
                <w:sz w:val="19"/>
                <w:szCs w:val="19"/>
                <w:color w:val="auto"/>
              </w:rPr>
            </w:pPr>
          </w:p>
        </w:tc>
      </w:tr>
      <w:tr>
        <w:trPr>
          <w:trHeight w:val="229"/>
        </w:trPr>
        <w:tc>
          <w:tcPr>
            <w:tcW w:w="56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expenses</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FF0FC"/>
            </w:tcBorders>
          </w:tcPr>
          <w:p>
            <w:pPr>
              <w:spacing w:after="0"/>
              <w:rPr>
                <w:sz w:val="19"/>
                <w:szCs w:val="19"/>
                <w:color w:val="auto"/>
              </w:rPr>
            </w:pPr>
          </w:p>
        </w:tc>
      </w:tr>
      <w:tr>
        <w:trPr>
          <w:trHeight w:val="222"/>
        </w:trPr>
        <w:tc>
          <w:tcPr>
            <w:tcW w:w="5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and development expenses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24,302</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23,935</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68,114</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58,007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The $0.4 million increase in research and development expense in the three months ended September 30, 2021 as compared to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 is primarily driven by:</w:t>
      </w:r>
    </w:p>
    <w:p>
      <w:pPr>
        <w:spacing w:after="0" w:line="210" w:lineRule="exact"/>
        <w:rPr>
          <w:sz w:val="20"/>
          <w:szCs w:val="20"/>
          <w:color w:val="auto"/>
        </w:rPr>
      </w:pPr>
    </w:p>
    <w:p>
      <w:pPr>
        <w:ind w:left="540" w:right="180" w:hanging="263"/>
        <w:spacing w:after="0" w:line="341" w:lineRule="auto"/>
        <w:tabs>
          <w:tab w:leader="none" w:pos="5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$1.7 million increase in personnel expenses, representing salary and benefit costs, including a $1.8 million increase in stock-based compensation expense driven primarily by the increase in the fair value of our stock, and due to the buildout of our clinical development team.</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83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This was offset by:</w:t>
      </w:r>
    </w:p>
    <w:p>
      <w:pPr>
        <w:spacing w:after="0" w:line="224" w:lineRule="exact"/>
        <w:rPr>
          <w:sz w:val="20"/>
          <w:szCs w:val="20"/>
          <w:color w:val="auto"/>
        </w:rPr>
      </w:pPr>
    </w:p>
    <w:p>
      <w:pPr>
        <w:ind w:left="540" w:right="140" w:hanging="263"/>
        <w:spacing w:after="0" w:line="276"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$1.8 million decrease in preclinical and development costs in comparison to the three months ended September 30, 2020, when we were ramping up to support the IND filing of CFT7455.</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$10.1 million increase in research and development expense in the nine months ended September 30, 2021 as compared to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 is primarily driven by:</w:t>
      </w:r>
    </w:p>
    <w:p>
      <w:pPr>
        <w:spacing w:after="0" w:line="210" w:lineRule="exact"/>
        <w:rPr>
          <w:sz w:val="20"/>
          <w:szCs w:val="20"/>
          <w:color w:val="auto"/>
        </w:rPr>
      </w:pPr>
    </w:p>
    <w:p>
      <w:pPr>
        <w:ind w:left="540" w:right="180" w:hanging="263"/>
        <w:spacing w:after="0" w:line="341" w:lineRule="auto"/>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$6.8 million increase in personnel expenses, representing salary and benefit costs, including a $4.6 million increase in stock-based compensation expense driven primarily by the increase in the fair value of our stock, and due to the buildout of our clinical development team</w:t>
      </w:r>
    </w:p>
    <w:p>
      <w:pPr>
        <w:spacing w:after="0" w:line="123" w:lineRule="exact"/>
        <w:rPr>
          <w:rFonts w:ascii="Arial" w:cs="Arial" w:eastAsia="Arial" w:hAnsi="Arial"/>
          <w:sz w:val="16"/>
          <w:szCs w:val="16"/>
          <w:color w:val="auto"/>
        </w:rPr>
      </w:pPr>
    </w:p>
    <w:p>
      <w:pPr>
        <w:ind w:left="540" w:right="100" w:hanging="263"/>
        <w:spacing w:after="0" w:line="276"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$1.5 million increase in professional fees and intellectual property costs, which primarily consists of consulting and other third-party costs for our research and development activities; and</w:t>
      </w:r>
    </w:p>
    <w:p>
      <w:pPr>
        <w:spacing w:after="0" w:line="170" w:lineRule="exact"/>
        <w:rPr>
          <w:rFonts w:ascii="Arial" w:cs="Arial" w:eastAsia="Arial" w:hAnsi="Arial"/>
          <w:sz w:val="18"/>
          <w:szCs w:val="18"/>
          <w:color w:val="auto"/>
        </w:rPr>
      </w:pPr>
    </w:p>
    <w:p>
      <w:pPr>
        <w:ind w:left="540" w:hanging="263"/>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$1.6 million increase in clinical costs resulting from the initiation of phase 1/2 clinical trial of CFT7455 in June 2021.</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general and administrative expense for the three and nine months ended September 30, 2021 and 2020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2880" w:type="dxa"/>
            <w:vAlign w:val="bottom"/>
            <w:gridSpan w:val="6"/>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4"/>
                <w:szCs w:val="14"/>
                <w:color w:val="auto"/>
              </w:rPr>
            </w:pPr>
          </w:p>
        </w:tc>
        <w:tc>
          <w:tcPr>
            <w:tcW w:w="2580" w:type="dxa"/>
            <w:vAlign w:val="bottom"/>
            <w:gridSpan w:val="5"/>
          </w:tcPr>
          <w:p>
            <w:pPr>
              <w:ind w:left="80"/>
              <w:spacing w:after="0"/>
              <w:rPr>
                <w:sz w:val="20"/>
                <w:szCs w:val="20"/>
                <w:color w:val="auto"/>
              </w:rPr>
            </w:pPr>
            <w:r>
              <w:rPr>
                <w:rFonts w:ascii="Arial" w:cs="Arial" w:eastAsia="Arial" w:hAnsi="Arial"/>
                <w:sz w:val="14"/>
                <w:szCs w:val="14"/>
                <w:b w:val="1"/>
                <w:bCs w:val="1"/>
                <w:color w:val="auto"/>
              </w:rPr>
              <w:t>Nine Months Ended September 30,</w:t>
            </w:r>
          </w:p>
        </w:tc>
      </w:tr>
      <w:tr>
        <w:trPr>
          <w:trHeight w:val="155"/>
        </w:trPr>
        <w:tc>
          <w:tcPr>
            <w:tcW w:w="5620" w:type="dxa"/>
            <w:vAlign w:val="bottom"/>
            <w:tcBorders>
              <w:bottom w:val="single" w:sz="8" w:color="CFF0FC"/>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96"/>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2"/>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7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620" w:type="dxa"/>
            <w:vAlign w:val="bottom"/>
          </w:tcPr>
          <w:p>
            <w:pPr>
              <w:ind w:left="260"/>
              <w:spacing w:after="0"/>
              <w:rPr>
                <w:sz w:val="20"/>
                <w:szCs w:val="20"/>
                <w:color w:val="auto"/>
              </w:rPr>
            </w:pPr>
            <w:r>
              <w:rPr>
                <w:rFonts w:ascii="Arial" w:cs="Arial" w:eastAsia="Arial" w:hAnsi="Arial"/>
                <w:sz w:val="18"/>
                <w:szCs w:val="18"/>
                <w:color w:val="auto"/>
              </w:rPr>
              <w:t>Personnel expenses</w:t>
            </w:r>
          </w:p>
        </w:tc>
        <w:tc>
          <w:tcPr>
            <w:tcW w:w="760" w:type="dxa"/>
            <w:vAlign w:val="bottom"/>
          </w:tcPr>
          <w:p>
            <w:pPr>
              <w:jc w:val="right"/>
              <w:ind w:right="579"/>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6,244</w:t>
            </w:r>
          </w:p>
        </w:tc>
        <w:tc>
          <w:tcPr>
            <w:tcW w:w="52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912</w:t>
            </w:r>
          </w:p>
        </w:tc>
        <w:tc>
          <w:tcPr>
            <w:tcW w:w="24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16,827</w:t>
            </w:r>
          </w:p>
        </w:tc>
        <w:tc>
          <w:tcPr>
            <w:tcW w:w="50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4,012</w:t>
            </w:r>
          </w:p>
        </w:tc>
        <w:tc>
          <w:tcPr>
            <w:tcW w:w="100" w:type="dxa"/>
            <w:vAlign w:val="bottom"/>
          </w:tcPr>
          <w:p>
            <w:pPr>
              <w:spacing w:after="0"/>
              <w:rPr>
                <w:sz w:val="19"/>
                <w:szCs w:val="19"/>
                <w:color w:val="auto"/>
              </w:rPr>
            </w:pPr>
          </w:p>
        </w:tc>
      </w:tr>
      <w:tr>
        <w:trPr>
          <w:trHeight w:val="229"/>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Professional fees</w:t>
            </w:r>
          </w:p>
        </w:tc>
        <w:tc>
          <w:tcPr>
            <w:tcW w:w="7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1,827</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3,609</w:t>
            </w:r>
          </w:p>
        </w:tc>
        <w:tc>
          <w:tcPr>
            <w:tcW w:w="100" w:type="dxa"/>
            <w:vAlign w:val="bottom"/>
            <w:shd w:val="clear" w:color="auto" w:fill="CFF0FC"/>
          </w:tcPr>
          <w:p>
            <w:pPr>
              <w:spacing w:after="0"/>
              <w:rPr>
                <w:sz w:val="19"/>
                <w:szCs w:val="19"/>
                <w:color w:val="auto"/>
              </w:rPr>
            </w:pPr>
          </w:p>
        </w:tc>
      </w:tr>
      <w:tr>
        <w:trPr>
          <w:trHeight w:val="229"/>
        </w:trPr>
        <w:tc>
          <w:tcPr>
            <w:tcW w:w="56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expenses</w:t>
            </w: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w:t>
            </w:r>
          </w:p>
        </w:tc>
        <w:tc>
          <w:tcPr>
            <w:tcW w:w="100" w:type="dxa"/>
            <w:vAlign w:val="bottom"/>
            <w:tcBorders>
              <w:bottom w:val="single" w:sz="8" w:color="CFF0FC"/>
            </w:tcBorders>
          </w:tcPr>
          <w:p>
            <w:pPr>
              <w:spacing w:after="0"/>
              <w:rPr>
                <w:sz w:val="19"/>
                <w:szCs w:val="19"/>
                <w:color w:val="auto"/>
              </w:rPr>
            </w:pPr>
          </w:p>
        </w:tc>
      </w:tr>
      <w:tr>
        <w:trPr>
          <w:trHeight w:val="222"/>
        </w:trPr>
        <w:tc>
          <w:tcPr>
            <w:tcW w:w="5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general and administrative expenses</w:t>
            </w:r>
          </w:p>
        </w:tc>
        <w:tc>
          <w:tcPr>
            <w:tcW w:w="760" w:type="dxa"/>
            <w:vAlign w:val="bottom"/>
            <w:tcBorders>
              <w:bottom w:val="single" w:sz="8" w:color="auto"/>
            </w:tcBorders>
            <w:shd w:val="clear" w:color="auto" w:fill="CFF0FC"/>
          </w:tcPr>
          <w:p>
            <w:pPr>
              <w:jc w:val="right"/>
              <w:ind w:right="57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8,452</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2,861</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24,472</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8,472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The $5.6 million increase in general and administrative expense in the three months ended September 30, 2021 as compared to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 is primarily driven by:</w:t>
      </w:r>
    </w:p>
    <w:p>
      <w:pPr>
        <w:spacing w:after="0" w:line="210" w:lineRule="exact"/>
        <w:rPr>
          <w:sz w:val="20"/>
          <w:szCs w:val="20"/>
          <w:color w:val="auto"/>
        </w:rPr>
      </w:pPr>
    </w:p>
    <w:p>
      <w:pPr>
        <w:ind w:left="540" w:right="180" w:hanging="263"/>
        <w:spacing w:after="0" w:line="276"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$5.3 million increase in personnel expenses resulting from a $3.9 million increase in stock-based compensation expenses driven primarily by the increase in the fair market value of our stock.</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$16.0 million increase in general and administrative expense in the nine months ended September 30, 2021 as compared to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 is primarily driven by:</w:t>
      </w:r>
    </w:p>
    <w:p>
      <w:pPr>
        <w:spacing w:after="0" w:line="210" w:lineRule="exact"/>
        <w:rPr>
          <w:sz w:val="20"/>
          <w:szCs w:val="20"/>
          <w:color w:val="auto"/>
        </w:rPr>
      </w:pPr>
    </w:p>
    <w:p>
      <w:pPr>
        <w:ind w:left="540" w:right="80" w:hanging="263"/>
        <w:spacing w:after="0" w:line="285" w:lineRule="auto"/>
        <w:tabs>
          <w:tab w:leader="none" w:pos="5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$12.8 million increase in personnel expenses resulting from a $9.9 million increase in stock-based compensation expenses driven primarily by the increase in the fair market value of our stock, partially offset by lower severance expense in the current period compared to severance expense recognized in the three months ended March 31, 2020 resulting from the departure of our Former CEO; and</w:t>
      </w:r>
    </w:p>
    <w:p>
      <w:pPr>
        <w:spacing w:after="0" w:line="165" w:lineRule="exact"/>
        <w:rPr>
          <w:rFonts w:ascii="Arial" w:cs="Arial" w:eastAsia="Arial" w:hAnsi="Arial"/>
          <w:sz w:val="17"/>
          <w:szCs w:val="17"/>
          <w:color w:val="auto"/>
        </w:rPr>
      </w:pPr>
    </w:p>
    <w:p>
      <w:pPr>
        <w:ind w:left="540" w:right="640" w:hanging="263"/>
        <w:spacing w:after="0" w:line="276"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$3.0 million increase in professional fees, which is driven primarily by increased insurance costs, consultant fees, and legal and audit fees, resulting from our transition to a public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income, net</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other (expense) income for the three and nine months ended September 30, 2021 and 2020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80" w:type="dxa"/>
            <w:vAlign w:val="bottom"/>
            <w:gridSpan w:val="7"/>
          </w:tcPr>
          <w:p>
            <w:pPr>
              <w:jc w:val="right"/>
              <w:ind w:right="46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4"/>
                <w:szCs w:val="14"/>
                <w:color w:val="auto"/>
              </w:rPr>
            </w:pPr>
          </w:p>
        </w:tc>
        <w:tc>
          <w:tcPr>
            <w:tcW w:w="258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155"/>
        </w:trPr>
        <w:tc>
          <w:tcPr>
            <w:tcW w:w="5300" w:type="dxa"/>
            <w:vAlign w:val="bottom"/>
            <w:tcBorders>
              <w:bottom w:val="single" w:sz="8" w:color="CFF0FC"/>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96"/>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2"/>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 net:</w:t>
            </w: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300" w:type="dxa"/>
            <w:vAlign w:val="bottom"/>
          </w:tcPr>
          <w:p>
            <w:pPr>
              <w:ind w:left="260"/>
              <w:spacing w:after="0"/>
              <w:rPr>
                <w:sz w:val="20"/>
                <w:szCs w:val="20"/>
                <w:color w:val="auto"/>
              </w:rPr>
            </w:pPr>
            <w:r>
              <w:rPr>
                <w:rFonts w:ascii="Arial" w:cs="Arial" w:eastAsia="Arial" w:hAnsi="Arial"/>
                <w:sz w:val="18"/>
                <w:szCs w:val="18"/>
                <w:color w:val="auto"/>
                <w:w w:val="94"/>
              </w:rPr>
              <w:t>Interest expense and amortization of long-term debt − related party</w:t>
            </w:r>
          </w:p>
        </w:tc>
        <w:tc>
          <w:tcPr>
            <w:tcW w:w="1120" w:type="dxa"/>
            <w:vAlign w:val="bottom"/>
            <w:gridSpan w:val="2"/>
          </w:tcPr>
          <w:p>
            <w:pPr>
              <w:jc w:val="right"/>
              <w:ind w:right="622"/>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(539)</w:t>
            </w:r>
          </w:p>
        </w:tc>
        <w:tc>
          <w:tcPr>
            <w:tcW w:w="3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(562)</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(1,606)</w:t>
            </w:r>
          </w:p>
        </w:tc>
        <w:tc>
          <w:tcPr>
            <w:tcW w:w="3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(689)</w:t>
            </w:r>
          </w:p>
        </w:tc>
      </w:tr>
      <w:tr>
        <w:trPr>
          <w:trHeight w:val="229"/>
        </w:trPr>
        <w:tc>
          <w:tcPr>
            <w:tcW w:w="5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and other income, net</w:t>
            </w: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FF0FC"/>
          </w:tcPr>
          <w:p>
            <w:pPr>
              <w:spacing w:after="0"/>
              <w:rPr>
                <w:sz w:val="19"/>
                <w:szCs w:val="19"/>
                <w:color w:val="auto"/>
              </w:rPr>
            </w:pPr>
          </w:p>
        </w:tc>
      </w:tr>
      <w:tr>
        <w:trPr>
          <w:trHeight w:val="229"/>
        </w:trPr>
        <w:tc>
          <w:tcPr>
            <w:tcW w:w="5300" w:type="dxa"/>
            <w:vAlign w:val="bottom"/>
          </w:tcPr>
          <w:p>
            <w:pPr>
              <w:ind w:left="260"/>
              <w:spacing w:after="0"/>
              <w:rPr>
                <w:sz w:val="20"/>
                <w:szCs w:val="20"/>
                <w:color w:val="auto"/>
              </w:rPr>
            </w:pPr>
            <w:r>
              <w:rPr>
                <w:rFonts w:ascii="Arial" w:cs="Arial" w:eastAsia="Arial" w:hAnsi="Arial"/>
                <w:sz w:val="18"/>
                <w:szCs w:val="18"/>
                <w:color w:val="auto"/>
              </w:rPr>
              <w:t>Change in fair value of warrant liability</w:t>
            </w: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(3,141)</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(3,141)</w:t>
            </w:r>
          </w:p>
        </w:tc>
      </w:tr>
      <w:tr>
        <w:trPr>
          <w:trHeight w:val="222"/>
        </w:trPr>
        <w:tc>
          <w:tcPr>
            <w:tcW w:w="53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(expense) income, net</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ind w:right="622"/>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5"/>
              </w:rPr>
              <w:t>(429)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5300" w:type="dxa"/>
            <w:vAlign w:val="bottom"/>
          </w:tcPr>
          <w:p>
            <w:pPr>
              <w:spacing w:after="0"/>
              <w:rPr>
                <w:sz w:val="24"/>
                <w:szCs w:val="24"/>
                <w:color w:val="auto"/>
              </w:rPr>
            </w:pPr>
          </w:p>
        </w:tc>
        <w:tc>
          <w:tcPr>
            <w:tcW w:w="1120" w:type="dxa"/>
            <w:vAlign w:val="bottom"/>
            <w:gridSpan w:val="2"/>
          </w:tcPr>
          <w:p>
            <w:pPr>
              <w:jc w:val="right"/>
              <w:ind w:right="622"/>
              <w:spacing w:after="0"/>
              <w:rPr>
                <w:sz w:val="20"/>
                <w:szCs w:val="20"/>
                <w:color w:val="auto"/>
              </w:rPr>
            </w:pPr>
            <w:r>
              <w:rPr>
                <w:rFonts w:ascii="Arial" w:cs="Arial" w:eastAsia="Arial" w:hAnsi="Arial"/>
                <w:sz w:val="18"/>
                <w:szCs w:val="18"/>
                <w:color w:val="auto"/>
              </w:rPr>
              <w:t>23</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0"/>
        </w:trPr>
        <w:tc>
          <w:tcPr>
            <w:tcW w:w="53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color w:val="auto"/>
        </w:rPr>
        <w:t>The $3.2 million change in other (expenses) income, net in the three months ended September 30, 2021 as compared to the three months ended</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 is driven by:</w:t>
      </w:r>
    </w:p>
    <w:p>
      <w:pPr>
        <w:spacing w:after="0" w:line="210" w:lineRule="exact"/>
        <w:rPr>
          <w:sz w:val="20"/>
          <w:szCs w:val="20"/>
          <w:color w:val="auto"/>
        </w:rPr>
      </w:pPr>
    </w:p>
    <w:p>
      <w:pPr>
        <w:ind w:left="540" w:hanging="263"/>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$3.1 million charge recognized in September 2020 upon fair value revaluation of the Perceptive warrant liability.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The $2.1 million change in other (expenses) income, net in the nine months ended September 30, 2021 as compared to the nine months ended</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 is driven by the following:</w:t>
      </w:r>
    </w:p>
    <w:p>
      <w:pPr>
        <w:spacing w:after="0" w:line="224" w:lineRule="exact"/>
        <w:rPr>
          <w:sz w:val="20"/>
          <w:szCs w:val="20"/>
          <w:color w:val="auto"/>
        </w:rPr>
      </w:pPr>
    </w:p>
    <w:p>
      <w:pPr>
        <w:ind w:right="2460" w:firstLine="277"/>
        <w:spacing w:after="0" w:line="515" w:lineRule="auto"/>
        <w:tabs>
          <w:tab w:leader="none" w:pos="539"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$3.1 million charge recognized in September 2020 upon fair value revaluation of the Perceptive warrant liability. This is offset by:</w:t>
      </w:r>
    </w:p>
    <w:p>
      <w:pPr>
        <w:ind w:left="540" w:right="20" w:hanging="263"/>
        <w:spacing w:after="0" w:line="276"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$0.9 million increase in interest expense and amortization of the discount related to our long-term debt, the agreement for which we entered into in June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Since inception, we have incurred significant operating losses. We expect to incur significant expenses and operating losses for the foreseeable future as we advance the preclinical and, if successful, the clinical development of our programs. We do not currently have any approved products and have never generated any revenue from product sales. To date, we have financed our operations primarily through the sale of preferred stock, public offerings of our common stock, and through payments from collaboration partners. As of September 30, 2021, we had cash, cash equivalents and marketable securities of approximately $480.3 million.</w:t>
      </w:r>
    </w:p>
    <w:p>
      <w:pPr>
        <w:spacing w:after="0" w:line="81"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In June 2020 and July 2020, we closed our Series B Financing with both existing and new investors. As part of the Series B Financing, we issued 142,857,142 shares of redeemable convertible Series B preferred stock at a purchase price of $1.05 per share, for aggregate net proceeds of $145.5 million. Upon completion of the IPO, all of our redeemable convertible preferred stock was automatically converted into shares of our common stock at a rate of 8.4335 shares of redeemable convertible preferred stock to one share of common stock.</w:t>
      </w:r>
    </w:p>
    <w:p>
      <w:pPr>
        <w:spacing w:after="0" w:line="8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addition, in June 2020, we secured a $20.0 million credit arrangement with Perceptive Credit Holdings III, LP, or Perceptive Credit, an affiliate of one of the Series B Financing investors, whereby we borrowed $12.5 million at closing, bearing a variable interest rate of 11.25%, and can draw down another $7.5 million. Our ability to draw down on this second tranche expired on June 30, 2021.</w:t>
      </w:r>
    </w:p>
    <w:p>
      <w:pPr>
        <w:spacing w:after="0" w:line="74" w:lineRule="exact"/>
        <w:rPr>
          <w:sz w:val="20"/>
          <w:szCs w:val="20"/>
          <w:color w:val="auto"/>
        </w:rPr>
      </w:pPr>
    </w:p>
    <w:p>
      <w:pPr>
        <w:ind w:right="200"/>
        <w:spacing w:after="0" w:line="306" w:lineRule="auto"/>
        <w:rPr>
          <w:sz w:val="20"/>
          <w:szCs w:val="20"/>
          <w:color w:val="auto"/>
        </w:rPr>
      </w:pPr>
      <w:r>
        <w:rPr>
          <w:rFonts w:ascii="Arial" w:cs="Arial" w:eastAsia="Arial" w:hAnsi="Arial"/>
          <w:sz w:val="17"/>
          <w:szCs w:val="17"/>
          <w:color w:val="auto"/>
        </w:rPr>
        <w:t>In October 2020, we completed our IPO in which we issued and sold 11,040,000 shares of common stock at a price to the public of $19.00 per share. The net proceeds from our IPO, including the full exercise of the underwriter’s overallotment option, were approximately $191.2 million.</w:t>
      </w:r>
    </w:p>
    <w:p>
      <w:pPr>
        <w:spacing w:after="0" w:line="40"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In June 2021, the Company completed a follow-on offering, at which time the Company issued 4,887,500 shares of its common stock, including 637,500 shares of common stock that were issued to the underwriters when they exercised in full their overallotment option. Net proceeds from the follow-on offering, including the exercise in full of the underwriters’ option to purchase additional shares, were $169.5 million, after deducting underwriting discounts and commissions, and estimated expenses of $11.3 million.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sources and uses of cash for the periods presented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40" w:type="dxa"/>
            <w:vAlign w:val="bottom"/>
          </w:tcPr>
          <w:p>
            <w:pPr>
              <w:spacing w:after="0"/>
              <w:rPr>
                <w:sz w:val="14"/>
                <w:szCs w:val="14"/>
                <w:color w:val="auto"/>
              </w:rPr>
            </w:pPr>
          </w:p>
        </w:tc>
        <w:tc>
          <w:tcPr>
            <w:tcW w:w="29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754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r>
      <w:tr>
        <w:trPr>
          <w:trHeight w:val="222"/>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Net change in cash, cash equivalents and restricted cash:</w:t>
            </w:r>
          </w:p>
        </w:tc>
        <w:tc>
          <w:tcPr>
            <w:tcW w:w="9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540" w:type="dxa"/>
            <w:vAlign w:val="bottom"/>
          </w:tcPr>
          <w:p>
            <w:pPr>
              <w:ind w:left="260"/>
              <w:spacing w:after="0"/>
              <w:rPr>
                <w:sz w:val="20"/>
                <w:szCs w:val="20"/>
                <w:color w:val="auto"/>
              </w:rPr>
            </w:pPr>
            <w:r>
              <w:rPr>
                <w:rFonts w:ascii="Arial" w:cs="Arial" w:eastAsia="Arial" w:hAnsi="Arial"/>
                <w:sz w:val="18"/>
                <w:szCs w:val="18"/>
                <w:color w:val="auto"/>
              </w:rPr>
              <w:t>Net cash used in operating activities</w:t>
            </w:r>
          </w:p>
        </w:tc>
        <w:tc>
          <w:tcPr>
            <w:tcW w:w="980" w:type="dxa"/>
            <w:vAlign w:val="bottom"/>
          </w:tcPr>
          <w:p>
            <w:pPr>
              <w:jc w:val="right"/>
              <w:ind w:right="799"/>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(61,294)</w:t>
            </w:r>
          </w:p>
        </w:tc>
        <w:tc>
          <w:tcPr>
            <w:tcW w:w="960" w:type="dxa"/>
            <w:vAlign w:val="bottom"/>
          </w:tcPr>
          <w:p>
            <w:pPr>
              <w:jc w:val="right"/>
              <w:ind w:right="807"/>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(45,656)</w:t>
            </w:r>
          </w:p>
        </w:tc>
      </w:tr>
      <w:tr>
        <w:trPr>
          <w:trHeight w:val="229"/>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cash used in investing activities</w:t>
            </w:r>
          </w:p>
        </w:tc>
        <w:tc>
          <w:tcPr>
            <w:tcW w:w="9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0"/>
              </w:rPr>
              <w:t>(129,923)</w:t>
            </w:r>
          </w:p>
        </w:tc>
        <w:tc>
          <w:tcPr>
            <w:tcW w:w="9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3"/>
              </w:rPr>
              <w:t>(136,338)</w:t>
            </w:r>
          </w:p>
        </w:tc>
      </w:tr>
      <w:tr>
        <w:trPr>
          <w:trHeight w:val="229"/>
        </w:trPr>
        <w:tc>
          <w:tcPr>
            <w:tcW w:w="75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cash provided by financing activities</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170,934</w:t>
            </w:r>
          </w:p>
        </w:tc>
        <w:tc>
          <w:tcPr>
            <w:tcW w:w="30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154,879</w:t>
            </w:r>
          </w:p>
        </w:tc>
        <w:tc>
          <w:tcPr>
            <w:tcW w:w="120" w:type="dxa"/>
            <w:vAlign w:val="bottom"/>
            <w:tcBorders>
              <w:bottom w:val="single" w:sz="8" w:color="CFF0FC"/>
            </w:tcBorders>
          </w:tcPr>
          <w:p>
            <w:pPr>
              <w:spacing w:after="0"/>
              <w:rPr>
                <w:sz w:val="19"/>
                <w:szCs w:val="19"/>
                <w:color w:val="auto"/>
              </w:rPr>
            </w:pPr>
          </w:p>
        </w:tc>
      </w:tr>
      <w:tr>
        <w:trPr>
          <w:trHeight w:val="222"/>
        </w:trPr>
        <w:tc>
          <w:tcPr>
            <w:tcW w:w="7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net change in cash, cash equivalents and restricted cash</w:t>
            </w:r>
          </w:p>
        </w:tc>
        <w:tc>
          <w:tcPr>
            <w:tcW w:w="980" w:type="dxa"/>
            <w:vAlign w:val="bottom"/>
            <w:tcBorders>
              <w:bottom w:val="single" w:sz="8" w:color="auto"/>
            </w:tcBorders>
            <w:shd w:val="clear" w:color="auto" w:fill="CFF0FC"/>
          </w:tcPr>
          <w:p>
            <w:pPr>
              <w:jc w:val="right"/>
              <w:ind w:right="799"/>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(20,283)</w:t>
            </w:r>
          </w:p>
        </w:tc>
        <w:tc>
          <w:tcPr>
            <w:tcW w:w="30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80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(27,115)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5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operating activities for the nine months ended September 30, 2021 was driven primarily by the following uses of cash:</w:t>
      </w:r>
    </w:p>
    <w:p>
      <w:pPr>
        <w:spacing w:after="0" w:line="224" w:lineRule="exact"/>
        <w:rPr>
          <w:sz w:val="20"/>
          <w:szCs w:val="20"/>
          <w:color w:val="auto"/>
        </w:rPr>
      </w:pPr>
    </w:p>
    <w:p>
      <w:pPr>
        <w:ind w:left="540" w:hanging="263"/>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net loss of $68.2 million;</w:t>
      </w:r>
    </w:p>
    <w:p>
      <w:pPr>
        <w:spacing w:after="0" w:line="250" w:lineRule="exact"/>
        <w:rPr>
          <w:rFonts w:ascii="Arial" w:cs="Arial" w:eastAsia="Arial" w:hAnsi="Arial"/>
          <w:sz w:val="18"/>
          <w:szCs w:val="18"/>
          <w:color w:val="auto"/>
        </w:rPr>
      </w:pPr>
    </w:p>
    <w:p>
      <w:pPr>
        <w:ind w:left="540" w:hanging="263"/>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$10.0 million change in deferred revenue due to the recognition of revenue under our collaboration agreements;</w:t>
      </w:r>
    </w:p>
    <w:p>
      <w:pPr>
        <w:spacing w:after="0" w:line="250" w:lineRule="exact"/>
        <w:rPr>
          <w:rFonts w:ascii="Arial" w:cs="Arial" w:eastAsia="Arial" w:hAnsi="Arial"/>
          <w:sz w:val="18"/>
          <w:szCs w:val="18"/>
          <w:color w:val="auto"/>
        </w:rPr>
      </w:pPr>
    </w:p>
    <w:p>
      <w:pPr>
        <w:ind w:left="540" w:hanging="263"/>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$1.9 million change in accounts payable and accrued expenses;</w:t>
      </w:r>
    </w:p>
    <w:p>
      <w:pPr>
        <w:spacing w:after="0" w:line="250" w:lineRule="exact"/>
        <w:rPr>
          <w:rFonts w:ascii="Arial" w:cs="Arial" w:eastAsia="Arial" w:hAnsi="Arial"/>
          <w:sz w:val="18"/>
          <w:szCs w:val="18"/>
          <w:color w:val="auto"/>
        </w:rPr>
      </w:pPr>
    </w:p>
    <w:p>
      <w:pPr>
        <w:ind w:left="540" w:hanging="263"/>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$1.1 million change in prepaid expense and other assets.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83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48" w:right="339" w:bottom="1440" w:gutter="0" w:footer="0" w:header="0"/>
        </w:sectPr>
      </w:pPr>
    </w:p>
    <w:bookmarkStart w:id="30" w:name="page31"/>
    <w:bookmarkEnd w:id="30"/>
    <w:p>
      <w:pPr>
        <w:ind w:right="400"/>
        <w:spacing w:after="0" w:line="276" w:lineRule="auto"/>
        <w:rPr>
          <w:sz w:val="20"/>
          <w:szCs w:val="20"/>
          <w:color w:val="auto"/>
        </w:rPr>
      </w:pPr>
      <w:r>
        <w:rPr>
          <w:rFonts w:ascii="Arial" w:cs="Arial" w:eastAsia="Arial" w:hAnsi="Arial"/>
          <w:sz w:val="18"/>
          <w:szCs w:val="18"/>
          <w:color w:val="auto"/>
        </w:rPr>
        <w:t>These were offset by non-cash expenses of $18.9 million, which primarily consisted of stock-based compensation expense of $15.2 million, and a $2.2 million change in accrued expense and other current liabilities.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operating activities for the nine months ended September 30, 2020 was driven primarily by the following uses of cash:</w:t>
      </w:r>
    </w:p>
    <w:p>
      <w:pPr>
        <w:spacing w:after="0" w:line="224" w:lineRule="exact"/>
        <w:rPr>
          <w:sz w:val="20"/>
          <w:szCs w:val="20"/>
          <w:color w:val="auto"/>
        </w:rPr>
      </w:pPr>
    </w:p>
    <w:p>
      <w:pPr>
        <w:ind w:left="540" w:hanging="263"/>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net loss of $44.5 million;</w:t>
      </w:r>
    </w:p>
    <w:p>
      <w:pPr>
        <w:spacing w:after="0" w:line="250" w:lineRule="exact"/>
        <w:rPr>
          <w:rFonts w:ascii="Arial" w:cs="Arial" w:eastAsia="Arial" w:hAnsi="Arial"/>
          <w:sz w:val="18"/>
          <w:szCs w:val="18"/>
          <w:color w:val="auto"/>
        </w:rPr>
      </w:pPr>
    </w:p>
    <w:p>
      <w:pPr>
        <w:ind w:left="540" w:hanging="263"/>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$8.4 million change in deferred revenue due to the recognition of revenue under our collaboration agreements; and</w:t>
      </w:r>
    </w:p>
    <w:p>
      <w:pPr>
        <w:spacing w:after="0" w:line="250" w:lineRule="exact"/>
        <w:rPr>
          <w:rFonts w:ascii="Arial" w:cs="Arial" w:eastAsia="Arial" w:hAnsi="Arial"/>
          <w:sz w:val="18"/>
          <w:szCs w:val="18"/>
          <w:color w:val="auto"/>
        </w:rPr>
      </w:pPr>
    </w:p>
    <w:p>
      <w:pPr>
        <w:ind w:left="540" w:hanging="263"/>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$1.8 million change in prepaid expense and other assets.</w:t>
      </w:r>
    </w:p>
    <w:p>
      <w:pPr>
        <w:spacing w:after="0" w:line="251" w:lineRule="exact"/>
        <w:rPr>
          <w:sz w:val="20"/>
          <w:szCs w:val="20"/>
          <w:color w:val="auto"/>
        </w:rPr>
      </w:pPr>
    </w:p>
    <w:p>
      <w:pPr>
        <w:ind w:right="160"/>
        <w:spacing w:after="0" w:line="276" w:lineRule="auto"/>
        <w:rPr>
          <w:sz w:val="20"/>
          <w:szCs w:val="20"/>
          <w:color w:val="auto"/>
        </w:rPr>
      </w:pPr>
      <w:r>
        <w:rPr>
          <w:rFonts w:ascii="Arial" w:cs="Arial" w:eastAsia="Arial" w:hAnsi="Arial"/>
          <w:sz w:val="18"/>
          <w:szCs w:val="18"/>
          <w:color w:val="auto"/>
        </w:rPr>
        <w:t>These were offset by non-cash expenses of $6.3 million, which primarily consisted of a $3.1 million charge recognized in September 2020 upon fair value revaluation of the Perceptive warrant liability, and a $3.2 million change in accrued expense and other current liabilities.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6"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color w:val="auto"/>
        </w:rPr>
        <w:t>Net cash used in investing activities for the nine months ended September 30, 2021 was primarily attributable to $128.8 million of purchases of marketable securities, net of maturities, in addition to purchases of property and equipment of $1.2 million.</w:t>
      </w:r>
    </w:p>
    <w:p>
      <w:pPr>
        <w:spacing w:after="0" w:line="63"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color w:val="auto"/>
        </w:rPr>
        <w:t>Net cash used in investing activities for the nine months ended September 30, 2020 was primarily attributable to $136.0 million of purchases of marketable securities.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6" w:lineRule="exact"/>
        <w:rPr>
          <w:sz w:val="20"/>
          <w:szCs w:val="20"/>
          <w:color w:val="auto"/>
        </w:rPr>
      </w:pPr>
    </w:p>
    <w:p>
      <w:pPr>
        <w:ind w:right="120"/>
        <w:spacing w:after="0" w:line="306" w:lineRule="auto"/>
        <w:rPr>
          <w:sz w:val="20"/>
          <w:szCs w:val="20"/>
          <w:color w:val="auto"/>
        </w:rPr>
      </w:pPr>
      <w:r>
        <w:rPr>
          <w:rFonts w:ascii="Arial" w:cs="Arial" w:eastAsia="Arial" w:hAnsi="Arial"/>
          <w:sz w:val="17"/>
          <w:szCs w:val="17"/>
          <w:color w:val="auto"/>
        </w:rPr>
        <w:t>The $170.9 million of net cash provided by financing activities for the nine months ended September 30, 2021 was primarily attributable to $169.5 million of net proceeds received upon closing of our follow-on offering in June 2021, and $1.6 million from exercises of stock options.</w:t>
      </w:r>
    </w:p>
    <w:p>
      <w:pPr>
        <w:spacing w:after="0" w:line="40"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$154.9 million of net cash provided by financing activities for the nine months ended September 30, 2020 was attributable to $145.5 million of net proceeds received from issuance of Series B Preferred Stock, and $12.0 million from issuance of long-term debt to Perceptive, a related party. These were offset by payment of initial public offering costs of $2.4 million.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6"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Since our inception, we have incurred significant operating losses. We expect to continue to incur significant expenses and increasing operating losses for the foreseeable future as we advance the preclinical and clinical development of our product candidates. In addition, we expect to continue to incur additional costs associated with operating as a public company.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Specifically, we anticipate that our expenses will increase substantially in the future, if and as we:</w:t>
      </w:r>
    </w:p>
    <w:p>
      <w:pPr>
        <w:spacing w:after="0" w:line="224" w:lineRule="exact"/>
        <w:rPr>
          <w:sz w:val="20"/>
          <w:szCs w:val="20"/>
          <w:color w:val="auto"/>
        </w:rPr>
      </w:pPr>
    </w:p>
    <w:p>
      <w:pPr>
        <w:ind w:left="540" w:right="100" w:hanging="263"/>
        <w:spacing w:after="0" w:line="276"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continue our ongoing first-in-human Phase 1/2 trials of CFT7455 and initiate and conduct planned first-in-human Phase 1/2 trials for our other lead product candidates, including CFT8634 and CFT8919;</w:t>
      </w:r>
    </w:p>
    <w:p>
      <w:pPr>
        <w:spacing w:after="0" w:line="170" w:lineRule="exact"/>
        <w:rPr>
          <w:rFonts w:ascii="Arial" w:cs="Arial" w:eastAsia="Arial" w:hAnsi="Arial"/>
          <w:sz w:val="18"/>
          <w:szCs w:val="18"/>
          <w:color w:val="auto"/>
        </w:rPr>
      </w:pPr>
    </w:p>
    <w:p>
      <w:pPr>
        <w:ind w:left="540" w:hanging="263"/>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advance additional product candidates into preclinical and clinical development;</w:t>
      </w:r>
    </w:p>
    <w:p>
      <w:pPr>
        <w:spacing w:after="0" w:line="250" w:lineRule="exact"/>
        <w:rPr>
          <w:rFonts w:ascii="Arial" w:cs="Arial" w:eastAsia="Arial" w:hAnsi="Arial"/>
          <w:sz w:val="18"/>
          <w:szCs w:val="18"/>
          <w:color w:val="auto"/>
        </w:rPr>
      </w:pPr>
    </w:p>
    <w:p>
      <w:pPr>
        <w:ind w:left="540" w:hanging="263"/>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continue to invest in our proprietary TORPEDO platform;</w:t>
      </w:r>
    </w:p>
    <w:p>
      <w:pPr>
        <w:spacing w:after="0" w:line="250" w:lineRule="exact"/>
        <w:rPr>
          <w:rFonts w:ascii="Arial" w:cs="Arial" w:eastAsia="Arial" w:hAnsi="Arial"/>
          <w:sz w:val="18"/>
          <w:szCs w:val="18"/>
          <w:color w:val="auto"/>
        </w:rPr>
      </w:pPr>
    </w:p>
    <w:p>
      <w:pPr>
        <w:ind w:left="540" w:hanging="263"/>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expand, maintain and protect our intellectual property portfolio;</w:t>
      </w:r>
    </w:p>
    <w:p>
      <w:pPr>
        <w:spacing w:after="0" w:line="250" w:lineRule="exact"/>
        <w:rPr>
          <w:rFonts w:ascii="Arial" w:cs="Arial" w:eastAsia="Arial" w:hAnsi="Arial"/>
          <w:sz w:val="18"/>
          <w:szCs w:val="18"/>
          <w:color w:val="auto"/>
        </w:rPr>
      </w:pPr>
    </w:p>
    <w:p>
      <w:pPr>
        <w:ind w:left="540" w:hanging="263"/>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hire additional clinical, regulatory and scientific personnel;</w:t>
      </w:r>
    </w:p>
    <w:p>
      <w:pPr>
        <w:spacing w:after="0" w:line="250" w:lineRule="exact"/>
        <w:rPr>
          <w:rFonts w:ascii="Arial" w:cs="Arial" w:eastAsia="Arial" w:hAnsi="Arial"/>
          <w:sz w:val="18"/>
          <w:szCs w:val="18"/>
          <w:color w:val="auto"/>
        </w:rPr>
      </w:pPr>
    </w:p>
    <w:p>
      <w:pPr>
        <w:ind w:left="540" w:right="380" w:hanging="263"/>
        <w:spacing w:after="0" w:line="276"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to support our ongoing research, product development, potential future commercialization efforts, operations as a public company and general and administrative roles;</w:t>
      </w:r>
    </w:p>
    <w:p>
      <w:pPr>
        <w:spacing w:after="0" w:line="170" w:lineRule="exact"/>
        <w:rPr>
          <w:rFonts w:ascii="Arial" w:cs="Arial" w:eastAsia="Arial" w:hAnsi="Arial"/>
          <w:sz w:val="18"/>
          <w:szCs w:val="18"/>
          <w:color w:val="auto"/>
        </w:rPr>
      </w:pPr>
    </w:p>
    <w:p>
      <w:pPr>
        <w:ind w:left="540" w:hanging="263"/>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seek marketing approvals for any product candidates that successfully complete clinical trials; and</w:t>
      </w:r>
    </w:p>
    <w:p>
      <w:pPr>
        <w:spacing w:after="0" w:line="250" w:lineRule="exact"/>
        <w:rPr>
          <w:rFonts w:ascii="Arial" w:cs="Arial" w:eastAsia="Arial" w:hAnsi="Arial"/>
          <w:sz w:val="18"/>
          <w:szCs w:val="18"/>
          <w:color w:val="auto"/>
        </w:rPr>
      </w:pPr>
    </w:p>
    <w:p>
      <w:pPr>
        <w:ind w:left="540" w:hanging="263"/>
        <w:spacing w:after="0" w:line="276"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ultimately establish a sales, marketing and distribution infrastructure and scale up external manufacturing capabilities to commercialize any products for which we may obtain marketing approval.</w:t>
      </w:r>
    </w:p>
    <w:p>
      <w:pPr>
        <w:spacing w:after="0" w:line="170"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Because of the numerous risks and uncertainties associated with development and commercialization of our product candidates, we are unable to estimate the amounts of increased capital and operating costs associated with our current and anticipated preclinical and clinical development. Our future capital requirements will depend on many factors, including:</w:t>
      </w:r>
    </w:p>
    <w:p>
      <w:pPr>
        <w:spacing w:after="0" w:line="182" w:lineRule="exact"/>
        <w:rPr>
          <w:sz w:val="20"/>
          <w:szCs w:val="20"/>
          <w:color w:val="auto"/>
        </w:rPr>
      </w:pPr>
    </w:p>
    <w:p>
      <w:pPr>
        <w:ind w:left="540" w:right="660" w:hanging="263"/>
        <w:spacing w:after="0" w:line="276"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progress, costs and results of ongoing and planned first-in-human Phase 1/2 trials for our lead product candidates and any future clinical development of those lead product candidates;</w:t>
      </w:r>
    </w:p>
    <w:p>
      <w:pPr>
        <w:spacing w:after="0" w:line="170" w:lineRule="exact"/>
        <w:rPr>
          <w:rFonts w:ascii="Arial" w:cs="Arial" w:eastAsia="Arial" w:hAnsi="Arial"/>
          <w:sz w:val="18"/>
          <w:szCs w:val="18"/>
          <w:color w:val="auto"/>
        </w:rPr>
      </w:pPr>
    </w:p>
    <w:p>
      <w:pPr>
        <w:ind w:left="540" w:hanging="263"/>
        <w:spacing w:after="0"/>
        <w:tabs>
          <w:tab w:leader="none" w:pos="5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scope, progress, costs and results of preclinical and clinical development for our other product candidates and development programs;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83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48" w:right="339" w:bottom="1440" w:gutter="0" w:footer="0" w:header="0"/>
        </w:sectPr>
      </w:pPr>
    </w:p>
    <w:bookmarkStart w:id="31" w:name="page32"/>
    <w:bookmarkEnd w:id="31"/>
    <w:p>
      <w:pPr>
        <w:ind w:left="540" w:hanging="263"/>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number and development requirements of other product candidates that we pursue;</w:t>
      </w:r>
    </w:p>
    <w:p>
      <w:pPr>
        <w:spacing w:after="0" w:line="250" w:lineRule="exact"/>
        <w:rPr>
          <w:rFonts w:ascii="Arial" w:cs="Arial" w:eastAsia="Arial" w:hAnsi="Arial"/>
          <w:sz w:val="18"/>
          <w:szCs w:val="18"/>
          <w:color w:val="auto"/>
        </w:rPr>
      </w:pPr>
    </w:p>
    <w:p>
      <w:pPr>
        <w:ind w:left="540" w:right="460" w:hanging="263"/>
        <w:spacing w:after="0" w:line="276"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success of our collaborations with Roche, Biogen and Calico, including whether or not we receive additional research support or milestone payments from our collaboration partners upon the achievement of milestones;</w:t>
      </w:r>
    </w:p>
    <w:p>
      <w:pPr>
        <w:spacing w:after="0" w:line="170" w:lineRule="exact"/>
        <w:rPr>
          <w:rFonts w:ascii="Arial" w:cs="Arial" w:eastAsia="Arial" w:hAnsi="Arial"/>
          <w:sz w:val="18"/>
          <w:szCs w:val="18"/>
          <w:color w:val="auto"/>
        </w:rPr>
      </w:pPr>
    </w:p>
    <w:p>
      <w:pPr>
        <w:ind w:left="540" w:hanging="263"/>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250" w:lineRule="exact"/>
        <w:rPr>
          <w:rFonts w:ascii="Arial" w:cs="Arial" w:eastAsia="Arial" w:hAnsi="Arial"/>
          <w:sz w:val="18"/>
          <w:szCs w:val="18"/>
          <w:color w:val="auto"/>
        </w:rPr>
      </w:pPr>
    </w:p>
    <w:p>
      <w:pPr>
        <w:ind w:left="540" w:right="740" w:hanging="263"/>
        <w:spacing w:after="0" w:line="276"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170" w:lineRule="exact"/>
        <w:rPr>
          <w:rFonts w:ascii="Arial" w:cs="Arial" w:eastAsia="Arial" w:hAnsi="Arial"/>
          <w:sz w:val="18"/>
          <w:szCs w:val="18"/>
          <w:color w:val="auto"/>
        </w:rPr>
      </w:pPr>
    </w:p>
    <w:p>
      <w:pPr>
        <w:ind w:left="540" w:right="220" w:hanging="263"/>
        <w:spacing w:after="0" w:line="276"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willingness and ability to establish additional collaboration arrangements with other biotechnology or pharmaceutical companies on favorable terms, if at all, for the development or commercialization of current or additional future product candidates;</w:t>
      </w:r>
    </w:p>
    <w:p>
      <w:pPr>
        <w:spacing w:after="0" w:line="170" w:lineRule="exact"/>
        <w:rPr>
          <w:rFonts w:ascii="Arial" w:cs="Arial" w:eastAsia="Arial" w:hAnsi="Arial"/>
          <w:sz w:val="18"/>
          <w:szCs w:val="18"/>
          <w:color w:val="auto"/>
        </w:rPr>
      </w:pPr>
    </w:p>
    <w:p>
      <w:pPr>
        <w:ind w:left="540" w:right="540" w:hanging="263"/>
        <w:spacing w:after="0" w:line="276"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 and</w:t>
      </w:r>
    </w:p>
    <w:p>
      <w:pPr>
        <w:spacing w:after="0" w:line="170" w:lineRule="exact"/>
        <w:rPr>
          <w:rFonts w:ascii="Arial" w:cs="Arial" w:eastAsia="Arial" w:hAnsi="Arial"/>
          <w:sz w:val="18"/>
          <w:szCs w:val="18"/>
          <w:color w:val="auto"/>
        </w:rPr>
      </w:pPr>
    </w:p>
    <w:p>
      <w:pPr>
        <w:ind w:left="540" w:hanging="263"/>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25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a result of the anticipated expenditures described above, we will need to obtain substantial additional financing to support our continuing operations and pursue our long-term business plan. Until such time, if ever, as we can generate substantial revenue from product sales, we expect to finance our cash needs through a combination of equity offerings, debt offerings, collaborations, strategic alliances and marketing, distribution or licensing arrangements. Although we may receive potential future milestone and royalty payments under our collaborations with Roche, Biogen and Calico, we do not have any committed external source of funds as of September 30, 2021. Adequate additional funds may not be available to us on acceptable terms, or at all. If we are unable to raise capital when needed or on attractive terms, we may be required to delay, limit, reduce or terminate our research, product development or future commercialization efforts or grant rights to develop and market product candidates that we would otherwise prefer to develop and market ourselves.</w:t>
      </w:r>
    </w:p>
    <w:p>
      <w:pPr>
        <w:spacing w:after="0" w:line="55"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If we raise additional capital through the sale of equity securities, each investor’s ownership interest will be diluted, and the terms of these securities may include liquidation or other preferences that adversely affect your rights as a common stockholder. Preferred equity financing, if available, may involve agreements that include covenants limiting or restricting our ability to take specific actions, such as making acquisitions or capital expenditures or declaring dividends.</w:t>
      </w:r>
    </w:p>
    <w:p>
      <w:pPr>
        <w:spacing w:after="0" w:line="8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6"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color w:val="auto"/>
        </w:rPr>
        <w:t>We enter into contracts in the normal course of business with contract manufacturing organizations, contract research organizations and other vendors to assist in the performance of our research and development activities and other services and products for operating purposes. These contracts generally provide for termination on notice, and therefore are cancelable contracts and not included in the table of contractual obligations and commitments.</w:t>
      </w:r>
    </w:p>
    <w:p>
      <w:pPr>
        <w:spacing w:after="0" w:line="39"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 xml:space="preserve">During the nine months ended September 30, 2021, except for the minimum rental commitments disclosed in Note 6,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and Note 9,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w:t>
      </w:r>
      <w:r>
        <w:rPr>
          <w:rFonts w:ascii="Arial" w:cs="Arial" w:eastAsia="Arial" w:hAnsi="Arial"/>
          <w:sz w:val="18"/>
          <w:szCs w:val="18"/>
          <w:i w:val="1"/>
          <w:iCs w:val="1"/>
          <w:color w:val="auto"/>
        </w:rPr>
        <w:t>and warrant – related party</w:t>
      </w:r>
      <w:r>
        <w:rPr>
          <w:rFonts w:ascii="Arial" w:cs="Arial" w:eastAsia="Arial" w:hAnsi="Arial"/>
          <w:sz w:val="18"/>
          <w:szCs w:val="18"/>
          <w:color w:val="auto"/>
        </w:rPr>
        <w:t>, to the condensed consolidated financial statements in this Quarterly Report on Form 10-Q, there were no significant changes to</w:t>
      </w:r>
      <w:r>
        <w:rPr>
          <w:rFonts w:ascii="Arial" w:cs="Arial" w:eastAsia="Arial" w:hAnsi="Arial"/>
          <w:sz w:val="18"/>
          <w:szCs w:val="18"/>
          <w:i w:val="1"/>
          <w:iCs w:val="1"/>
          <w:color w:val="auto"/>
        </w:rPr>
        <w:t xml:space="preserve"> </w:t>
      </w:r>
      <w:r>
        <w:rPr>
          <w:rFonts w:ascii="Arial" w:cs="Arial" w:eastAsia="Arial" w:hAnsi="Arial"/>
          <w:sz w:val="18"/>
          <w:szCs w:val="18"/>
          <w:color w:val="auto"/>
        </w:rPr>
        <w:t>our contractual obligations and commitments described under Management’s Discussion and Analysis of Financial Condition and Results of Operations in our Annual Report on Form 10-K for the year ended December 31, 2019.</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0"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Our critical accounting policies are those policies that require the most significant judgments and estimates in the preparation of our condensed consolidated financial statements. We have determined that our most critical accounting policies are those relating to revenue recognition from collaborations, research and development expense recognition, and stock-based compensation. There have been no significant changes to our existing critical accounting policies discussed in our Annual Report on Form 10-K for the year ended December 31, 2020 filed with the SEC on March 11, 2021.</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We have not entered into any off-balance sheet arrangements, as defined under the applicable regulations of the SEC.</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47" w:lineRule="exact"/>
        <w:rPr>
          <w:sz w:val="20"/>
          <w:szCs w:val="20"/>
          <w:color w:val="auto"/>
        </w:rPr>
      </w:pPr>
    </w:p>
    <w:p>
      <w:pPr>
        <w:ind w:right="340"/>
        <w:spacing w:after="0" w:line="276" w:lineRule="auto"/>
        <w:rPr>
          <w:sz w:val="20"/>
          <w:szCs w:val="20"/>
          <w:color w:val="auto"/>
        </w:rPr>
      </w:pPr>
      <w:r>
        <w:rPr>
          <w:rFonts w:ascii="Arial" w:cs="Arial" w:eastAsia="Arial" w:hAnsi="Arial"/>
          <w:sz w:val="18"/>
          <w:szCs w:val="18"/>
          <w:color w:val="auto"/>
        </w:rPr>
        <w:t>We are exposed to market risk related to changes in interest rates. Our marketable securities are subject to interest rate risk and may decrease in value if market interest rates increase. As of September 30, 2021, we had marketable securities of $317.5 million which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83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jc w:val="both"/>
        <w:spacing w:after="0" w:line="263" w:lineRule="auto"/>
        <w:rPr>
          <w:sz w:val="20"/>
          <w:szCs w:val="20"/>
          <w:color w:val="auto"/>
        </w:rPr>
      </w:pPr>
      <w:r>
        <w:rPr>
          <w:rFonts w:ascii="Arial" w:cs="Arial" w:eastAsia="Arial" w:hAnsi="Arial"/>
          <w:sz w:val="18"/>
          <w:szCs w:val="18"/>
          <w:color w:val="auto"/>
        </w:rPr>
        <w:t>consisted of corporate debt securities, U.S. government debt securities, and U.S. Treasury securities. Our marketable securities are short term in nature with a weighted-average maturity date of 1.1 years. As such, while these interest-earning instruments carry a degree of interest rate risk, historical fluctuations in interest income have not been significant for us.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2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As an “emerging growth company,” the Jumpstart Our Business Startups Act of 2012 allows us to delay adoption of new or revised accounting standards applicable to public companies until such standards are made applicable to private companies. We have elected to avail ourselves of this extended transition period for complying with new or revised accounting standards until the earlier of the date that we (i) are no longer an emerging growth company or</w:t>
      </w:r>
    </w:p>
    <w:p>
      <w:pPr>
        <w:spacing w:after="0" w:line="1" w:lineRule="exact"/>
        <w:rPr>
          <w:sz w:val="20"/>
          <w:szCs w:val="20"/>
          <w:color w:val="auto"/>
        </w:rPr>
      </w:pPr>
    </w:p>
    <w:p>
      <w:pPr>
        <w:ind w:right="560" w:firstLine="8"/>
        <w:spacing w:after="0" w:line="289" w:lineRule="auto"/>
        <w:tabs>
          <w:tab w:leader="none" w:pos="264" w:val="left"/>
        </w:tabs>
        <w:numPr>
          <w:ilvl w:val="0"/>
          <w:numId w:val="26"/>
        </w:numPr>
        <w:rPr>
          <w:rFonts w:ascii="Arial" w:cs="Arial" w:eastAsia="Arial" w:hAnsi="Arial"/>
          <w:sz w:val="17"/>
          <w:szCs w:val="17"/>
          <w:color w:val="auto"/>
        </w:rPr>
      </w:pPr>
      <w:r>
        <w:rPr>
          <w:rFonts w:ascii="Arial" w:cs="Arial" w:eastAsia="Arial" w:hAnsi="Arial"/>
          <w:sz w:val="17"/>
          <w:szCs w:val="17"/>
          <w:color w:val="auto"/>
        </w:rPr>
        <w:t>affirmatively and irrevocably opt out of this extended transition period. Accordingly, the information contained herein may be different from the information you receive from other public companies that are not emerging growth companies in which you hold stock.</w:t>
      </w:r>
    </w:p>
    <w:p>
      <w:pPr>
        <w:spacing w:after="0" w:line="53" w:lineRule="exact"/>
        <w:rPr>
          <w:sz w:val="20"/>
          <w:szCs w:val="20"/>
          <w:color w:val="auto"/>
        </w:rPr>
      </w:pPr>
    </w:p>
    <w:p>
      <w:pPr>
        <w:ind w:right="140"/>
        <w:spacing w:after="0" w:line="276" w:lineRule="auto"/>
        <w:rPr>
          <w:sz w:val="20"/>
          <w:szCs w:val="20"/>
          <w:color w:val="auto"/>
        </w:rPr>
      </w:pPr>
      <w:r>
        <w:rPr>
          <w:rFonts w:ascii="Arial" w:cs="Arial" w:eastAsia="Arial" w:hAnsi="Arial"/>
          <w:sz w:val="18"/>
          <w:szCs w:val="18"/>
          <w:color w:val="auto"/>
        </w:rPr>
        <w:t>In addition, as an emerging growth company, we may take advantage of specified reduced disclosure and other requirements that are otherwise applicable generally to public companies. These provisions include:</w:t>
      </w:r>
    </w:p>
    <w:p>
      <w:pPr>
        <w:spacing w:after="0" w:line="170" w:lineRule="exact"/>
        <w:rPr>
          <w:sz w:val="20"/>
          <w:szCs w:val="20"/>
          <w:color w:val="auto"/>
        </w:rPr>
      </w:pPr>
    </w:p>
    <w:p>
      <w:pPr>
        <w:ind w:left="540" w:right="300" w:hanging="263"/>
        <w:spacing w:after="0" w:line="306" w:lineRule="auto"/>
        <w:tabs>
          <w:tab w:leader="none" w:pos="5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being permitted to only provide two years of audited financial statements in addition to any required unaudited interim financial statements with correspondingly reduced “Management’s Discussion and Analysis of Financial Condition and Results of Operations” disclosure;</w:t>
      </w:r>
    </w:p>
    <w:p>
      <w:pPr>
        <w:spacing w:after="0" w:line="148" w:lineRule="exact"/>
        <w:rPr>
          <w:rFonts w:ascii="Arial" w:cs="Arial" w:eastAsia="Arial" w:hAnsi="Arial"/>
          <w:sz w:val="17"/>
          <w:szCs w:val="17"/>
          <w:color w:val="auto"/>
        </w:rPr>
      </w:pPr>
    </w:p>
    <w:p>
      <w:pPr>
        <w:ind w:left="540" w:hanging="263"/>
        <w:spacing w:after="0"/>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reduced disclosure about the compensation paid to our executive officers;</w:t>
      </w:r>
    </w:p>
    <w:p>
      <w:pPr>
        <w:spacing w:after="0" w:line="250" w:lineRule="exact"/>
        <w:rPr>
          <w:rFonts w:ascii="Arial" w:cs="Arial" w:eastAsia="Arial" w:hAnsi="Arial"/>
          <w:sz w:val="18"/>
          <w:szCs w:val="18"/>
          <w:color w:val="auto"/>
        </w:rPr>
      </w:pPr>
    </w:p>
    <w:p>
      <w:pPr>
        <w:ind w:left="540" w:hanging="263"/>
        <w:spacing w:after="0"/>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not being required to submit to our stockholders’ advisory votes on executive compensation or golden parachute arrangements; and</w:t>
      </w:r>
    </w:p>
    <w:p>
      <w:pPr>
        <w:spacing w:after="0" w:line="250" w:lineRule="exact"/>
        <w:rPr>
          <w:rFonts w:ascii="Arial" w:cs="Arial" w:eastAsia="Arial" w:hAnsi="Arial"/>
          <w:sz w:val="18"/>
          <w:szCs w:val="18"/>
          <w:color w:val="auto"/>
        </w:rPr>
      </w:pPr>
    </w:p>
    <w:p>
      <w:pPr>
        <w:ind w:left="540" w:right="260" w:hanging="263"/>
        <w:spacing w:after="0" w:line="276"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in the assessment of our internal control over financial reporting pursuant to the Sarbanes-Oxley Act of 2002.</w:t>
      </w:r>
    </w:p>
    <w:p>
      <w:pPr>
        <w:spacing w:after="0" w:line="170"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We may take advantage of some but not all of these exemptions until we are no longer an emerging growth company. We will cease to be an emerging growth company on January 1, 2022, the date on which we are deemed to be a large accelerated filer under the rules of the Securities and Exchange Commission.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management, with the participation of our principal executive officer and our principal financial officer have evaluated the effectiveness of our disclosure controls and procedures as defined in Rules 13a-15(e) and 15d-15(e) under the Securities Exchange Act of 1934, as amended, or the Exchange Act, as of September 30, 2021. The term “disclosure controls and procedures,” as defined in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63" w:lineRule="exact"/>
        <w:rPr>
          <w:sz w:val="20"/>
          <w:szCs w:val="20"/>
          <w:color w:val="auto"/>
        </w:rPr>
      </w:pPr>
    </w:p>
    <w:p>
      <w:pPr>
        <w:ind w:right="140"/>
        <w:spacing w:after="0" w:line="276" w:lineRule="auto"/>
        <w:rPr>
          <w:sz w:val="20"/>
          <w:szCs w:val="20"/>
          <w:color w:val="auto"/>
        </w:rPr>
      </w:pPr>
      <w:r>
        <w:rPr>
          <w:rFonts w:ascii="Arial" w:cs="Arial" w:eastAsia="Arial" w:hAnsi="Arial"/>
          <w:sz w:val="18"/>
          <w:szCs w:val="18"/>
          <w:color w:val="auto"/>
        </w:rPr>
        <w:t>Based on the evaluation of our disclosure controls and procedures as of September 30, 2021, our principal executive officer and principal financial officer concluded that our disclosure controls and procedures as of such date are effective at the reasonable assurance level.</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0"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We continuously seek to improve the efficiency and effectiveness of our internal controls. This results in refinements to processes throughout the company. There were no changes in our internal control over financial reporting (as defined in Rules 13a-15(f) and 15d-15(f) under the Exchange Act) during the quarter ended September 30, 2021 that have materially affected, or are reasonably likely to materially affect, our internal control over financial reporting.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 on the effectiveness over financial reporting</w:t>
      </w:r>
    </w:p>
    <w:p>
      <w:pPr>
        <w:spacing w:after="0" w:line="120"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83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33" w:name="page34"/>
    <w:bookmarkEnd w:id="33"/>
    <w:p>
      <w:pPr>
        <w:spacing w:after="0" w:line="263" w:lineRule="auto"/>
        <w:rPr>
          <w:sz w:val="20"/>
          <w:szCs w:val="20"/>
          <w:color w:val="auto"/>
        </w:rPr>
      </w:pPr>
      <w:r>
        <w:rPr>
          <w:rFonts w:ascii="Arial" w:cs="Arial" w:eastAsia="Arial" w:hAnsi="Arial"/>
          <w:sz w:val="18"/>
          <w:szCs w:val="18"/>
          <w:color w:val="auto"/>
        </w:rPr>
        <w:t>degree of compliance with the policies or procedures may deteriorate. We intend to continue to monitor and upgrade our internal controls as necessary or appropriate for our business, but there can be no assurance that such improvements will be sufficient to provide us with effective internal control over financial reporting.</w:t>
      </w:r>
    </w:p>
    <w:p>
      <w:pPr>
        <w:spacing w:after="0" w:line="18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83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000"/>
          </w:cols>
          <w:pgMar w:left="320" w:top="233" w:right="57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0" w:lineRule="exact"/>
        <w:rPr>
          <w:sz w:val="20"/>
          <w:szCs w:val="20"/>
          <w:color w:val="auto"/>
        </w:rPr>
      </w:pPr>
    </w:p>
    <w:p>
      <w:pPr>
        <w:ind w:right="260"/>
        <w:spacing w:after="0" w:line="276" w:lineRule="auto"/>
        <w:rPr>
          <w:sz w:val="20"/>
          <w:szCs w:val="20"/>
          <w:color w:val="auto"/>
        </w:rPr>
      </w:pPr>
      <w:r>
        <w:rPr>
          <w:rFonts w:ascii="Arial" w:cs="Arial" w:eastAsia="Arial" w:hAnsi="Arial"/>
          <w:sz w:val="18"/>
          <w:szCs w:val="18"/>
          <w:color w:val="auto"/>
        </w:rPr>
        <w:t>From time to time, we may become involved in legal proceedings arising in the ordinary course of our business. As of the date of this quarterly report on Form 10-Q, we were not a party to any material legal matters or claims.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0"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i w:val="1"/>
          <w:iCs w:val="1"/>
          <w:color w:val="auto"/>
        </w:rPr>
        <w:t>Investing in our common stock involves a high degree of risk. You should carefully consider the risks described below, as well as the other information in this Quarterly Report on Form 10-Q, including our financial statements and the related notes and the section of this Quarterly Report on Form 10-Q titled “Management’s Discussion and Analysis of Financial Condition and Results of Operations” before you make an investment decision. The occurrence of any of the events or developments described below could harm our business, financial condition, results of operations and growth prospects. As a result, the market price of our common stock could decline, and you may lose all or part of your investment in our common stock.</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0"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b w:val="1"/>
          <w:bCs w:val="1"/>
          <w:i w:val="1"/>
          <w:iCs w:val="1"/>
          <w:color w:val="auto"/>
        </w:rPr>
        <w:t>We are a clinical-stage biopharmaceutical company with a limited operating history and have incurred significant losses since our inception. We expect to incur losses over at least the next several years and may never achieve or maintain profitability.</w:t>
      </w:r>
    </w:p>
    <w:p>
      <w:pPr>
        <w:spacing w:after="0" w:line="6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We are a clinical-stage biopharmaceutical company with limited operating history. Our net loss was $68.2 million and $44.5 million for the nine months ended September 30, 2021 and 2020, respectively. As of September 30, 2021, we had an accumulated deficit of $252.1 million. To date, we have not generated any revenue from product sales and have financed our operations primarily through sales of our equity interests, including our initial public offering, proceeds from our collaborations and debt financing. We are still in the early stages of development of our product candidates. As a result, we expect that it will be several years, if ever, before we have a product candidate ready for regulatory approval and commercialization. We may never succeed in these activities and, even if we do, may never generate revenues that are significant enough to achieve profitability. To become and remain profitable, we must succeed in developing, obtaining marketing approval for and commercializing products that generate significant revenue. This will require us to be successful in a range of challenging activities, including, without limitation, successfully completing preclinical studies and clinical trials of our product candidates, discovering additional product candidates, establishing arrangements with third parties for the conduct of our clinical trials, procuring clinical-and commercial-scale manufacturing, obtaining marketing approval for our product candidates, manufacturing, marketing and selling any products for which we may obtain marketing approval, identifying collaborators to develop product candidates we identify or additional uses of existing product candidates and successfully completing development of product candidates for our collaboration partners.</w:t>
      </w:r>
    </w:p>
    <w:p>
      <w:pPr>
        <w:spacing w:after="0" w:line="63" w:lineRule="exact"/>
        <w:rPr>
          <w:sz w:val="20"/>
          <w:szCs w:val="20"/>
          <w:color w:val="auto"/>
        </w:rPr>
      </w:pPr>
    </w:p>
    <w:p>
      <w:pPr>
        <w:ind w:right="180"/>
        <w:spacing w:after="0" w:line="276" w:lineRule="auto"/>
        <w:rPr>
          <w:sz w:val="20"/>
          <w:szCs w:val="20"/>
          <w:color w:val="auto"/>
        </w:rPr>
      </w:pPr>
      <w:r>
        <w:rPr>
          <w:rFonts w:ascii="Arial" w:cs="Arial" w:eastAsia="Arial" w:hAnsi="Arial"/>
          <w:sz w:val="18"/>
          <w:szCs w:val="18"/>
          <w:color w:val="auto"/>
        </w:rPr>
        <w:t>We expect to continue to incur significant expenses and increasing operating losses for at least the next several years. We anticipate that our expenses will increase substantially if and as we:</w:t>
      </w:r>
    </w:p>
    <w:p>
      <w:pPr>
        <w:spacing w:after="0" w:line="170" w:lineRule="exact"/>
        <w:rPr>
          <w:sz w:val="20"/>
          <w:szCs w:val="20"/>
          <w:color w:val="auto"/>
        </w:rPr>
      </w:pPr>
    </w:p>
    <w:p>
      <w:pPr>
        <w:ind w:left="540" w:right="20" w:hanging="263"/>
        <w:spacing w:after="0" w:line="276"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initiate, conduct, and successfully complete first-in-human and later-stage clinical trials of our product candidates and as we expand the scope of our proprietary research and development portfolios;</w:t>
      </w:r>
    </w:p>
    <w:p>
      <w:pPr>
        <w:spacing w:after="0" w:line="170" w:lineRule="exact"/>
        <w:rPr>
          <w:rFonts w:ascii="Arial" w:cs="Arial" w:eastAsia="Arial" w:hAnsi="Arial"/>
          <w:sz w:val="18"/>
          <w:szCs w:val="18"/>
          <w:color w:val="auto"/>
        </w:rPr>
      </w:pPr>
    </w:p>
    <w:p>
      <w:pPr>
        <w:ind w:left="540" w:right="240" w:hanging="263"/>
        <w:spacing w:after="0" w:line="276"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leverage our TORPEDO platform to identify and then advance additional product candidates into preclinical and clinical development, including, without limitation, product candidates arising out of our proprietary BRAF, RET and EGFR programs;</w:t>
      </w:r>
    </w:p>
    <w:p>
      <w:pPr>
        <w:spacing w:after="0" w:line="170" w:lineRule="exact"/>
        <w:rPr>
          <w:rFonts w:ascii="Arial" w:cs="Arial" w:eastAsia="Arial" w:hAnsi="Arial"/>
          <w:sz w:val="18"/>
          <w:szCs w:val="18"/>
          <w:color w:val="auto"/>
        </w:rPr>
      </w:pPr>
    </w:p>
    <w:p>
      <w:pPr>
        <w:ind w:left="540" w:hanging="263"/>
        <w:spacing w:after="0"/>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expand the capabilities of our TORPEDO platform;</w:t>
      </w:r>
    </w:p>
    <w:p>
      <w:pPr>
        <w:spacing w:after="0" w:line="223" w:lineRule="exact"/>
        <w:rPr>
          <w:rFonts w:ascii="Arial" w:cs="Arial" w:eastAsia="Arial" w:hAnsi="Arial"/>
          <w:sz w:val="18"/>
          <w:szCs w:val="18"/>
          <w:color w:val="auto"/>
        </w:rPr>
      </w:pPr>
    </w:p>
    <w:p>
      <w:pPr>
        <w:ind w:left="540" w:hanging="263"/>
        <w:spacing w:after="0"/>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seek marketing approvals for any product candidates that successfully complete clinical trials;</w:t>
      </w:r>
    </w:p>
    <w:p>
      <w:pPr>
        <w:spacing w:after="0" w:line="223" w:lineRule="exact"/>
        <w:rPr>
          <w:rFonts w:ascii="Arial" w:cs="Arial" w:eastAsia="Arial" w:hAnsi="Arial"/>
          <w:sz w:val="18"/>
          <w:szCs w:val="18"/>
          <w:color w:val="auto"/>
        </w:rPr>
      </w:pPr>
    </w:p>
    <w:p>
      <w:pPr>
        <w:ind w:left="540" w:hanging="263"/>
        <w:spacing w:after="0" w:line="276"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ultimately establish a sales, marketing and distribution infrastructure and scale up external manufacturing capabilities to commercialize any products for which we may obtain marketing approval;</w:t>
      </w:r>
    </w:p>
    <w:p>
      <w:pPr>
        <w:spacing w:after="0" w:line="170" w:lineRule="exact"/>
        <w:rPr>
          <w:rFonts w:ascii="Arial" w:cs="Arial" w:eastAsia="Arial" w:hAnsi="Arial"/>
          <w:sz w:val="18"/>
          <w:szCs w:val="18"/>
          <w:color w:val="auto"/>
        </w:rPr>
      </w:pPr>
    </w:p>
    <w:p>
      <w:pPr>
        <w:ind w:left="540" w:hanging="263"/>
        <w:spacing w:after="0"/>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expand, maintain and protect our intellectual property portfolio;</w:t>
      </w:r>
    </w:p>
    <w:p>
      <w:pPr>
        <w:spacing w:after="0" w:line="223" w:lineRule="exact"/>
        <w:rPr>
          <w:rFonts w:ascii="Arial" w:cs="Arial" w:eastAsia="Arial" w:hAnsi="Arial"/>
          <w:sz w:val="18"/>
          <w:szCs w:val="18"/>
          <w:color w:val="auto"/>
        </w:rPr>
      </w:pPr>
    </w:p>
    <w:p>
      <w:pPr>
        <w:ind w:left="540" w:right="200" w:hanging="263"/>
        <w:spacing w:after="0" w:line="276"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hire additional personnel, including in areas such as clinical development, regulatory, quality, scientific, and general and administrative personnel; and</w:t>
      </w:r>
    </w:p>
    <w:p>
      <w:pPr>
        <w:spacing w:after="0" w:line="170" w:lineRule="exact"/>
        <w:rPr>
          <w:rFonts w:ascii="Arial" w:cs="Arial" w:eastAsia="Arial" w:hAnsi="Arial"/>
          <w:sz w:val="18"/>
          <w:szCs w:val="18"/>
          <w:color w:val="auto"/>
        </w:rPr>
      </w:pPr>
    </w:p>
    <w:p>
      <w:pPr>
        <w:ind w:left="540" w:right="900" w:hanging="263"/>
        <w:spacing w:after="0" w:line="276"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ongoing research and development and potential future commercialization efforts.</w:t>
      </w:r>
    </w:p>
    <w:p>
      <w:pPr>
        <w:spacing w:after="0" w:line="170" w:lineRule="exact"/>
        <w:rPr>
          <w:sz w:val="20"/>
          <w:szCs w:val="20"/>
          <w:color w:val="auto"/>
        </w:rPr>
      </w:pPr>
    </w:p>
    <w:p>
      <w:pPr>
        <w:ind w:right="240"/>
        <w:spacing w:after="0" w:line="276" w:lineRule="auto"/>
        <w:rPr>
          <w:sz w:val="20"/>
          <w:szCs w:val="20"/>
          <w:color w:val="auto"/>
        </w:rPr>
      </w:pPr>
      <w:r>
        <w:rPr>
          <w:rFonts w:ascii="Arial" w:cs="Arial" w:eastAsia="Arial" w:hAnsi="Arial"/>
          <w:sz w:val="18"/>
          <w:szCs w:val="18"/>
          <w:color w:val="auto"/>
        </w:rPr>
        <w:t>Further, we expect to continue to incur additional costs associated with operating as a public company, including significant legal, accounting, insurance, investor relations and other expenses that we did not incur as a private company.</w:t>
      </w:r>
    </w:p>
    <w:p>
      <w:pPr>
        <w:spacing w:after="0" w:line="63" w:lineRule="exact"/>
        <w:rPr>
          <w:sz w:val="20"/>
          <w:szCs w:val="20"/>
          <w:color w:val="auto"/>
        </w:rPr>
      </w:pPr>
    </w:p>
    <w:p>
      <w:pPr>
        <w:ind w:right="320"/>
        <w:spacing w:after="0" w:line="276" w:lineRule="auto"/>
        <w:rPr>
          <w:sz w:val="20"/>
          <w:szCs w:val="20"/>
          <w:color w:val="auto"/>
        </w:rPr>
      </w:pPr>
      <w:r>
        <w:rPr>
          <w:rFonts w:ascii="Arial" w:cs="Arial" w:eastAsia="Arial" w:hAnsi="Arial"/>
          <w:sz w:val="18"/>
          <w:szCs w:val="18"/>
          <w:color w:val="auto"/>
        </w:rPr>
        <w:t>Our expenses could increase beyond our expectations if we are required by the FDA, the European Medicines Agency, or other regulatory authorities to perform trials in addition to those that we currently expect, or if we experience any delays in establishing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83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appropriate manufacturing arrangements for, completing our clinical trials or the clinical development of any of our product candidates.</w:t>
      </w:r>
    </w:p>
    <w:p>
      <w:pPr>
        <w:spacing w:after="0" w:line="116"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Because of the numerous risks and uncertainties associated with pharmaceutical product development, we are unable to accurately predict the timing or amount of increased expenses we will incur or when, if ever, we will be able to achieve profitability. 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expand our business or continue operations. A decline in the value of our company, or in the value of our common stock, could also cause you to lose all or part of your investment.</w:t>
      </w:r>
    </w:p>
    <w:p>
      <w:pPr>
        <w:spacing w:after="0" w:line="5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If one or more of the product candidates that we develop is approved for commercial sale, we anticipate incurring significant costs associated with commercializing those approved product candidates. Even if we are able to generate revenues from the sale of any approved products, we may not become profitable and may need to obtain additional funding to continue operations.</w:t>
      </w:r>
    </w:p>
    <w:p>
      <w:pPr>
        <w:spacing w:after="0" w:line="74" w:lineRule="exact"/>
        <w:rPr>
          <w:sz w:val="20"/>
          <w:szCs w:val="20"/>
          <w:color w:val="auto"/>
        </w:rPr>
      </w:pPr>
    </w:p>
    <w:p>
      <w:pPr>
        <w:ind w:right="380"/>
        <w:spacing w:after="0" w:line="374" w:lineRule="auto"/>
        <w:rPr>
          <w:sz w:val="20"/>
          <w:szCs w:val="20"/>
          <w:color w:val="auto"/>
        </w:rPr>
      </w:pPr>
      <w:r>
        <w:rPr>
          <w:rFonts w:ascii="Arial" w:cs="Arial" w:eastAsia="Arial" w:hAnsi="Arial"/>
          <w:sz w:val="15"/>
          <w:szCs w:val="15"/>
          <w:b w:val="1"/>
          <w:bCs w:val="1"/>
          <w:i w:val="1"/>
          <w:iCs w:val="1"/>
          <w:color w:val="auto"/>
        </w:rPr>
        <w:t>We will need substantial additional funding to pursue our business objectives and continue our operations. If we are unable to raise capital when needed, we may be required to delay, limit, reduce or terminate our research or product development programs or future commercialization efforts.</w:t>
      </w:r>
    </w:p>
    <w:p>
      <w:pPr>
        <w:spacing w:after="0" w:line="1"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We expect our expenses to increase substantially in connection with our ongoing activities, particularly as we prepare for and initiate, conduct, and complete our ongoing and planned first-in-human Phase 1/2 clinical trials of our product candidates, advance our TORPEDO platform and continue research and development, expand our proprietary research and development portfolios and initiate and continue clinical trials of, and potentially seek marketing approval for, our current and future preclinical programs. In addition, if we obtain marketing approval for any of our product candidates, we expect to incur significant commercialization expenses related to product manufacturing, marketing, sales and distribution. Further, we expect to continue to incur additional costs associated with operating as a public company. Accordingly, we will need to obtain substantial additional funding in connection with our continuing operations. If we are unable to raise capital when needed or on attractive terms, we may be required to delay, limit, reduce or terminate our research, product development programs or any future commercialization efforts or grant rights to develop and market product candidates that we would otherwise prefer to develop and market ourselves.</w:t>
      </w:r>
    </w:p>
    <w:p>
      <w:pPr>
        <w:spacing w:after="0" w:line="75" w:lineRule="exact"/>
        <w:rPr>
          <w:sz w:val="20"/>
          <w:szCs w:val="20"/>
          <w:color w:val="auto"/>
        </w:rPr>
      </w:pPr>
    </w:p>
    <w:p>
      <w:pPr>
        <w:jc w:val="both"/>
        <w:ind w:right="140"/>
        <w:spacing w:after="0" w:line="258" w:lineRule="auto"/>
        <w:rPr>
          <w:sz w:val="20"/>
          <w:szCs w:val="20"/>
          <w:color w:val="auto"/>
        </w:rPr>
      </w:pPr>
      <w:r>
        <w:rPr>
          <w:rFonts w:ascii="Arial" w:cs="Arial" w:eastAsia="Arial" w:hAnsi="Arial"/>
          <w:sz w:val="18"/>
          <w:szCs w:val="18"/>
          <w:color w:val="auto"/>
        </w:rPr>
        <w:t>We had cash, cash equivalents, and marketable securities of approximately $480.3 million as of September 30, 2021. We believe that these funds, together with future payments expected to be received under existing collaboration agreements will be sufficient to fund our existing operating plan for at least the next 24 months. We have based this estimate on assumptions that may prove to be wrong, and we could use our capital resources sooner than we currently expect. Our future capital requirements will depend on many factors, including:</w:t>
      </w:r>
    </w:p>
    <w:p>
      <w:pPr>
        <w:spacing w:after="0" w:line="187" w:lineRule="exact"/>
        <w:rPr>
          <w:sz w:val="20"/>
          <w:szCs w:val="20"/>
          <w:color w:val="auto"/>
        </w:rPr>
      </w:pPr>
    </w:p>
    <w:p>
      <w:pPr>
        <w:ind w:left="540" w:right="160" w:hanging="263"/>
        <w:spacing w:after="0" w:line="276"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progress, costs and results of our ongoing and planned first-in-human Phase 1/2 clinical trials for our product candidates and any future clinical development of those product candidates;</w:t>
      </w:r>
    </w:p>
    <w:p>
      <w:pPr>
        <w:spacing w:after="0" w:line="170" w:lineRule="exact"/>
        <w:rPr>
          <w:rFonts w:ascii="Arial" w:cs="Arial" w:eastAsia="Arial" w:hAnsi="Arial"/>
          <w:sz w:val="18"/>
          <w:szCs w:val="18"/>
          <w:color w:val="auto"/>
        </w:rPr>
      </w:pPr>
    </w:p>
    <w:p>
      <w:pPr>
        <w:ind w:left="540" w:right="540" w:hanging="263"/>
        <w:spacing w:after="0" w:line="306" w:lineRule="auto"/>
        <w:tabs>
          <w:tab w:leader="none" w:pos="5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scope, progress, costs and results of preclinical and clinical development for CFT7455 and our other product candidates and development programs, including, without limitation, product candidates arising out of our proprietary BRAF, RET and EGFR programs;</w:t>
      </w:r>
    </w:p>
    <w:p>
      <w:pPr>
        <w:spacing w:after="0" w:line="148" w:lineRule="exact"/>
        <w:rPr>
          <w:rFonts w:ascii="Arial" w:cs="Arial" w:eastAsia="Arial" w:hAnsi="Arial"/>
          <w:sz w:val="17"/>
          <w:szCs w:val="17"/>
          <w:color w:val="auto"/>
        </w:rPr>
      </w:pPr>
    </w:p>
    <w:p>
      <w:pPr>
        <w:ind w:left="540" w:hanging="263"/>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number and development requirements of other product candidates that we pursue;</w:t>
      </w:r>
    </w:p>
    <w:p>
      <w:pPr>
        <w:spacing w:after="0" w:line="223" w:lineRule="exact"/>
        <w:rPr>
          <w:rFonts w:ascii="Arial" w:cs="Arial" w:eastAsia="Arial" w:hAnsi="Arial"/>
          <w:sz w:val="18"/>
          <w:szCs w:val="18"/>
          <w:color w:val="auto"/>
        </w:rPr>
      </w:pPr>
    </w:p>
    <w:p>
      <w:pPr>
        <w:ind w:left="540" w:hanging="263"/>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success of our ongoing collaborations with Biogen, Roche and Calico;</w:t>
      </w:r>
    </w:p>
    <w:p>
      <w:pPr>
        <w:spacing w:after="0" w:line="223" w:lineRule="exact"/>
        <w:rPr>
          <w:rFonts w:ascii="Arial" w:cs="Arial" w:eastAsia="Arial" w:hAnsi="Arial"/>
          <w:sz w:val="18"/>
          <w:szCs w:val="18"/>
          <w:color w:val="auto"/>
        </w:rPr>
      </w:pPr>
    </w:p>
    <w:p>
      <w:pPr>
        <w:ind w:left="540" w:hanging="263"/>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costs, timing and outcomes of regulatory review of our product candidates;</w:t>
      </w:r>
    </w:p>
    <w:p>
      <w:pPr>
        <w:spacing w:after="0" w:line="223" w:lineRule="exact"/>
        <w:rPr>
          <w:rFonts w:ascii="Arial" w:cs="Arial" w:eastAsia="Arial" w:hAnsi="Arial"/>
          <w:sz w:val="18"/>
          <w:szCs w:val="18"/>
          <w:color w:val="auto"/>
        </w:rPr>
      </w:pPr>
    </w:p>
    <w:p>
      <w:pPr>
        <w:ind w:left="540" w:right="540" w:hanging="263"/>
        <w:spacing w:after="0" w:line="276"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170" w:lineRule="exact"/>
        <w:rPr>
          <w:rFonts w:ascii="Arial" w:cs="Arial" w:eastAsia="Arial" w:hAnsi="Arial"/>
          <w:sz w:val="18"/>
          <w:szCs w:val="18"/>
          <w:color w:val="auto"/>
        </w:rPr>
      </w:pPr>
    </w:p>
    <w:p>
      <w:pPr>
        <w:ind w:left="540" w:right="40" w:hanging="263"/>
        <w:spacing w:after="0" w:line="276"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 and the timing of the receipt of any such revenue;</w:t>
      </w:r>
    </w:p>
    <w:p>
      <w:pPr>
        <w:spacing w:after="0" w:line="170" w:lineRule="exact"/>
        <w:rPr>
          <w:rFonts w:ascii="Arial" w:cs="Arial" w:eastAsia="Arial" w:hAnsi="Arial"/>
          <w:sz w:val="18"/>
          <w:szCs w:val="18"/>
          <w:color w:val="auto"/>
        </w:rPr>
      </w:pPr>
    </w:p>
    <w:p>
      <w:pPr>
        <w:ind w:left="540" w:right="560" w:hanging="263"/>
        <w:spacing w:after="0" w:line="276"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delays or interruptions, including due to the ongoing coronavirus, or COVID-19, pandemic, that we experience in our preclinical studies, clinical trials and/or supply chain;</w:t>
      </w:r>
    </w:p>
    <w:p>
      <w:pPr>
        <w:spacing w:after="0" w:line="170" w:lineRule="exact"/>
        <w:rPr>
          <w:rFonts w:ascii="Arial" w:cs="Arial" w:eastAsia="Arial" w:hAnsi="Arial"/>
          <w:sz w:val="18"/>
          <w:szCs w:val="18"/>
          <w:color w:val="auto"/>
        </w:rPr>
      </w:pPr>
    </w:p>
    <w:p>
      <w:pPr>
        <w:ind w:left="540" w:right="740" w:hanging="263"/>
        <w:spacing w:after="0" w:line="276"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 and</w:t>
      </w:r>
    </w:p>
    <w:p>
      <w:pPr>
        <w:spacing w:after="0" w:line="170" w:lineRule="exact"/>
        <w:rPr>
          <w:rFonts w:ascii="Arial" w:cs="Arial" w:eastAsia="Arial" w:hAnsi="Arial"/>
          <w:sz w:val="18"/>
          <w:szCs w:val="18"/>
          <w:color w:val="auto"/>
        </w:rPr>
      </w:pPr>
    </w:p>
    <w:p>
      <w:pPr>
        <w:ind w:left="540" w:right="540" w:hanging="263"/>
        <w:spacing w:after="0" w:line="276"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establish collaboration arrangements with other biotechnology or pharmaceutical companies on favorable terms, if at all, for the development or commercialization of our product candidates.</w:t>
      </w:r>
    </w:p>
    <w:p>
      <w:pPr>
        <w:spacing w:after="0" w:line="170"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Our current cash, cash equivalents, and marketable securities will not be sufficient for us to fund any of our product candidates through regulatory approval. As a result, we will need to raise substantial additional capital to complete the development and commercialization of our product candidates. Identifying potential product candidates and conducting preclinical studies and clinical trials is a time-consuming, expensive and uncertain process that takes years to complete. We may never generate the necessary data 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83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6" w:name="page37"/>
    <w:bookmarkEnd w:id="36"/>
    <w:p>
      <w:pPr>
        <w:ind w:right="100"/>
        <w:spacing w:after="0" w:line="278" w:lineRule="auto"/>
        <w:rPr>
          <w:sz w:val="20"/>
          <w:szCs w:val="20"/>
          <w:color w:val="auto"/>
        </w:rPr>
      </w:pPr>
      <w:r>
        <w:rPr>
          <w:rFonts w:ascii="Arial" w:cs="Arial" w:eastAsia="Arial" w:hAnsi="Arial"/>
          <w:sz w:val="17"/>
          <w:szCs w:val="17"/>
          <w:color w:val="auto"/>
        </w:rPr>
        <w:t>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at all. Adequate additional funds may not be available to us on acceptable terms, or at all. In addition, we may seek additional capital due to favorable market conditions or strategic considerations, even if we believe we have sufficient funds for our current or future operating plans.</w:t>
      </w:r>
    </w:p>
    <w:p>
      <w:pPr>
        <w:spacing w:after="0" w:line="6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If one or more of the product candidates that we develop is approved for commercial sale, we anticipate incurring significant costs associated with commercializing those approved product candidates. Even if we are able to generate revenues from the sale of any approved products, we may not become profitable and may need to obtain additional funding to continue operations.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limited operating history may make it difficult for you to evaluate the success of our business to date and to assess our future viability.</w:t>
      </w:r>
    </w:p>
    <w:p>
      <w:pPr>
        <w:spacing w:after="0" w:line="13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commenced operations in 2015 and our operations to date have been limited to organizing and staffing our company, business planning, raising capital, conducting discovery and research activities, filing patent applications, identifying potential product candidates, developing and advancing our TORPEDO platform, undertaking preclinical studies, establishing arrangements with third parties for the manufacture of initial quantities of our product candidates, and preparing for and initiating clinical trials. While we commenced a clinical trial of CFT7455 in June 2021, all of our other product candidates are still in preclinical development or in the discovery stage. We have not yet demonstrated our ability to successfully complete any clinical trials, obtain marketing approvals, manufacture a commercial scale product directly or through a third party or conduct sales, marketing and distribution activities necessary for successful product commercialization. Consequently, any predictions you make about our future success or viability may not be as accurate as they could be if we had a longer operating history or if we had already successfully completed some or all of these types of activities in the past.</w:t>
      </w:r>
    </w:p>
    <w:p>
      <w:pPr>
        <w:spacing w:after="0" w:line="59"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In addition, as a biopharmaceutical company, we may encounter unforeseen expenses, difficulties, complications, delays and other known and unknown challenges. We will need to transition at some point from a company with a research and development focus to a company capable of supporting commercial activities and we may not be successful in making that transition.</w:t>
      </w:r>
    </w:p>
    <w:p>
      <w:pPr>
        <w:spacing w:after="0" w:line="7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expect our financial condition and operating results to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74" w:lineRule="exact"/>
        <w:rPr>
          <w:sz w:val="20"/>
          <w:szCs w:val="20"/>
          <w:color w:val="auto"/>
        </w:rPr>
      </w:pPr>
    </w:p>
    <w:p>
      <w:pPr>
        <w:spacing w:after="0" w:line="276" w:lineRule="auto"/>
        <w:rPr>
          <w:sz w:val="20"/>
          <w:szCs w:val="20"/>
          <w:color w:val="auto"/>
        </w:rPr>
      </w:pPr>
      <w:r>
        <w:rPr>
          <w:rFonts w:ascii="Arial" w:cs="Arial" w:eastAsia="Arial" w:hAnsi="Arial"/>
          <w:sz w:val="18"/>
          <w:szCs w:val="18"/>
          <w:b w:val="1"/>
          <w:bCs w:val="1"/>
          <w:i w:val="1"/>
          <w:iCs w:val="1"/>
          <w:color w:val="auto"/>
        </w:rPr>
        <w:t>The ongoing global COVID-19 pandemic could continue to adversely impact our business, including our preclinical studies and development programs, supply chain and business development activities.</w:t>
      </w:r>
    </w:p>
    <w:p>
      <w:pPr>
        <w:spacing w:after="0" w:line="6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COVID-19 pandemic, which began in December 2019 and remains ongoing, has spread worldwide and caused governments worldwide to implement measures to slow the spread of the pandemic through quarantines, travel restrictions, heightened border scrutiny, business shutdowns and other measures. The pandemic and government measures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Additionally, the potential for manufacturing facilities and materials to be commandeered under the Defense Production Act of 1950, or equivalent foreign legislation, may make it more difficult to obtain materials or manufacturing slots for the products needed for our clinical trials, which could lead to delays in the initiation or conduct of our trials. While COVID-19 vaccines are now being distributed in the United States and around the world, it will take time to widely administer the vaccines and achieve herd immunity locally and globally. Further, new strains of COVID-19 have accelerated and expanded the continued spread of this pandemic. As a result, the future progression of the pandemic and its effects on our business and operations, as well as the potential timing of a return to a new normal, remain uncertain. In addition, any delays in foreign shipments coming into the United States could also impact our preclinical study or clinical trial plans.</w:t>
      </w:r>
    </w:p>
    <w:p>
      <w:pPr>
        <w:spacing w:after="0" w:line="7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and our contract manufacturing organizations, or CMOs, and contract research organizations, or CROs, may face disruptions that could affect our ability to initiate and complete preclinical studies or clinical trials. For example, because of ongoing efforts to address the pandemic, we may face disruptions in procuring items that are essential for our research and development activities, including, due to shortages arising in raw materials used in the manufacturing of our product candidates, laboratory supplies for our preclinical studies and clinical trials or animals that are used for preclinical testing. We may also face delays in our preclinical research activities due to staffing issues at our CROs located in regions facing setbacks due to the ongoing COVID-19 pandemic. We and our CROs and CMOs may face disruptions related to our clinical trials arising from potential delays in IND-enabling studies, manufacturing disruptions and/or the ability to obtain necessary institutional review board, or IRB, or other necessary site approvals, as well as other delays at clinical trial sites, including delays related to site staffing. To date, we have experienced delays at certain clinical sites who, due to staffing constraints or other internal policy requirements, have not been able to complete site activation activities or enroll patients in our clinical trial as quickly as likely would have been the possible absent the ongoing COVID-19 pandemic.</w:t>
      </w:r>
    </w:p>
    <w:p>
      <w:pPr>
        <w:spacing w:after="0" w:line="7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Another example of how the ongoing COVID-19 pandemic has impacted our operations is that, in March 2020, we closed the office and laboratory spaces in our Watertown, Massachusetts facility and transitioned our employees to work from home. During the spring of 2020, we also experienced closures at the locations of some of our Indian CROs due to local lockdown requirements and, in the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83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7" w:name="page38"/>
    <w:bookmarkEnd w:id="37"/>
    <w:p>
      <w:pPr>
        <w:spacing w:after="0" w:line="268" w:lineRule="auto"/>
        <w:rPr>
          <w:sz w:val="20"/>
          <w:szCs w:val="20"/>
          <w:color w:val="auto"/>
        </w:rPr>
      </w:pPr>
      <w:r>
        <w:rPr>
          <w:rFonts w:ascii="Arial" w:cs="Arial" w:eastAsia="Arial" w:hAnsi="Arial"/>
          <w:sz w:val="17"/>
          <w:szCs w:val="17"/>
          <w:color w:val="auto"/>
        </w:rPr>
        <w:t>second quarter of 2021, we saw a resurgence of COVID-19 in India impact staffing levels at some of our Indian CROs. These shutdowns have resulted and may continue to result in delays to our preclinical studies and, while it is possible that we will be able to accelerate research activities in the longer term or implement alternate mitigation plans, it is also possible that some of our preclinical research programs will suffer unavoidable delays as a result of the continued spread of COVID-19. Due to the ongoing COVID-19 pandemic, we have also seen the risk of delays in production of components used to manufacture our lead degrader candidates increase due to previous delays at one of our China-based manufacturers, which we remediated by working with that manufacturer to change the location of future work to another of the manufacturer’s sites. In June 2020, we reopened our office location to enable a subset of our employees – those whose work can only be performed in our laboratories – to return to the office and required our remaining employees to continue working from home. In June 2021, we reopened our office locations to all employees, and expect that arrangement will continue. While the ongoing impact of this pandemic remains uncertain, we believe the redundancies we have in place between our China and India based CROs and our Watertown, Massachusetts-based laboratory staff, as well as the transition of the majority of our employees to remote work arrangements, have generally mitigated the impact of these disruptions on our business, but it also remains possible that we will see delays in some of our preclinical research activities as the spread and resurgence of COVID-19 continue to arise in various parts of the world, which may continue until vaccination for COVID-19 becomes more broadly available globally.</w:t>
      </w:r>
    </w:p>
    <w:p>
      <w:pPr>
        <w:spacing w:after="0" w:line="72"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response to the ongoing COVID-19 pandemic may result in the redirection of resources with respect to regulatory and intellectual property matters in a way that would adversely impact our ability to progress regulatory approvals and protect our intellectual property. For example, since March 2020 when foreign and domestic inspections were largely placed on hold, the FDA has been working to resume routine surveillance, bioresearch monitoring and pre-approval inspections on a prioritized basis. The FDA has developed a rating system to assist in determining when and where it is safest to conduct prioritized domestic inspections and began resuming inspections in China and India in early 2021. However, the return to inspections remains slow and, as of May 2021, certain inspections, such as foreign preapproval, surveillance, and for-cause inspections that are not deemed mission-critical, remain temporarily postponed. In April 2021, the FDA issued guidance for industry formally announcing plans to employ remote interactive evaluations, using risk management methods, to meet user fee commitments and goal dates and in May 2021 announced plans to continue progress toward resuming standard operational levels. Should FDA determine that an inspection is necessary for approval and an inspection cannot be completed during the review cycle due to restrictions on travel, and the FDA does not determine a remote interactive evaluation to be adequate, the agency has stated that it generally intends to issue a complete response letter or defer action on the application until an inspection can be completed. Further, if there is inadequate information to make a determination on the acceptability of a facility, FDA may defer action on the application until an inspection can be completed. In 2020 and 2021, a number of companies announced receipt of complete response letters due to the FDA's inability to complete required inspections for their applications. Regulatory authorities outside the U.S. may adopt similar restrictions or other policy measures in response to the ongoing COVID-19 pandemic and may experience delays in their regulatory activities.</w:t>
      </w:r>
    </w:p>
    <w:p>
      <w:pPr>
        <w:spacing w:after="0" w:line="7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Additionally, as of May 26, 2021, the FDA also noted that it is continuing to ensure timely reviews of applications for medical products during the ongoing COVID-19 pandemic in line with its user fee performance goals and conducting mission critical domestic and foreign inspections to ensure compliance of manufacturing facilities with FDA quality standards, including for oncology product development. However, FDA may not be able to continue its current pace and review timelines could be extended, including where a pre-approval inspection or an inspection of clinical sites is required and due to the ongoing COVID-19 pandemic and travel restrictions FDA is unable to complete such required inspections during the review period. In addition, we may face impediments to regulatory meetings and approvals due to measures intended to limit in-person interactions.</w:t>
      </w:r>
    </w:p>
    <w:p>
      <w:pPr>
        <w:spacing w:after="0" w:line="67"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While we were successfully able to raise capital twice during 2020 and once during 2021, the pandemic has caused significant disruptions in the financial markets and may continue to cause these types of disruptions, which could impact our ability to raise additional funds through public offerings and may also contribute to volatility in our stock price and otherwise impact trading in our stock. Moreover, it is possible the pandemic will significantly impact economies worldwide, which could adversely affect our business prospects, financial condition and results of operations. Any significant disruption of global financial markets, reducing our ability to access capital, could negatively affect our liquidity and ability to continue operations.</w:t>
      </w:r>
    </w:p>
    <w:p>
      <w:pPr>
        <w:spacing w:after="0" w:line="5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COVID-19 and actions taken to reduce its spread continue to rapidly evolve. The extent to which COVID-19 may impede the development of our product candidates, reduce the productivity of our employees, disrupt our supply chains, delay our pre-clinical studies or clinical trials, reduce our access to capital or limit our business development activities, will depend on future developments, which are highly uncertain and cannot be predicted with confidence. To the extent the ongoing COVID-19 pandemic adversely affects our business prospects, financial condition and results of operations, it may also have the effect of heightening many of the other risks described in this “Risk Factors” section, such as those relating to the timing and results of our planned and future clinical trials and our financing needs.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Credit Agreement with Perceptive Credit contains restrictions that limit our flexibility in operating our business.</w:t>
      </w:r>
    </w:p>
    <w:p>
      <w:pPr>
        <w:spacing w:after="0" w:line="116"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In June 2020, we entered into a credit agreement and guaranty, or the Credit Agreement, with Perceptive Credit, an affiliate of Perceptive Advisors LLC, or Perceptive Advisors, which is one of our significant stockholders. The Credit Agreement provided for a $20.0 million senior secured delayed draw term loan facility. The Credit Agreement is secured by a lien on substantially all of our and our subsidiaries’ assets, including, but not limited to, shares of our subsidiaries, our current and future intellectual property, insurance,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83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8" w:name="page39"/>
    <w:bookmarkEnd w:id="38"/>
    <w:p>
      <w:pPr>
        <w:ind w:right="60"/>
        <w:spacing w:after="0" w:line="258" w:lineRule="auto"/>
        <w:rPr>
          <w:sz w:val="20"/>
          <w:szCs w:val="20"/>
          <w:color w:val="auto"/>
        </w:rPr>
      </w:pPr>
      <w:r>
        <w:rPr>
          <w:rFonts w:ascii="Arial" w:cs="Arial" w:eastAsia="Arial" w:hAnsi="Arial"/>
          <w:sz w:val="18"/>
          <w:szCs w:val="18"/>
          <w:color w:val="auto"/>
        </w:rPr>
        <w:t>trade and intercompany receivables, inventory and equipment and contract rights. The Credit Agreement requires us to meet specified minimum cash requirements, as described below, and contains various affirmative and negative covenants that limit our ability to engage in specified types of transactions. These covenants, which are subject to customary exceptions, limit our ability to, without Perceptive Credit’s prior written consent, effect any of the following, among other things:</w:t>
      </w:r>
    </w:p>
    <w:p>
      <w:pPr>
        <w:spacing w:after="0" w:line="187" w:lineRule="exact"/>
        <w:rPr>
          <w:sz w:val="20"/>
          <w:szCs w:val="20"/>
          <w:color w:val="auto"/>
        </w:rPr>
      </w:pPr>
    </w:p>
    <w:p>
      <w:pPr>
        <w:ind w:left="540" w:hanging="263"/>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sell, lease, transfer or otherwise dispose of certain assets;</w:t>
      </w:r>
    </w:p>
    <w:p>
      <w:pPr>
        <w:spacing w:after="0" w:line="223" w:lineRule="exact"/>
        <w:rPr>
          <w:rFonts w:ascii="Arial" w:cs="Arial" w:eastAsia="Arial" w:hAnsi="Arial"/>
          <w:sz w:val="18"/>
          <w:szCs w:val="18"/>
          <w:color w:val="auto"/>
        </w:rPr>
      </w:pPr>
    </w:p>
    <w:p>
      <w:pPr>
        <w:ind w:left="540" w:hanging="263"/>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acquire another company or business or enter into a merger or similar transaction with third parties;</w:t>
      </w:r>
    </w:p>
    <w:p>
      <w:pPr>
        <w:spacing w:after="0" w:line="224" w:lineRule="exact"/>
        <w:rPr>
          <w:rFonts w:ascii="Arial" w:cs="Arial" w:eastAsia="Arial" w:hAnsi="Arial"/>
          <w:sz w:val="18"/>
          <w:szCs w:val="18"/>
          <w:color w:val="auto"/>
        </w:rPr>
      </w:pPr>
    </w:p>
    <w:p>
      <w:pPr>
        <w:ind w:left="540" w:hanging="263"/>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224" w:lineRule="exact"/>
        <w:rPr>
          <w:rFonts w:ascii="Arial" w:cs="Arial" w:eastAsia="Arial" w:hAnsi="Arial"/>
          <w:sz w:val="18"/>
          <w:szCs w:val="18"/>
          <w:color w:val="auto"/>
        </w:rPr>
      </w:pPr>
    </w:p>
    <w:p>
      <w:pPr>
        <w:ind w:left="540" w:hanging="263"/>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223" w:lineRule="exact"/>
        <w:rPr>
          <w:rFonts w:ascii="Arial" w:cs="Arial" w:eastAsia="Arial" w:hAnsi="Arial"/>
          <w:sz w:val="18"/>
          <w:szCs w:val="18"/>
          <w:color w:val="auto"/>
        </w:rPr>
      </w:pPr>
    </w:p>
    <w:p>
      <w:pPr>
        <w:ind w:left="540" w:hanging="263"/>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enter into certain inbound and outbound licenses of intellectual property, subject to certain exceptions;</w:t>
      </w:r>
    </w:p>
    <w:p>
      <w:pPr>
        <w:spacing w:after="0" w:line="224" w:lineRule="exact"/>
        <w:rPr>
          <w:rFonts w:ascii="Arial" w:cs="Arial" w:eastAsia="Arial" w:hAnsi="Arial"/>
          <w:sz w:val="18"/>
          <w:szCs w:val="18"/>
          <w:color w:val="auto"/>
        </w:rPr>
      </w:pPr>
    </w:p>
    <w:p>
      <w:pPr>
        <w:ind w:left="540" w:hanging="263"/>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encumber or permit liens on certain assets; and</w:t>
      </w:r>
    </w:p>
    <w:p>
      <w:pPr>
        <w:spacing w:after="0" w:line="224" w:lineRule="exact"/>
        <w:rPr>
          <w:rFonts w:ascii="Arial" w:cs="Arial" w:eastAsia="Arial" w:hAnsi="Arial"/>
          <w:sz w:val="18"/>
          <w:szCs w:val="18"/>
          <w:color w:val="auto"/>
        </w:rPr>
      </w:pPr>
    </w:p>
    <w:p>
      <w:pPr>
        <w:ind w:left="540" w:hanging="263"/>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pay dividends and make other restricted payments with respect to our common stock.</w:t>
      </w:r>
    </w:p>
    <w:p>
      <w:pPr>
        <w:spacing w:after="0" w:line="22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Our board of directors or management team could believe that taking any one of these actions would be in our best interests and the best interests of our stockholders. If that were the case and if we were unable to complete any of these actions because Perceptive Credit does not provide its consent, that could adversely impact our business, financial condition and results of operations.</w:t>
      </w:r>
    </w:p>
    <w:p>
      <w:pPr>
        <w:spacing w:after="0" w:line="7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 addition, we are required to deposit into controlled accounts all cash or other payments received in respect of any and all of our accounts receivable or any other contract or right and interest and, at all times, to maintain a minimum aggregate balance of $3.0 million in cash in one or more such controlled accounts. These accounts are required to be maintained as cash collateral accounts securing our obligations under the Credit Agreement. Until our obligations under the Credit Agreement have been discharged, our ability to use the cash amounts held in these controlled accounts in the operation of our business will be limited.</w:t>
      </w:r>
    </w:p>
    <w:p>
      <w:pPr>
        <w:spacing w:after="0" w:line="81" w:lineRule="exact"/>
        <w:rPr>
          <w:sz w:val="20"/>
          <w:szCs w:val="20"/>
          <w:color w:val="auto"/>
        </w:rPr>
      </w:pPr>
    </w:p>
    <w:p>
      <w:pPr>
        <w:ind w:right="280"/>
        <w:spacing w:after="0" w:line="276" w:lineRule="auto"/>
        <w:rPr>
          <w:sz w:val="20"/>
          <w:szCs w:val="20"/>
          <w:color w:val="auto"/>
        </w:rPr>
      </w:pPr>
      <w:r>
        <w:rPr>
          <w:rFonts w:ascii="Arial" w:cs="Arial" w:eastAsia="Arial" w:hAnsi="Arial"/>
          <w:sz w:val="18"/>
          <w:szCs w:val="18"/>
          <w:color w:val="auto"/>
        </w:rPr>
        <w:t>Under this facility, as of September 30, 2021, we drew down on the first tranche of $12.5 million. We elected not to draw down on the second tranche of $7.5 million, which expired on June 30, 2021.</w:t>
      </w:r>
    </w:p>
    <w:p>
      <w:pPr>
        <w:spacing w:after="0" w:line="63"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In the event of a default under the Credit Agreement, including, among other things, our failure to make any payment when due or our failure to comply with any provision of the Credit Agreement, subject to customary grace periods, Perceptive Credit could elect to declare all amounts outstanding to be immediately due and payable and terminate all commitments to extend further credit. If we are unable to repay the amounts due under the Credit Agreement, Perceptive Credit could proceed against the collateral granted to it to secure this indebtedness, which could have an adverse effect on our business, financial condition and results of operations.</w:t>
      </w:r>
    </w:p>
    <w:p>
      <w:pPr>
        <w:spacing w:after="0" w:line="81"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Perceptive Credit’s interests as a lender may not always be aligned with our interests or with Perceptive Advisor’s interests as a stockholder. If our interests come into conflict with those of Perceptive Credit, including in the event of a default under the Credit Agreement, Perceptive Credit may choose to act in its self-interest, which could adversely affect the success of our current and future collaborative efforts with Perceptive Advisor.</w:t>
      </w:r>
    </w:p>
    <w:p>
      <w:pPr>
        <w:spacing w:after="0" w:line="58" w:lineRule="exact"/>
        <w:rPr>
          <w:sz w:val="20"/>
          <w:szCs w:val="20"/>
          <w:color w:val="auto"/>
        </w:rPr>
      </w:pPr>
    </w:p>
    <w:p>
      <w:pPr>
        <w:ind w:right="560"/>
        <w:spacing w:after="0" w:line="276"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63"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Until the time, if ever, when we can generate substantial revenue from product sales, we expect to finance our cash needs through a combination of equity offerings, debt financings, collaborations, strategic alliances and marketing, distribution or licensing arrangements. Although we may receive potential future payments under our collaborations with Biogen, Roche and Calico, we do not currently have any committed external source of funds. If we raise additional capital through the sale of equity or convertible debt securities, your ownership interest will be diluted and the terms of any securities we may issue in the future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 Pursuant to the Credit Agreement, we granted Perceptive Credit a warrant that now enables Perceptive Credit to purchase 338,784 shares of our common stock and Perceptive Credit could elect to exercise this warrant in the future. Covenants in the Credit Agreement impose certain limitations and obligations on us, including restrictions on our ability to incur additional debt and to enter into certain business combinations without Perceptive Credit’s prior written consent.</w:t>
      </w:r>
    </w:p>
    <w:p>
      <w:pPr>
        <w:spacing w:after="0" w:line="7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83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Risks related to the discovery and development of our product candidates</w:t>
      </w:r>
    </w:p>
    <w:p>
      <w:pPr>
        <w:spacing w:after="0" w:line="120" w:lineRule="exact"/>
        <w:rPr>
          <w:sz w:val="20"/>
          <w:szCs w:val="20"/>
          <w:color w:val="auto"/>
        </w:rPr>
      </w:pPr>
    </w:p>
    <w:p>
      <w:pPr>
        <w:ind w:right="80"/>
        <w:spacing w:after="0" w:line="306" w:lineRule="auto"/>
        <w:rPr>
          <w:sz w:val="20"/>
          <w:szCs w:val="20"/>
          <w:color w:val="auto"/>
        </w:rPr>
      </w:pPr>
      <w:r>
        <w:rPr>
          <w:rFonts w:ascii="Arial" w:cs="Arial" w:eastAsia="Arial" w:hAnsi="Arial"/>
          <w:sz w:val="17"/>
          <w:szCs w:val="17"/>
          <w:b w:val="1"/>
          <w:bCs w:val="1"/>
          <w:i w:val="1"/>
          <w:iCs w:val="1"/>
          <w:color w:val="auto"/>
        </w:rPr>
        <w:t>Our approach to the discovery and development of product candidates based on our TORPEDO platform for targeted protein degradation is unproven, which makes it difficult to predict the time, cost of development and likelihood of successfully developing any products.</w:t>
      </w:r>
    </w:p>
    <w:p>
      <w:pPr>
        <w:spacing w:after="0" w:line="4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Treating diseases using targeted protein degradation is a new treatment modality. Our future success depends on the successful development of this novel therapeutic approach. Very few small molecule product candidates using targeted protein degradation, such as those developed through our TORPEDO platform, have been tested in humans and none have been approved in the United States or Europe. The data underlying the feasibility of developing these types of therapeutic products is both preliminary and limited. If any adverse learnings are made by other developers of targeted protein degraders, there is a risk that development of our product candidates could be materially impacted. Discovery and development of small molecules that harness the ubiquitin proteasome pathway to degrade protein targets have been impeded largely by the complexities and limited understanding of the functions, biochemistry and structural biology of the specific components of the ubiquitin-proteasome system, including E3 ligases and their required accessory proteins involved in target protein ubiquitination, as well as by challenges of engineering compounds that promote protein-to-protein interactions.</w:t>
      </w:r>
    </w:p>
    <w:p>
      <w:pPr>
        <w:spacing w:after="0" w:line="5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scientific research that forms the basis of our efforts to develop our degrader product candidates under our TORPEDO platform is ongoing and the scientific evidence to support the feasibility of developing TORPEDO platform-derived therapeutic treatments is both preliminary and limited. Further, certain cancer patients have shown inherent primary resistance to approved drugs that inhibit disease-causing proteins and other patients have developed acquired secondary resistance to these inhibitors. Although we believe our products candidates may have the ability to degrade the specific mutations that confer resistance to currently marketed inhibitors of disease-causing enzymes, any inherent primary or acquired secondary resistance to our product candidates in patients, or if the scientific research that forms the basis of our efforts proves to be contradicted, would prevent or diminish their clinical benefit.</w:t>
      </w:r>
    </w:p>
    <w:p>
      <w:pPr>
        <w:spacing w:after="0" w:line="8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While we commenced a clinical trial of CFT7455 in June 2021, at this time, we have not yet completed a clinical trial of any product candidate. As a result, we are only starting to assess the safety of CFT7455 in patients and we have not yet assessed the safety of any of our other product candidates in humans. Although some of our product candidates have produced observable results in animal studies, there is a limited safety data set for their effects in animals. In addition, these product candidates may not demonstrate the same chemical and pharmacological properties in humans and may interact with human biological systems in unforeseen, ineffective or harmful ways. As a result, there could be adverse effects from treatment with any of our current or future product candidates that we cannot predict at this time.</w:t>
      </w:r>
    </w:p>
    <w:p>
      <w:pPr>
        <w:spacing w:after="0" w:line="8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Additionally, the regulatory approval process for novel product candidates such as ours can be more expensive and take longer than for other, better-known or extensively studied product candidates. Although other companies are also developing therapeutics based on targeted protein degradation, no regulatory authority has granted approval for any therapeutic of this nature at this time. As a result, it is more difficult for us to predict the time and cost of developing our product candidates and we cannot predict whether the application of our TORPEDO platform, or any similar or competitive protein degradation platforms, will result in the development of product candidates that make it through to marketing approval. Any development problems we experience in the future related to our TORPEDO platform or any of our research programs may cause significant delays or unanticipated costs or may prevent the development of a commercially viable product. Any of these factors may prevent us from completing our preclinical studies or any clinical trials that we may initiate, as well as from commercializing any product candidates we may develop on a timely or profitable basis, if at all.</w:t>
      </w:r>
    </w:p>
    <w:p>
      <w:pPr>
        <w:spacing w:after="0" w:line="59" w:lineRule="exact"/>
        <w:rPr>
          <w:sz w:val="20"/>
          <w:szCs w:val="20"/>
          <w:color w:val="auto"/>
        </w:rPr>
      </w:pPr>
    </w:p>
    <w:p>
      <w:pPr>
        <w:ind w:right="60"/>
        <w:spacing w:after="0" w:line="339" w:lineRule="auto"/>
        <w:rPr>
          <w:sz w:val="20"/>
          <w:szCs w:val="20"/>
          <w:color w:val="auto"/>
        </w:rPr>
      </w:pPr>
      <w:r>
        <w:rPr>
          <w:rFonts w:ascii="Arial" w:cs="Arial" w:eastAsia="Arial" w:hAnsi="Arial"/>
          <w:sz w:val="15"/>
          <w:szCs w:val="15"/>
          <w:b w:val="1"/>
          <w:bCs w:val="1"/>
          <w:i w:val="1"/>
          <w:iCs w:val="1"/>
          <w:color w:val="auto"/>
        </w:rPr>
        <w:t>We are a clinical stage biotechnology company and, while we commenced a clinical trial of CFT7455 in June 2021, all of our other product candidates are still in preclinical development or in the discovery stage. If we are unable to advance to clinical development, develop, obtain regulatory approval for and commercialize our product candidates or experience significant delays in doing so, our business may be materially harmed.</w:t>
      </w:r>
    </w:p>
    <w:p>
      <w:pPr>
        <w:spacing w:after="0" w:line="23"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are a clinical-stage biotechnology company and, while we commenced a clinical trial of CFT7455 in June 2021, all of our other product candidates are currently in preclinical development or in the discovery stage. As a result, their risk of failure is high. We have invested substantially all of our efforts and financial resources in building our TORPEDO platform and identifying and conducting preclinical development of our current product candidates, including CFT7455, CFT8634, and CFT8919. Our ability to generate revenue from product sales, which we do not expect will occur for many years, if ever, will depend heavily on the successful development and eventual commercialization of one or more of our product candidates. The success of our product candidates will depend on several factors, including the following:</w:t>
      </w:r>
    </w:p>
    <w:p>
      <w:pPr>
        <w:spacing w:after="0" w:line="174" w:lineRule="exact"/>
        <w:rPr>
          <w:sz w:val="20"/>
          <w:szCs w:val="20"/>
          <w:color w:val="auto"/>
        </w:rPr>
      </w:pPr>
    </w:p>
    <w:p>
      <w:pPr>
        <w:ind w:left="540" w:hanging="263"/>
        <w:spacing w:after="0"/>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sufficiency of our financial and other resources;</w:t>
      </w:r>
    </w:p>
    <w:p>
      <w:pPr>
        <w:spacing w:after="0" w:line="223" w:lineRule="exact"/>
        <w:rPr>
          <w:rFonts w:ascii="Arial" w:cs="Arial" w:eastAsia="Arial" w:hAnsi="Arial"/>
          <w:sz w:val="18"/>
          <w:szCs w:val="18"/>
          <w:color w:val="auto"/>
        </w:rPr>
      </w:pPr>
    </w:p>
    <w:p>
      <w:pPr>
        <w:ind w:left="540" w:hanging="263"/>
        <w:spacing w:after="0"/>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successful initiations and completion of preclinical studies;</w:t>
      </w:r>
    </w:p>
    <w:p>
      <w:pPr>
        <w:spacing w:after="0" w:line="223" w:lineRule="exact"/>
        <w:rPr>
          <w:rFonts w:ascii="Arial" w:cs="Arial" w:eastAsia="Arial" w:hAnsi="Arial"/>
          <w:sz w:val="18"/>
          <w:szCs w:val="18"/>
          <w:color w:val="auto"/>
        </w:rPr>
      </w:pPr>
    </w:p>
    <w:p>
      <w:pPr>
        <w:ind w:left="540" w:hanging="263"/>
        <w:spacing w:after="0"/>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successful submission and clearance of INDs and initiation of clinical trials;</w:t>
      </w:r>
    </w:p>
    <w:p>
      <w:pPr>
        <w:spacing w:after="0" w:line="223" w:lineRule="exact"/>
        <w:rPr>
          <w:rFonts w:ascii="Arial" w:cs="Arial" w:eastAsia="Arial" w:hAnsi="Arial"/>
          <w:sz w:val="18"/>
          <w:szCs w:val="18"/>
          <w:color w:val="auto"/>
        </w:rPr>
      </w:pPr>
    </w:p>
    <w:p>
      <w:pPr>
        <w:ind w:left="540" w:hanging="263"/>
        <w:spacing w:after="0"/>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successful patient enrollment in, and conduct and completion of, clinical trials;</w:t>
      </w:r>
    </w:p>
    <w:p>
      <w:pPr>
        <w:spacing w:after="0" w:line="223" w:lineRule="exact"/>
        <w:rPr>
          <w:rFonts w:ascii="Arial" w:cs="Arial" w:eastAsia="Arial" w:hAnsi="Arial"/>
          <w:sz w:val="18"/>
          <w:szCs w:val="18"/>
          <w:color w:val="auto"/>
        </w:rPr>
      </w:pPr>
    </w:p>
    <w:p>
      <w:pPr>
        <w:ind w:left="540" w:hanging="263"/>
        <w:spacing w:after="0"/>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receipt and related terms of marketing approvals from applicable regulatory authorities;</w:t>
      </w: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83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40" w:name="page41"/>
    <w:bookmarkEnd w:id="40"/>
    <w:p>
      <w:pPr>
        <w:ind w:left="540" w:hanging="263"/>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obtaining and maintaining patent or trade secret protection and regulatory exclusivity for our product candidates;</w:t>
      </w:r>
    </w:p>
    <w:p>
      <w:pPr>
        <w:spacing w:after="0" w:line="224" w:lineRule="exact"/>
        <w:rPr>
          <w:rFonts w:ascii="Arial" w:cs="Arial" w:eastAsia="Arial" w:hAnsi="Arial"/>
          <w:sz w:val="18"/>
          <w:szCs w:val="18"/>
          <w:color w:val="auto"/>
        </w:rPr>
      </w:pPr>
    </w:p>
    <w:p>
      <w:pPr>
        <w:ind w:left="540" w:hanging="263"/>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making suitable arrangements with third-party manufacturers for both clinical and commercial supplies of our product candidates;</w:t>
      </w:r>
    </w:p>
    <w:p>
      <w:pPr>
        <w:spacing w:after="0" w:line="223" w:lineRule="exact"/>
        <w:rPr>
          <w:rFonts w:ascii="Arial" w:cs="Arial" w:eastAsia="Arial" w:hAnsi="Arial"/>
          <w:sz w:val="18"/>
          <w:szCs w:val="18"/>
          <w:color w:val="auto"/>
        </w:rPr>
      </w:pPr>
    </w:p>
    <w:p>
      <w:pPr>
        <w:ind w:left="540" w:hanging="263"/>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developing product candidates that achieve the therapeutic properties desired and appropriate for their intended indications;</w:t>
      </w:r>
    </w:p>
    <w:p>
      <w:pPr>
        <w:spacing w:after="0" w:line="224" w:lineRule="exact"/>
        <w:rPr>
          <w:rFonts w:ascii="Arial" w:cs="Arial" w:eastAsia="Arial" w:hAnsi="Arial"/>
          <w:sz w:val="18"/>
          <w:szCs w:val="18"/>
          <w:color w:val="auto"/>
        </w:rPr>
      </w:pPr>
    </w:p>
    <w:p>
      <w:pPr>
        <w:ind w:left="540" w:right="160" w:hanging="263"/>
        <w:spacing w:after="0" w:line="276"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launching commercial sales of our products, if and when approved, whether alone or in collaboration with others;</w:t>
      </w:r>
    </w:p>
    <w:p>
      <w:pPr>
        <w:spacing w:after="0" w:line="170" w:lineRule="exact"/>
        <w:rPr>
          <w:rFonts w:ascii="Arial" w:cs="Arial" w:eastAsia="Arial" w:hAnsi="Arial"/>
          <w:sz w:val="18"/>
          <w:szCs w:val="18"/>
          <w:color w:val="auto"/>
        </w:rPr>
      </w:pPr>
    </w:p>
    <w:p>
      <w:pPr>
        <w:ind w:left="540" w:hanging="263"/>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acceptance of our products, if and when approved, by patients, the medical community and third-party payors;</w:t>
      </w:r>
    </w:p>
    <w:p>
      <w:pPr>
        <w:spacing w:after="0" w:line="223" w:lineRule="exact"/>
        <w:rPr>
          <w:rFonts w:ascii="Arial" w:cs="Arial" w:eastAsia="Arial" w:hAnsi="Arial"/>
          <w:sz w:val="18"/>
          <w:szCs w:val="18"/>
          <w:color w:val="auto"/>
        </w:rPr>
      </w:pPr>
    </w:p>
    <w:p>
      <w:pPr>
        <w:ind w:left="540" w:hanging="263"/>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obtaining and maintaining third-party coverage and adequate reimbursement;</w:t>
      </w:r>
    </w:p>
    <w:p>
      <w:pPr>
        <w:spacing w:after="0" w:line="224" w:lineRule="exact"/>
        <w:rPr>
          <w:rFonts w:ascii="Arial" w:cs="Arial" w:eastAsia="Arial" w:hAnsi="Arial"/>
          <w:sz w:val="18"/>
          <w:szCs w:val="18"/>
          <w:color w:val="auto"/>
        </w:rPr>
      </w:pPr>
    </w:p>
    <w:p>
      <w:pPr>
        <w:ind w:left="540" w:hanging="263"/>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establishing a continued acceptable safety profile of the products and maintaining such that a profile following approval; and</w:t>
      </w:r>
    </w:p>
    <w:p>
      <w:pPr>
        <w:spacing w:after="0" w:line="224" w:lineRule="exact"/>
        <w:rPr>
          <w:rFonts w:ascii="Arial" w:cs="Arial" w:eastAsia="Arial" w:hAnsi="Arial"/>
          <w:sz w:val="18"/>
          <w:szCs w:val="18"/>
          <w:color w:val="auto"/>
        </w:rPr>
      </w:pPr>
    </w:p>
    <w:p>
      <w:pPr>
        <w:ind w:left="540" w:hanging="263"/>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224"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If we do not successfully achieve one or more of these factors in a timely manner, or at all, we could experience significant delays or an inability to successfully commercialize our product candidates, which could materially harm our business. Moreover, if we do not receive regulatory approvals, we may not be able to continue our operations.</w:t>
      </w:r>
    </w:p>
    <w:p>
      <w:pPr>
        <w:spacing w:after="0" w:line="74" w:lineRule="exact"/>
        <w:rPr>
          <w:sz w:val="20"/>
          <w:szCs w:val="20"/>
          <w:color w:val="auto"/>
        </w:rPr>
      </w:pPr>
    </w:p>
    <w:p>
      <w:pPr>
        <w:ind w:right="160"/>
        <w:spacing w:after="0" w:line="276" w:lineRule="auto"/>
        <w:rPr>
          <w:sz w:val="20"/>
          <w:szCs w:val="20"/>
          <w:color w:val="auto"/>
        </w:rPr>
      </w:pPr>
      <w:r>
        <w:rPr>
          <w:rFonts w:ascii="Arial" w:cs="Arial" w:eastAsia="Arial" w:hAnsi="Arial"/>
          <w:sz w:val="18"/>
          <w:szCs w:val="18"/>
          <w:b w:val="1"/>
          <w:bCs w:val="1"/>
          <w:i w:val="1"/>
          <w:iCs w:val="1"/>
          <w:color w:val="auto"/>
        </w:rPr>
        <w:t>We have limited experience as a company in completing IND-enabling preclinical studies, submitting INDs or commencing, enrolling and conducting clinical trials.</w:t>
      </w:r>
    </w:p>
    <w:p>
      <w:pPr>
        <w:spacing w:after="0" w:line="6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have limited experience as a company in completing IND-enabling preclinical studies and, while we commenced clinical development of CFT7455, we have limited experience as a company in commencing, enrolling and conducting clinical trials. In part because of this lack of experience, we cannot be certain that our preclinical studies will be completed on time, that we will submit INDs in a timely manner, that any INDs we submit will be cleared by the FDA in a timely manner, if at all, or if our planned clinical trials will begin, enroll or be completed on time, if at all. Large-scale clinical trials would require significant additional financial and management resources and reliance on third-party clinical investigators and consultants. Relying on third-party clinical investigators, CROs and consultants may cause us to encounter delays that are outside of our control. In addition, relying on third parties in the conduct of our preclinical studies or clinical trials exposes us to a risk that they may not adequately adhere to study or trial protocols or comply with good laboratory practice or good clinical practice, or GCP, as required for any studies or trials we plan to submit to a regulatory authority. We may be unable to identify and contract with sufficient investigators, CROs and consultants on a timely basis or at all. For each of our lead product candidates, CFT7455 and CFT8634, we have entered into a master services agreement with a CRO to lead our first-in-human Phase 1/2 clinical trial for the applicable product candidate. There can be no assurance that we will be able to negotiate and enter into additional master services agreements with these or other CROs, if and when necessary for our other product candidates, on terms that are acceptable to us on a timely basis or at all.</w:t>
      </w:r>
    </w:p>
    <w:p>
      <w:pPr>
        <w:spacing w:after="0" w:line="63" w:lineRule="exact"/>
        <w:rPr>
          <w:sz w:val="20"/>
          <w:szCs w:val="20"/>
          <w:color w:val="auto"/>
        </w:rPr>
      </w:pPr>
    </w:p>
    <w:p>
      <w:pPr>
        <w:ind w:right="220"/>
        <w:spacing w:after="0" w:line="276" w:lineRule="auto"/>
        <w:rPr>
          <w:sz w:val="20"/>
          <w:szCs w:val="20"/>
          <w:color w:val="auto"/>
        </w:rPr>
      </w:pPr>
      <w:r>
        <w:rPr>
          <w:rFonts w:ascii="Arial" w:cs="Arial" w:eastAsia="Arial" w:hAnsi="Arial"/>
          <w:sz w:val="18"/>
          <w:szCs w:val="18"/>
          <w:b w:val="1"/>
          <w:bCs w:val="1"/>
          <w:i w:val="1"/>
          <w:iCs w:val="1"/>
          <w:color w:val="auto"/>
        </w:rPr>
        <w:t>Our preclinical studies and clinical trials may fail to demonstrate adequately the safety, potency, purity and efficacy of any of our product candidates, which would prevent or delay development, regulatory approval and commercialization.</w:t>
      </w:r>
    </w:p>
    <w:p>
      <w:pPr>
        <w:spacing w:after="0" w:line="63"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Before obtaining regulatory approval for the commercial sale of any of our product candidates, including CFT7455, CFT8634, and CFT8919, we must demonstrate through lengthy, complex and expensive preclinical studies and clinical trials that our product candidates are both safe and effective for use in each target indication. Preclinical and clinical testing is expensive and can take many years to complete. Further, the outcome of these activities is inherently uncertain. Failure can occur at any time during the preclinical study and clinical trial processes and, because most of our product candidates are in an early stage of development and have never been tested in humans, there is a high risk of failure. In addition, because targeted protein degraders are a relatively new class of product candidates, any failures or adverse outcomes in preclinical or clinical testing seen by other developers in this class could materially impact the success of our programs. We may never succeed in developing marketable products.</w:t>
      </w:r>
    </w:p>
    <w:p>
      <w:pPr>
        <w:spacing w:after="0" w:line="55"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It is also possible that the results of preclinical studies and early clinical trials of our product candidates may not be predictive of the results of later-stage clinical trials. Although product candidates may demonstrate promising results in preclinical studies and early clinical trials, they may not prove to be effective or safe in subsequent clinical trials. For example, testing on animals occurs under different conditions than testing in humans and, therefore, the results of animal studies may not accurately predict human experience. There is typically an extremely high rate of attrition from the failure of product candidates proceeding through preclinical studies and clinical trials. Product candidates in later stages of clinical trials may fail to show the desired safety, potency, purity and efficacy profile despite having progressed successfully through preclinical studies and/or initial clinical trials. Likewise, early, smaller-scale clinical trials may not be predictive of eventual safety or effectiveness in large-scale pivotal clinical trials. Many companies in the biopharmaceutical industry have suffered significant setbacks in advanced clinical trials due to lack of potency or efficacy, insufficient durability of potency or efficacy or unacceptable safety issues, notwithstanding promising results in earlier trials. Most product candidates that commence preclinical studies and clinical trials are never approved as products.</w:t>
      </w:r>
    </w:p>
    <w:p>
      <w:pPr>
        <w:spacing w:after="0" w:line="7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Additionally, we expect that the first clinical trials for our product candidates may be open-label studies, where both the patient and investigator know whether the patient is receiving the investigational product candidate or either an existing approved drug or placebo. This is the case with the ongoing first-in-human clinical trial of CFT7455. Most typically, open-label clinical trials test only the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83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48" w:right="339" w:bottom="1440" w:gutter="0" w:footer="0" w:header="0"/>
        </w:sectPr>
      </w:pPr>
    </w:p>
    <w:bookmarkStart w:id="41" w:name="page42"/>
    <w:bookmarkEnd w:id="41"/>
    <w:p>
      <w:pPr>
        <w:ind w:right="180"/>
        <w:spacing w:after="0" w:line="278" w:lineRule="auto"/>
        <w:rPr>
          <w:sz w:val="20"/>
          <w:szCs w:val="20"/>
          <w:color w:val="auto"/>
        </w:rPr>
      </w:pPr>
      <w:r>
        <w:rPr>
          <w:rFonts w:ascii="Arial" w:cs="Arial" w:eastAsia="Arial" w:hAnsi="Arial"/>
          <w:sz w:val="17"/>
          <w:szCs w:val="17"/>
          <w:color w:val="auto"/>
        </w:rPr>
        <w:t>investigational product candidate and sometimes do so at different dose levels. Open-label clinical trials are subject to various limitations that may exaggerate any therapeutic effect as patients in open-label clinical trials are aware when they are receiving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w:t>
      </w:r>
    </w:p>
    <w:p>
      <w:pPr>
        <w:spacing w:after="0" w:line="6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Any preclinical studies or clinical trials that we may conduct may not demonstrate the safety, potency, purity and efficacy necessary to obtain regulatory approval to market our product candidates. If the results of our ongoing or future preclinical studies or clinical trials are inconclusive with respect to the safety, potency, purity and efficacy of our product candidates, if we do not meet the clinical endpoints with statistical and clinically meaningful significance or if there are safety concerns associated with our product candidates, we may be prevented or delayed in obtaining marketing approval for those product candidates. In some instances, there can be significant variability in safety, potency, purity or efficacy results between different preclinical studies and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w:t>
      </w:r>
    </w:p>
    <w:p>
      <w:pPr>
        <w:spacing w:after="0" w:line="55"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While we commenced a clinical trial of CFT7455 in June 2021, we have not yet initiated clinical trials for any of our other product candidates. As is the case with all drugs, it is likely that there may be side effects associated with the use of our product candidates related to on-target, off-target toxicity, or other mechanisms of drug toxicity including chemical-based toxicity. Results of our trials could reveal a high and unacceptable severity and prevalence of side effects of this nature. If unacceptable levels of toxicity are observed or if our product candidates have other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Further, if we were to observe unacceptable levels of side effects, or if other developers of similar targeted protein degraders were to find an unacceptable severity or prevalence of side effects with their drug candidates, our trials could be suspended or terminated, and the FDA or comparable foreign regulatory authorities could order us to cease further development of or deny approval of our product candidates for any or all targeted indications. Drug-related side effects could also affect patient recruitment or the ability of enrolled patients to complete an ongoing trial or result in potential product liability claims. Any of these occurrences may significantly harm our business, financial condition and prospects and many compounds that initially showed promise in early-stage testing for treating cancer have later been found to cause side effects that prevented further development of the compound.</w:t>
      </w:r>
    </w:p>
    <w:p>
      <w:pPr>
        <w:spacing w:after="0" w:line="74" w:lineRule="exact"/>
        <w:rPr>
          <w:sz w:val="20"/>
          <w:szCs w:val="20"/>
          <w:color w:val="auto"/>
        </w:rPr>
      </w:pPr>
    </w:p>
    <w:p>
      <w:pPr>
        <w:spacing w:after="0" w:line="276" w:lineRule="auto"/>
        <w:rPr>
          <w:sz w:val="20"/>
          <w:szCs w:val="20"/>
          <w:color w:val="auto"/>
        </w:rPr>
      </w:pPr>
      <w:r>
        <w:rPr>
          <w:rFonts w:ascii="Arial" w:cs="Arial" w:eastAsia="Arial" w:hAnsi="Arial"/>
          <w:sz w:val="18"/>
          <w:szCs w:val="18"/>
          <w:b w:val="1"/>
          <w:bCs w:val="1"/>
          <w:i w:val="1"/>
          <w:iCs w:val="1"/>
          <w:color w:val="auto"/>
        </w:rPr>
        <w:t>Drug development is a lengthy and expensive process with an uncertain outcome. We may incur unexpected costs or experience delays in completing, or ultimately be unable to complete, the development and commercialization of our product candidates.</w:t>
      </w:r>
    </w:p>
    <w:p>
      <w:pPr>
        <w:spacing w:after="0" w:line="63"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While we commenced a clinical trial of CFT7455 in June 2021, at this time, all of our other product candidates are still in preclinical development or in the discovery stage and the risk of failure for all of our product candidates remains high. We are unable to predict when or if any of our product candidates will prove effective or safe in humans or will receive marketing approval. Before obtaining marketing approval from regulatory authorities for the sale of any product candidate, we must conduct extensive clinical trials to demonstrate the safety and efficacy of our product candidates in humans. Before we can commence clinical trials for a product candidate, we must complete extensive preclinical studies that support our planned INDs in the United States or similar applications in other jurisdictions. We cannot be certain of the timely initiation, completion or outcome of our preclinical studies and, other than in the case of CFT7455, where the FDA has cleared the IND for our planned first-in-human study of this drug candidate, we cannot predict if the FDA or similar regulatory authorities outside the United States will allow us to commence our proposed clinical trials or if the outcome of our preclinical studies ultimately will support the further development of any of our product candidates.</w:t>
      </w:r>
    </w:p>
    <w:p>
      <w:pPr>
        <w:spacing w:after="0" w:line="75"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Clinical testing is expensive, difficult to design and implement, can take many years to enroll and complete and is uncertain as to the timing and outcome. A failure of one or more clinical trials can occur at any stage of the process. We may experience numerous unforeseen events during or as a result of clinical trials, which could delay or prevent our ability to receive marketing approval or commercialize our product candidates, including:</w:t>
      </w:r>
    </w:p>
    <w:p>
      <w:pPr>
        <w:spacing w:after="0" w:line="166" w:lineRule="exact"/>
        <w:rPr>
          <w:sz w:val="20"/>
          <w:szCs w:val="20"/>
          <w:color w:val="auto"/>
        </w:rPr>
      </w:pPr>
    </w:p>
    <w:p>
      <w:pPr>
        <w:ind w:left="540" w:right="20" w:hanging="263"/>
        <w:spacing w:after="0" w:line="276"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delays in reaching, or the failure to reach, a consensus with regulators on clinical trial design or the inability to produce acceptable preclinical results to enable entry into human clinical trials;</w:t>
      </w:r>
    </w:p>
    <w:p>
      <w:pPr>
        <w:spacing w:after="0" w:line="170" w:lineRule="exact"/>
        <w:rPr>
          <w:rFonts w:ascii="Arial" w:cs="Arial" w:eastAsia="Arial" w:hAnsi="Arial"/>
          <w:sz w:val="18"/>
          <w:szCs w:val="18"/>
          <w:color w:val="auto"/>
        </w:rPr>
      </w:pPr>
    </w:p>
    <w:p>
      <w:pPr>
        <w:ind w:left="540" w:right="40" w:hanging="263"/>
        <w:spacing w:after="0" w:line="263"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may be insufficient or inadequate, including as a result of delays in the testing, validation, manufacturing and delivery of product candidates to the clinical sites by us or by third parties with whom we have contracted to perform certain of those functions;</w:t>
      </w:r>
    </w:p>
    <w:p>
      <w:pPr>
        <w:spacing w:after="0" w:line="181" w:lineRule="exact"/>
        <w:rPr>
          <w:rFonts w:ascii="Arial" w:cs="Arial" w:eastAsia="Arial" w:hAnsi="Arial"/>
          <w:sz w:val="18"/>
          <w:szCs w:val="18"/>
          <w:color w:val="auto"/>
        </w:rPr>
      </w:pPr>
    </w:p>
    <w:p>
      <w:pPr>
        <w:ind w:left="540" w:right="340" w:hanging="263"/>
        <w:spacing w:after="0" w:line="276"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delays in reaching, or the failure to reach, agreement on acceptable clinical trial contracts or clinical trial protocols with prospective trial sites or CROs;</w:t>
      </w:r>
    </w:p>
    <w:p>
      <w:pPr>
        <w:spacing w:after="0" w:line="170" w:lineRule="exact"/>
        <w:rPr>
          <w:rFonts w:ascii="Arial" w:cs="Arial" w:eastAsia="Arial" w:hAnsi="Arial"/>
          <w:sz w:val="18"/>
          <w:szCs w:val="18"/>
          <w:color w:val="auto"/>
        </w:rPr>
      </w:pPr>
    </w:p>
    <w:p>
      <w:pPr>
        <w:ind w:left="540" w:hanging="263"/>
        <w:spacing w:after="0"/>
        <w:tabs>
          <w:tab w:leader="none" w:pos="5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failure of regulators or IRBs to authorize us or our investigators to commence a clinical trial or conduct a clinical trial at a prospective trial site;</w:t>
      </w:r>
    </w:p>
    <w:p>
      <w:pPr>
        <w:spacing w:after="0" w:line="246" w:lineRule="exact"/>
        <w:rPr>
          <w:rFonts w:ascii="Arial" w:cs="Arial" w:eastAsia="Arial" w:hAnsi="Arial"/>
          <w:sz w:val="16"/>
          <w:szCs w:val="16"/>
          <w:color w:val="auto"/>
        </w:rPr>
      </w:pPr>
    </w:p>
    <w:p>
      <w:pPr>
        <w:ind w:left="540" w:right="360" w:hanging="263"/>
        <w:spacing w:after="0" w:line="276"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difficulty in designing clinical trials and in selecting endpoints for diseases that have not been well studied and for which the natural history and course of the disease is poorly understood;</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83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2" w:name="page43"/>
    <w:bookmarkEnd w:id="42"/>
    <w:p>
      <w:pPr>
        <w:ind w:left="540" w:hanging="263"/>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selection of certain clinical endpoints that may require prolonged periods of clinical observation or analysis of the resulting data;</w:t>
      </w:r>
    </w:p>
    <w:p>
      <w:pPr>
        <w:spacing w:after="0" w:line="223" w:lineRule="exact"/>
        <w:rPr>
          <w:rFonts w:ascii="Arial" w:cs="Arial" w:eastAsia="Arial" w:hAnsi="Arial"/>
          <w:sz w:val="18"/>
          <w:szCs w:val="18"/>
          <w:color w:val="auto"/>
        </w:rPr>
      </w:pPr>
    </w:p>
    <w:p>
      <w:pPr>
        <w:jc w:val="both"/>
        <w:ind w:left="540" w:right="120" w:hanging="263"/>
        <w:spacing w:after="0" w:line="263"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 enrollment in these clinical trials may be slower than we anticipate, participants may drop out of these clinical trials at a higher rate than we anticipate or fail to return for post-treatment follow-up or the failure to recruit suitable patients to participate in our clinical trials;</w:t>
      </w:r>
    </w:p>
    <w:p>
      <w:pPr>
        <w:spacing w:after="0" w:line="181" w:lineRule="exact"/>
        <w:rPr>
          <w:rFonts w:ascii="Arial" w:cs="Arial" w:eastAsia="Arial" w:hAnsi="Arial"/>
          <w:sz w:val="18"/>
          <w:szCs w:val="18"/>
          <w:color w:val="auto"/>
        </w:rPr>
      </w:pPr>
    </w:p>
    <w:p>
      <w:pPr>
        <w:ind w:left="540" w:right="120" w:hanging="263"/>
        <w:spacing w:after="0" w:line="276"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product candidates may have undesirable side effects or other unexpected characteristics, causing us or our investigators, regulators or IRBs to suspend or terminate our clinical trials;</w:t>
      </w:r>
    </w:p>
    <w:p>
      <w:pPr>
        <w:spacing w:after="0" w:line="170" w:lineRule="exact"/>
        <w:rPr>
          <w:rFonts w:ascii="Arial" w:cs="Arial" w:eastAsia="Arial" w:hAnsi="Arial"/>
          <w:sz w:val="18"/>
          <w:szCs w:val="18"/>
          <w:color w:val="auto"/>
        </w:rPr>
      </w:pPr>
    </w:p>
    <w:p>
      <w:pPr>
        <w:ind w:left="540" w:right="100" w:hanging="263"/>
        <w:spacing w:after="0" w:line="276"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have to suspend or terminate clinical trials of our product candidates for various reasons, including a finding that the participants are being exposed to unacceptable health risks;</w:t>
      </w:r>
    </w:p>
    <w:p>
      <w:pPr>
        <w:spacing w:after="0" w:line="170" w:lineRule="exact"/>
        <w:rPr>
          <w:rFonts w:ascii="Arial" w:cs="Arial" w:eastAsia="Arial" w:hAnsi="Arial"/>
          <w:sz w:val="18"/>
          <w:szCs w:val="18"/>
          <w:color w:val="auto"/>
        </w:rPr>
      </w:pPr>
    </w:p>
    <w:p>
      <w:pPr>
        <w:ind w:left="540" w:right="400" w:hanging="263"/>
        <w:spacing w:after="0" w:line="276"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third parties with whom we contract may fail to comply with regulatory requirements or meet their contractual obligations to us in a timely manner, or at all;</w:t>
      </w:r>
    </w:p>
    <w:p>
      <w:pPr>
        <w:spacing w:after="0" w:line="170" w:lineRule="exact"/>
        <w:rPr>
          <w:rFonts w:ascii="Arial" w:cs="Arial" w:eastAsia="Arial" w:hAnsi="Arial"/>
          <w:sz w:val="18"/>
          <w:szCs w:val="18"/>
          <w:color w:val="auto"/>
        </w:rPr>
      </w:pPr>
    </w:p>
    <w:p>
      <w:pPr>
        <w:ind w:left="540" w:right="1060" w:hanging="263"/>
        <w:spacing w:after="0" w:line="276"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requirement from regulators or IRBs that we or our investigators suspend or terminate clinical trials for various reasons, including noncompliance with regulatory requirements or unacceptable safety risks;</w:t>
      </w:r>
    </w:p>
    <w:p>
      <w:pPr>
        <w:spacing w:after="0" w:line="170" w:lineRule="exact"/>
        <w:rPr>
          <w:rFonts w:ascii="Arial" w:cs="Arial" w:eastAsia="Arial" w:hAnsi="Arial"/>
          <w:sz w:val="18"/>
          <w:szCs w:val="18"/>
          <w:color w:val="auto"/>
        </w:rPr>
      </w:pPr>
    </w:p>
    <w:p>
      <w:pPr>
        <w:ind w:left="540" w:right="180" w:hanging="263"/>
        <w:spacing w:after="0" w:line="276"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negative or inconclusive results and we may decide, or regulators may require us, to conduct additional clinical trials or abandon product development programs;</w:t>
      </w:r>
    </w:p>
    <w:p>
      <w:pPr>
        <w:spacing w:after="0" w:line="170" w:lineRule="exact"/>
        <w:rPr>
          <w:rFonts w:ascii="Arial" w:cs="Arial" w:eastAsia="Arial" w:hAnsi="Arial"/>
          <w:sz w:val="18"/>
          <w:szCs w:val="18"/>
          <w:color w:val="auto"/>
        </w:rPr>
      </w:pPr>
    </w:p>
    <w:p>
      <w:pPr>
        <w:ind w:left="540" w:hanging="263"/>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w:t>
      </w:r>
    </w:p>
    <w:p>
      <w:pPr>
        <w:spacing w:after="0" w:line="224" w:lineRule="exact"/>
        <w:rPr>
          <w:rFonts w:ascii="Arial" w:cs="Arial" w:eastAsia="Arial" w:hAnsi="Arial"/>
          <w:sz w:val="18"/>
          <w:szCs w:val="18"/>
          <w:color w:val="auto"/>
        </w:rPr>
      </w:pPr>
    </w:p>
    <w:p>
      <w:pPr>
        <w:ind w:left="540" w:right="180" w:hanging="263"/>
        <w:spacing w:after="0" w:line="276"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imposition of a clinical hold by regulatory authorities as a result of a serious adverse event, concerns with a class of product candidates or after an inspection of our clinical trial operations, trial sites or manufacturing facilities;</w:t>
      </w:r>
    </w:p>
    <w:p>
      <w:pPr>
        <w:spacing w:after="0" w:line="170" w:lineRule="exact"/>
        <w:rPr>
          <w:rFonts w:ascii="Arial" w:cs="Arial" w:eastAsia="Arial" w:hAnsi="Arial"/>
          <w:sz w:val="18"/>
          <w:szCs w:val="18"/>
          <w:color w:val="auto"/>
        </w:rPr>
      </w:pPr>
    </w:p>
    <w:p>
      <w:pPr>
        <w:ind w:left="540" w:hanging="263"/>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occurrence of serious adverse events associated with the product candidate that are viewed to outweigh its potential benefits; and</w:t>
      </w:r>
    </w:p>
    <w:p>
      <w:pPr>
        <w:spacing w:after="0" w:line="224" w:lineRule="exact"/>
        <w:rPr>
          <w:rFonts w:ascii="Arial" w:cs="Arial" w:eastAsia="Arial" w:hAnsi="Arial"/>
          <w:sz w:val="18"/>
          <w:szCs w:val="18"/>
          <w:color w:val="auto"/>
        </w:rPr>
      </w:pPr>
    </w:p>
    <w:p>
      <w:pPr>
        <w:ind w:left="540" w:right="440" w:hanging="263"/>
        <w:spacing w:after="0" w:line="276"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disruptions caused by the ongoing spread and effects of the COVID-19 pandemic may increase the likelihood that we encounter these types of difficulties or cause other delays in initiating, enrolling, conducting or completing our planned clinical trials.</w:t>
      </w:r>
    </w:p>
    <w:p>
      <w:pPr>
        <w:spacing w:after="0" w:line="17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enroll or complete clinical trials of our product candidates or other testing, if the results of these trials or tests are not positive or are only modestly positive or if there are safety concerns related to our product candidates, we may:</w:t>
      </w:r>
    </w:p>
    <w:p>
      <w:pPr>
        <w:spacing w:after="0" w:line="182" w:lineRule="exact"/>
        <w:rPr>
          <w:sz w:val="20"/>
          <w:szCs w:val="20"/>
          <w:color w:val="auto"/>
        </w:rPr>
      </w:pPr>
    </w:p>
    <w:p>
      <w:pPr>
        <w:ind w:left="540" w:hanging="263"/>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 if at all;</w:t>
      </w:r>
    </w:p>
    <w:p>
      <w:pPr>
        <w:spacing w:after="0" w:line="223" w:lineRule="exact"/>
        <w:rPr>
          <w:rFonts w:ascii="Arial" w:cs="Arial" w:eastAsia="Arial" w:hAnsi="Arial"/>
          <w:sz w:val="18"/>
          <w:szCs w:val="18"/>
          <w:color w:val="auto"/>
        </w:rPr>
      </w:pPr>
    </w:p>
    <w:p>
      <w:pPr>
        <w:ind w:left="540" w:hanging="263"/>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223" w:lineRule="exact"/>
        <w:rPr>
          <w:rFonts w:ascii="Arial" w:cs="Arial" w:eastAsia="Arial" w:hAnsi="Arial"/>
          <w:sz w:val="18"/>
          <w:szCs w:val="18"/>
          <w:color w:val="auto"/>
        </w:rPr>
      </w:pPr>
    </w:p>
    <w:p>
      <w:pPr>
        <w:ind w:left="540" w:hanging="263"/>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223" w:lineRule="exact"/>
        <w:rPr>
          <w:rFonts w:ascii="Arial" w:cs="Arial" w:eastAsia="Arial" w:hAnsi="Arial"/>
          <w:sz w:val="18"/>
          <w:szCs w:val="18"/>
          <w:color w:val="auto"/>
        </w:rPr>
      </w:pPr>
    </w:p>
    <w:p>
      <w:pPr>
        <w:ind w:left="540" w:hanging="263"/>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be required to perform additional clinical trials to support marketing approval;</w:t>
      </w:r>
    </w:p>
    <w:p>
      <w:pPr>
        <w:spacing w:after="0" w:line="223" w:lineRule="exact"/>
        <w:rPr>
          <w:rFonts w:ascii="Arial" w:cs="Arial" w:eastAsia="Arial" w:hAnsi="Arial"/>
          <w:sz w:val="18"/>
          <w:szCs w:val="18"/>
          <w:color w:val="auto"/>
        </w:rPr>
      </w:pPr>
    </w:p>
    <w:p>
      <w:pPr>
        <w:ind w:left="540" w:right="600" w:hanging="263"/>
        <w:spacing w:after="0" w:line="276"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have regulatory authorities withdraw or suspend their approval, or impose restrictions on distribution of a product candidate in the form of a modified risk evaluation and mitigation strategy, or REMS;</w:t>
      </w:r>
    </w:p>
    <w:p>
      <w:pPr>
        <w:spacing w:after="0" w:line="170" w:lineRule="exact"/>
        <w:rPr>
          <w:rFonts w:ascii="Arial" w:cs="Arial" w:eastAsia="Arial" w:hAnsi="Arial"/>
          <w:sz w:val="18"/>
          <w:szCs w:val="18"/>
          <w:color w:val="auto"/>
        </w:rPr>
      </w:pPr>
    </w:p>
    <w:p>
      <w:pPr>
        <w:ind w:left="540" w:hanging="263"/>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 changes in the way the product is administered; or</w:t>
      </w:r>
    </w:p>
    <w:p>
      <w:pPr>
        <w:spacing w:after="0" w:line="223" w:lineRule="exact"/>
        <w:rPr>
          <w:rFonts w:ascii="Arial" w:cs="Arial" w:eastAsia="Arial" w:hAnsi="Arial"/>
          <w:sz w:val="18"/>
          <w:szCs w:val="18"/>
          <w:color w:val="auto"/>
        </w:rPr>
      </w:pPr>
    </w:p>
    <w:p>
      <w:pPr>
        <w:ind w:left="540" w:hanging="263"/>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have our product removed from the market after obtaining marketing approval.</w:t>
      </w:r>
    </w:p>
    <w:p>
      <w:pPr>
        <w:spacing w:after="0" w:line="22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product development costs also will increase if we experience delays in preclinical studies or clinical trials or in obtaining marketing approvals. While we commenced a clinical trial for CFT7455 in June 2021, we do not know whether any of our other preclinical studies or clinical trials will begin as planned, will need to be restructured or will be completed on schedule, or at all. Significant preclinical study or clinical trial delays also could shorten any periods during which we may have the exclusive right to commercialize our product candidates or could allow our competitors to bring products to market before we do and impair our ability to successfully commercialize our product candidates, which may harm our business, results of operations, financial condition and prospects.</w:t>
      </w:r>
    </w:p>
    <w:p>
      <w:pPr>
        <w:spacing w:after="0" w:line="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Further, cancer therapies sometimes are characterized as first-line, second-line or third-line. The FDA often approves new oncology therapies initially only for third-line or later use, meaning for use after two or more other treatments have failed. When cancer is detected early enough, first-line therapy, usually systemic anti-cancer therapy (e.g., chemotherapy), surgery, radiation therapy or a combination of these, is sometimes adequate to cure the cancer or prolong life without a cure. Second-line and third-line therapies are administered to patients when prior therapy has been shown to not be effective. Our ongoing clinical trial for CFT7455 and our anticipated clinical trials for CFT8634 and CFT8919 and other drug candidates will be with patients who have received one or more</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83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3" w:name="page44"/>
    <w:bookmarkEnd w:id="43"/>
    <w:p>
      <w:pPr>
        <w:ind w:right="100"/>
        <w:spacing w:after="0" w:line="258" w:lineRule="auto"/>
        <w:rPr>
          <w:sz w:val="20"/>
          <w:szCs w:val="20"/>
          <w:color w:val="auto"/>
        </w:rPr>
      </w:pPr>
      <w:r>
        <w:rPr>
          <w:rFonts w:ascii="Arial" w:cs="Arial" w:eastAsia="Arial" w:hAnsi="Arial"/>
          <w:sz w:val="18"/>
          <w:szCs w:val="18"/>
          <w:color w:val="auto"/>
        </w:rPr>
        <w:t>prior treatments and we expect that we would initially seek regulatory approval of these product candidates for second-line or third-line therapy. Subsequently, for those products that prove to be sufficiently beneficial, if any, we would expect to seek approval potentially as a first-line therapy, but any product candidates we develop, even if approved for second-line or third-line therapy, may not be approved for first-line therapy and, prior to seeking and/or receiving any approvals for first-line therapy, we may have to conduct additional clinical trials.</w:t>
      </w:r>
    </w:p>
    <w:p>
      <w:pPr>
        <w:spacing w:after="0" w:line="80" w:lineRule="exact"/>
        <w:rPr>
          <w:sz w:val="20"/>
          <w:szCs w:val="20"/>
          <w:color w:val="auto"/>
        </w:rPr>
      </w:pPr>
    </w:p>
    <w:p>
      <w:pPr>
        <w:ind w:right="640"/>
        <w:spacing w:after="0" w:line="263" w:lineRule="auto"/>
        <w:rPr>
          <w:sz w:val="20"/>
          <w:szCs w:val="20"/>
          <w:color w:val="auto"/>
        </w:rPr>
      </w:pPr>
      <w:r>
        <w:rPr>
          <w:rFonts w:ascii="Arial" w:cs="Arial" w:eastAsia="Arial" w:hAnsi="Arial"/>
          <w:sz w:val="18"/>
          <w:szCs w:val="18"/>
          <w:b w:val="1"/>
          <w:bCs w:val="1"/>
          <w:i w:val="1"/>
          <w:iCs w:val="1"/>
          <w:color w:val="auto"/>
        </w:rPr>
        <w:t>Targeted protein degradation is a novel modality that continues to attract substantial interest from existing and emerging biotechnology and pharmaceutical companies. As a result, we face substantial competition, which may result in others discovering, developing or commercializing products before or more successfully than we do.</w:t>
      </w:r>
    </w:p>
    <w:p>
      <w:pPr>
        <w:spacing w:after="0" w:line="74"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The biotechnology and pharmaceutical industries are characterized by rapidly advancing technologies, intense competition and a strong emphasis on proprietary products. We face, and will continue to face, competition from third parties that use protein degradation, antibody therapy, inhibitory nucleic acid, immunotherapy, gene editing or gene therapy development platforms and from companies focused on more traditional therapeutic modalities, such as small molecule inhibitors. The competition we face and will face is likely to come from multiple sources, including major pharmaceutical, specialty pharmaceutical and biotechnology companies, academic institutions, government agencies and public and private research institutions.</w:t>
      </w:r>
    </w:p>
    <w:p>
      <w:pPr>
        <w:spacing w:after="0" w:line="5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Targeted protein degradation is an emerging therapeutic modality that has the potential to deliver therapies that improve outcomes for patients. As a result, a number of biotechnology and pharmaceutical companies are already working to develop degradation-based therapies and the number of companies entering this space continues to increase. We are aware of several biotechnology companies developing product candidates based on small molecules for targeted protein degradation including Arvinas, Inc., BioTheryX, Inc., Cullgen Inc., Foghorn Therapeutics, Inc., Frontier Medicines Corporation, Kymera Therapeutics, Inc., Lycia Therapeutics, Inc., Monte Rosa Therapeutics, Inc., NeoMorph Inc., and Nurix Therapeutics, Inc. Further, several large pharmaceutical companies have disclosed investments and research in this field, including Amgen Inc., AstraZeneca plc, Bayer AG, Bristol-Myers Squibb Company (and its subsidiary Celgene Corporation), GlaxoSmithKline plc, Genentech, Inc. and Novartis International AG. In addition to competition from other protein degradation therapies, any products that we develop may also face competition from other types of therapies, such as small molecule, antibody, T cell or gene therapies. For example, we understand that Adaptimmune Limited, Foghorn Therapeutics, Inc. and GlaxoSmithKline plc are pursuing the development of therapies for patients with synovial sarcoma.</w:t>
      </w:r>
    </w:p>
    <w:p>
      <w:pPr>
        <w:spacing w:after="0" w:line="72"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Many of our current or potential competitors, either alone or with their collaboration partners, have significantly greater financial resources and expertise in research and development, manufacturing, preclinical testing, conducting clinical trials, obtaining regulatory approvals and marketing approved products than we do. These competitors also compete with us in recruiting and retaining qualified scientific and management personnel and establishing clinical trial sites and patient registration for clinical trials, as well as in acquiring technologies complementary to, or necessary for, our product candidates. Mergers and acquisitions in the pharmaceutical and biotechnology industries may result in even more resources being concentrated among a smaller number of our competitors, the scale of which could be difficult to compete against. Smaller or early-stage companies may also prove to be significant competitors, particularly through collaborative arrangements with large and established companies. Our commercial opportunity could be reduced or eliminated if our competitors develop and commercialize products that are safer, more effective, have fewer or less severe side effects, are more convenient or are less expensive than any product candidate that we may develop. Our competitors also may obtain FDA or other regulatory approval for their product candidates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There are generic products currently on the market for certain of the indications that we are pursuing, and additional products are expected to become available on a generic basis over the coming years. If our product candidates are approved, we expect that they will be priced at a significant premium over competitive generic products.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research and development tax credit carryforwards may be limited.</w:t>
      </w:r>
    </w:p>
    <w:p>
      <w:pPr>
        <w:spacing w:after="0" w:line="11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of December 31, 2020, we had $58.8 million federal net operating loss carryforwards and $105.1 million gross in United States state net operating loss carryforwards, portions of which expire at various dates through 2040. Under legislation enacted in 2017, informally titled the Tax Cuts and Jobs Act, or the TCJA, as modified by the Coronavirus Aid, Relief and Economic Security Act, or the CARES Act, federal net operating losses generated in tax years beginning after 2017, if any, will not expire and may be carried forward indefinitely, but the deductibility of such federal net operating losses in tax years beginning after December 31, 2020 will be limited to the lesser of the net operating loss carryover or 80% of the corporation’s adjusted taxable income (subject to Section 382 of the Internal Revenue Code of 1986, as amended). The CARES Act temporarily allows us to carryback net operating losses arising in 2018, 2019 and 2020 to the five prior years. It is uncertain how various states will respond to the TCJA, the CARES Act or any newly enacted federal tax law. In addition, at the state level, there may be periods during which the use of net operating losses is suspended or otherwise limited, including a California franchise tax law change limiting the usability of California state net operating losses to offset taxable income in tax years beginning after 2019 and before 2023.</w:t>
      </w:r>
    </w:p>
    <w:p>
      <w:pPr>
        <w:spacing w:after="0" w:line="72"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As of December 31, 2020, we also had United States federal and state research and development tax credit carryforwards of $4.7 million and $1.1 million, respectively, which expire at various dates through 2040. These tax credit carryforwards could expire unused and be unavailable to offset our future income tax liabilities.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83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4" w:name="page45"/>
    <w:bookmarkEnd w:id="44"/>
    <w:p>
      <w:pPr>
        <w:spacing w:after="0" w:line="253" w:lineRule="auto"/>
        <w:rPr>
          <w:sz w:val="20"/>
          <w:szCs w:val="20"/>
          <w:color w:val="auto"/>
        </w:rPr>
      </w:pPr>
      <w:r>
        <w:rPr>
          <w:rFonts w:ascii="Arial" w:cs="Arial" w:eastAsia="Arial" w:hAnsi="Arial"/>
          <w:sz w:val="18"/>
          <w:szCs w:val="18"/>
          <w:color w:val="auto"/>
        </w:rPr>
        <w:t>In addition, under Sections 382 and 383 of the Internal Revenue Code of 1986, as amended, or the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or taxes may be limited. In 2021, the Company completed a study of ownership changes from inception through December 31, 2020, which concluded that we experienced ownership changes as defined by Section 382 of the Code. However, there were no net operating loss carryforwards that were limited or expired unused. We may experience ownership changes in the future as a result of subsequent changes in our stock ownership, including as a result of our initial public offering, some of which may be outside of our control. If we determine that an ownership change has occurred and our ability to use our historical net operating loss and tax credit carryforwards is materially limited, that will harm our future operating results by effectively increasing our future tax obligations.</w:t>
      </w:r>
    </w:p>
    <w:p>
      <w:pPr>
        <w:spacing w:after="0" w:line="83" w:lineRule="exact"/>
        <w:rPr>
          <w:sz w:val="20"/>
          <w:szCs w:val="20"/>
          <w:color w:val="auto"/>
        </w:rPr>
      </w:pPr>
    </w:p>
    <w:p>
      <w:pPr>
        <w:ind w:right="200"/>
        <w:spacing w:after="0" w:line="276" w:lineRule="auto"/>
        <w:rPr>
          <w:sz w:val="20"/>
          <w:szCs w:val="20"/>
          <w:color w:val="auto"/>
        </w:rPr>
      </w:pPr>
      <w:r>
        <w:rPr>
          <w:rFonts w:ascii="Arial" w:cs="Arial" w:eastAsia="Arial" w:hAnsi="Arial"/>
          <w:sz w:val="18"/>
          <w:szCs w:val="18"/>
          <w:b w:val="1"/>
          <w:bCs w:val="1"/>
          <w:i w:val="1"/>
          <w:iCs w:val="1"/>
          <w:color w:val="auto"/>
        </w:rPr>
        <w:t>We may not be able to file INDs to commence additional clinical trials on the timelines we expect and, even if we are able to, the FDA may not permit us to proceed with our planned clinical trials.</w:t>
      </w:r>
    </w:p>
    <w:p>
      <w:pPr>
        <w:spacing w:after="0" w:line="63"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We have limited experience as a company in preparing, submitting to and receiving clearance from the FDA on INDs. We submitted our first IND to the FDA in December 2020, for CFT7455 and, in January 2021, the FDA informed us that we are permitted to proceed with our first-in-human clinical trial for this product candidate. We plan to submit an IND for CFT8634 in by year-end 2021 and for CFT8919 in mid-2022. While this is our current expectation, we may not be able to file this planned IND or INDs for other product candidates on the timelines we expect. For example, we may experience manufacturing delays or other delays with IND-enabling studies, we may determine that additional IND-enabling studies are warranted, or we may face delays due to the ongoing global COVID-19 pandemic. Moreover, we cannot be sure that submission of an IND will result in the FDA allowing us to commence clinical trials or that, once begun, issues will not arise that lead to the suspension or termination of our clinical trials. Additionally, even if the applicable regulatory authorities agree with the design and implementation of the clinical trials set forth in our INDs, we cannot guarantee that those regulatory authorities will not change their requirements in the future. These considerations apply to the INDs described above and also to new clinical trials we may submit as amendments to existing INDs or as part of new INDs in the future. Any failure to file INDs on the timelines we expect or to obtain regulatory approvals for our clinical trials may prevent us from completing our clinical trials or commercializing our products on a timely basis, if at all.</w:t>
      </w:r>
    </w:p>
    <w:p>
      <w:pPr>
        <w:spacing w:after="0" w:line="58" w:lineRule="exact"/>
        <w:rPr>
          <w:sz w:val="20"/>
          <w:szCs w:val="20"/>
          <w:color w:val="auto"/>
        </w:rPr>
      </w:pPr>
    </w:p>
    <w:p>
      <w:pPr>
        <w:ind w:right="20"/>
        <w:spacing w:after="0" w:line="306" w:lineRule="auto"/>
        <w:rPr>
          <w:sz w:val="20"/>
          <w:szCs w:val="20"/>
          <w:color w:val="auto"/>
        </w:rPr>
      </w:pPr>
      <w:r>
        <w:rPr>
          <w:rFonts w:ascii="Arial" w:cs="Arial" w:eastAsia="Arial" w:hAnsi="Arial"/>
          <w:sz w:val="17"/>
          <w:szCs w:val="17"/>
          <w:b w:val="1"/>
          <w:bCs w:val="1"/>
          <w:i w:val="1"/>
          <w:iCs w:val="1"/>
          <w:color w:val="auto"/>
        </w:rPr>
        <w:t>If serious adverse events, undesirable side effects or unexpected characteristics are identified during the development of any product candidates we may develop, we may need to abandon or limit our further clinical development of those product candidates.</w:t>
      </w:r>
    </w:p>
    <w:p>
      <w:pPr>
        <w:spacing w:after="0" w:line="40" w:lineRule="exact"/>
        <w:rPr>
          <w:sz w:val="20"/>
          <w:szCs w:val="20"/>
          <w:color w:val="auto"/>
        </w:rPr>
      </w:pPr>
    </w:p>
    <w:p>
      <w:pPr>
        <w:ind w:right="340"/>
        <w:spacing w:after="0" w:line="278" w:lineRule="auto"/>
        <w:rPr>
          <w:sz w:val="20"/>
          <w:szCs w:val="20"/>
          <w:color w:val="auto"/>
        </w:rPr>
      </w:pPr>
      <w:r>
        <w:rPr>
          <w:rFonts w:ascii="Arial" w:cs="Arial" w:eastAsia="Arial" w:hAnsi="Arial"/>
          <w:sz w:val="17"/>
          <w:szCs w:val="17"/>
          <w:color w:val="auto"/>
        </w:rPr>
        <w:t>While we commenced a clinical trial of CFT7455 in June 2021, all of our other product candidates are still in the preclinical or discovery stages, which means that we have not yet evaluated any of our other product candidates in human clinical trials. It is impossible to predict when or if any product candidates we may develop will prove safe in humans. There can be no assurance that any of the product candidates developed through our TORPEDO platform will not cause undesirable side effects, which could arise at any time during preclinical or clinical development.</w:t>
      </w:r>
    </w:p>
    <w:p>
      <w:pPr>
        <w:spacing w:after="0" w:line="64"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A potential risk with product candidates developed through our TORPEDO platform, or in any protein degradation product candidate, is that healthy proteins or proteins not targeted for degradation will be degraded or that the degradation of the targeted protein in and of itself could cause adverse events, undesirable side effects or unexpected characteristics. There is also the potential risk of delayed adverse events following treatment using product candidates developed through our TORPEDO platform.</w:t>
      </w:r>
    </w:p>
    <w:p>
      <w:pPr>
        <w:spacing w:after="0" w:line="8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If any product candidates we develop are associated with serious adverse events or undesirable side effects or have other characteristics that are unexpected, we may need to abandon their development or limit development to certain uses or subpopulations in which the adverse events, undesirable side effects or other characteristics are less prevalent, less severe or more acceptable from a risk-benefit perspective. The occurrence of any of these sorts of events would have an adverse effect on our business, financial condition, results of operations and prospects. Many product candidates that initially showed promise in early-stage testing for treating cancer or other diseases have later been found to cause side effects that prevented further clinical development of the product candidates or limited their competitiveness in the market. For example, single agent BRAF inhibitors can cause a secondary malignancy called keratocanthoma, which is a skin cancer caused by paradoxical activation of BRAF upon inhibitor binding.</w:t>
      </w:r>
    </w:p>
    <w:p>
      <w:pPr>
        <w:spacing w:after="0" w:line="55"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b w:val="1"/>
          <w:bCs w:val="1"/>
          <w:i w:val="1"/>
          <w:iCs w:val="1"/>
          <w:color w:val="auto"/>
        </w:rPr>
        <w:t>The results of preclinical studies may not be predictive of future results in later studies or trials. Initial success in clinical trials may not be indicative of results obtained when these trials are completed or in later stage clinical trials.</w:t>
      </w:r>
    </w:p>
    <w:p>
      <w:pPr>
        <w:spacing w:after="0" w:line="6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results of preclinical studies may not be predictive of the results of clinical trials and the results of any early-stage clinical trials we commence may not be predictive of the results of the later-stage clinical trials. In addition, initial success in clinical trials may not be indicative of results obtained when those trials are completed or in later stage clinical trials. In particular, the small number of patients in our planned early clinical trials or the designs of these trials may make the results of these trials less predictive of the outcome of later clinical trials. For example, even if successful, the results of the dose escalation portion of our ongoing and planned first-in-human Phase 1/2 clinical trials of CFT7455, CFT8634, and CFT8919 may not be predictive of the results of further clinical trials of these product candidates or any of our other product candidates.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Our clinical trials may not ultimately be successful or support further clinical development of any of our product candidates. There is a high failure rate for</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83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45" w:name="page46"/>
    <w:bookmarkEnd w:id="45"/>
    <w:p>
      <w:pPr>
        <w:spacing w:after="0" w:line="301" w:lineRule="auto"/>
        <w:rPr>
          <w:sz w:val="20"/>
          <w:szCs w:val="20"/>
          <w:color w:val="auto"/>
        </w:rPr>
      </w:pPr>
      <w:r>
        <w:rPr>
          <w:rFonts w:ascii="Arial" w:cs="Arial" w:eastAsia="Arial" w:hAnsi="Arial"/>
          <w:sz w:val="16"/>
          <w:szCs w:val="16"/>
          <w:color w:val="auto"/>
        </w:rPr>
        <w:t>product candidates proceeding through clinical trials. Many companies in the pharmaceutical and biotechnology industries have suffered significant setbacks in clinical development even after achieving encouraging results in earlier studies. Any setbacks of this nature in our clinical development could materially harm our business, financial condition, results of operations and prospects. In addition, we may conduct some of our clinical trials in a combination Phase 1/2 design and, if the Phase 1 portion of the trial is not successful, we will not be allowed to proceed into the Phase 2 portion of the trial.</w:t>
      </w:r>
    </w:p>
    <w:p>
      <w:pPr>
        <w:spacing w:after="0" w:line="47" w:lineRule="exact"/>
        <w:rPr>
          <w:sz w:val="20"/>
          <w:szCs w:val="20"/>
          <w:color w:val="auto"/>
        </w:rPr>
      </w:pPr>
    </w:p>
    <w:p>
      <w:pPr>
        <w:ind w:right="540"/>
        <w:spacing w:after="0" w:line="276"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our clinical trials, our timelines for submitting for and receiving necessary marketing approvals could be delayed or prevented.</w:t>
      </w:r>
    </w:p>
    <w:p>
      <w:pPr>
        <w:spacing w:after="0" w:line="63" w:lineRule="exact"/>
        <w:rPr>
          <w:sz w:val="20"/>
          <w:szCs w:val="20"/>
          <w:color w:val="auto"/>
        </w:rPr>
      </w:pPr>
    </w:p>
    <w:p>
      <w:pPr>
        <w:ind w:right="200"/>
        <w:spacing w:after="0" w:line="269" w:lineRule="auto"/>
        <w:rPr>
          <w:sz w:val="20"/>
          <w:szCs w:val="20"/>
          <w:color w:val="auto"/>
        </w:rPr>
      </w:pPr>
      <w:r>
        <w:rPr>
          <w:rFonts w:ascii="Arial" w:cs="Arial" w:eastAsia="Arial" w:hAnsi="Arial"/>
          <w:sz w:val="17"/>
          <w:szCs w:val="17"/>
          <w:color w:val="auto"/>
        </w:rPr>
        <w:t>We may not be able to initiate clinical trials for our product candidates if we are unable to locate and enroll a sufficient number of eligible patients to participate in these trials, as required by the FDA or similar regulatory authorities outside of the United States. In June 2021, we advanced CFT7455 into first-in-human Phase 1/2 clinical trials in MM and NHLs, including PTCL and MCL, and we are planning to advance our other lead product candidates, including CFT8634 and CFT8919, into first-in-human Phase 1/2 clinical trials. While we believe that we will be able to enroll a sufficient number of patients into each of these clinical trials, we cannot predict with certainty how difficult it will be to enroll patients for trials in these rare indications generally and during the ongoing COVID-19 pandemic, specifically. Our ability to identify and enroll eligible patients for clinical trials of CFT7455, CFT8634, CFT8919, and other lead product candidates may turn out to be limited or we may be slower in enrolling these trials than we anticipate. In addition, some of our competitors have ongoing clinical trials for product candidates that treat the same indications as our product candidates and, as a result, patients who would be eligible for our clinical trials may instead elect to enroll in clinical trials of our competitors’ product candidates. Patient enrollment in clinical trials is also affected by other factors including:</w:t>
      </w:r>
    </w:p>
    <w:p>
      <w:pPr>
        <w:spacing w:after="0" w:line="179" w:lineRule="exact"/>
        <w:rPr>
          <w:sz w:val="20"/>
          <w:szCs w:val="20"/>
          <w:color w:val="auto"/>
        </w:rPr>
      </w:pPr>
    </w:p>
    <w:p>
      <w:pPr>
        <w:ind w:left="540" w:hanging="263"/>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224" w:lineRule="exact"/>
        <w:rPr>
          <w:rFonts w:ascii="Arial" w:cs="Arial" w:eastAsia="Arial" w:hAnsi="Arial"/>
          <w:sz w:val="18"/>
          <w:szCs w:val="18"/>
          <w:color w:val="auto"/>
        </w:rPr>
      </w:pPr>
    </w:p>
    <w:p>
      <w:pPr>
        <w:ind w:left="540" w:hanging="263"/>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eligibility criteria for the trial in question;</w:t>
      </w:r>
    </w:p>
    <w:p>
      <w:pPr>
        <w:spacing w:after="0" w:line="224" w:lineRule="exact"/>
        <w:rPr>
          <w:rFonts w:ascii="Arial" w:cs="Arial" w:eastAsia="Arial" w:hAnsi="Arial"/>
          <w:sz w:val="18"/>
          <w:szCs w:val="18"/>
          <w:color w:val="auto"/>
        </w:rPr>
      </w:pPr>
    </w:p>
    <w:p>
      <w:pPr>
        <w:ind w:left="540" w:hanging="263"/>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candidates offered in the clinical trials;</w:t>
      </w:r>
    </w:p>
    <w:p>
      <w:pPr>
        <w:spacing w:after="0" w:line="223" w:lineRule="exact"/>
        <w:rPr>
          <w:rFonts w:ascii="Arial" w:cs="Arial" w:eastAsia="Arial" w:hAnsi="Arial"/>
          <w:sz w:val="18"/>
          <w:szCs w:val="18"/>
          <w:color w:val="auto"/>
        </w:rPr>
      </w:pPr>
    </w:p>
    <w:p>
      <w:pPr>
        <w:ind w:left="540" w:hanging="263"/>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224" w:lineRule="exact"/>
        <w:rPr>
          <w:rFonts w:ascii="Arial" w:cs="Arial" w:eastAsia="Arial" w:hAnsi="Arial"/>
          <w:sz w:val="18"/>
          <w:szCs w:val="18"/>
          <w:color w:val="auto"/>
        </w:rPr>
      </w:pPr>
    </w:p>
    <w:p>
      <w:pPr>
        <w:ind w:left="540" w:hanging="263"/>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224" w:lineRule="exact"/>
        <w:rPr>
          <w:rFonts w:ascii="Arial" w:cs="Arial" w:eastAsia="Arial" w:hAnsi="Arial"/>
          <w:sz w:val="18"/>
          <w:szCs w:val="18"/>
          <w:color w:val="auto"/>
        </w:rPr>
      </w:pPr>
    </w:p>
    <w:p>
      <w:pPr>
        <w:ind w:left="540" w:right="180" w:hanging="263"/>
        <w:spacing w:after="0" w:line="276"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burden on patients due to the scope and invasiveness of required procedures under clinical trial protocols, some of which may be inconvenient and/or uncomfortable;</w:t>
      </w:r>
    </w:p>
    <w:p>
      <w:pPr>
        <w:spacing w:after="0" w:line="170" w:lineRule="exact"/>
        <w:rPr>
          <w:rFonts w:ascii="Arial" w:cs="Arial" w:eastAsia="Arial" w:hAnsi="Arial"/>
          <w:sz w:val="18"/>
          <w:szCs w:val="18"/>
          <w:color w:val="auto"/>
        </w:rPr>
      </w:pPr>
    </w:p>
    <w:p>
      <w:pPr>
        <w:ind w:left="540" w:hanging="263"/>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223" w:lineRule="exact"/>
        <w:rPr>
          <w:rFonts w:ascii="Arial" w:cs="Arial" w:eastAsia="Arial" w:hAnsi="Arial"/>
          <w:sz w:val="18"/>
          <w:szCs w:val="18"/>
          <w:color w:val="auto"/>
        </w:rPr>
      </w:pPr>
    </w:p>
    <w:p>
      <w:pPr>
        <w:ind w:left="540" w:hanging="263"/>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 and</w:t>
      </w:r>
    </w:p>
    <w:p>
      <w:pPr>
        <w:spacing w:after="0" w:line="223" w:lineRule="exact"/>
        <w:rPr>
          <w:rFonts w:ascii="Arial" w:cs="Arial" w:eastAsia="Arial" w:hAnsi="Arial"/>
          <w:sz w:val="18"/>
          <w:szCs w:val="18"/>
          <w:color w:val="auto"/>
        </w:rPr>
      </w:pPr>
    </w:p>
    <w:p>
      <w:pPr>
        <w:ind w:left="540" w:right="480" w:hanging="263"/>
        <w:spacing w:after="0" w:line="263"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impact of the ongoing COVID-19 pandemic, which may affect the conduct of a clinical trial, including by slowing potential enrollment or reducing the number of eligible patients for clinical trials or by interfering with patients’ ability to return to the clinical trial site for required monitoring, procedures or follow-up.</w:t>
      </w:r>
    </w:p>
    <w:p>
      <w:pPr>
        <w:spacing w:after="0" w:line="182"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Our inability to enroll a sufficient number of patients for our planned clinical trials, or our inability to do so on a timely basis, would result in significant delays and could require us to abandon one or more clinical trials altogether. Enrollment delays in our clinical trials may also result in increased development costs for our product candidates, which would cause the value of our company to decline and limit our ability to obtain additional financing.</w:t>
      </w:r>
    </w:p>
    <w:p>
      <w:pPr>
        <w:spacing w:after="0" w:line="39"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b w:val="1"/>
          <w:bCs w:val="1"/>
          <w:i w:val="1"/>
          <w:iCs w:val="1"/>
          <w:color w:val="auto"/>
        </w:rPr>
        <w:t>The conclusions and analysis drawn from announced or published interim top-line and preliminary data from our clinical trials from time to time may change as more patient data become available. Further, all interim data that we provide remains subject to audit and verification procedures that could result in material changes in the final data.</w:t>
      </w:r>
    </w:p>
    <w:p>
      <w:pPr>
        <w:spacing w:after="0" w:line="7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From time to time, we may publish interim top-line or preliminary data from our clinical trials. Interim data from clinical trials that we may complete are subject to the risk that one or more of the clinical outcomes may materially change as patient enrollment continues and more patient data become available. In addition, preliminary or top-line data also remain subject to audit and verification procedures that may result in the final data being different, potentially in material ways, from the preliminary data we previously announced or published. As a result, interim and preliminary data should be viewed with caution until final data are available. Adverse differences between preliminary or interim data and final data could significantly harm our reputation, business, financial condition, results of operations and prospects.</w:t>
      </w:r>
    </w:p>
    <w:p>
      <w:pPr>
        <w:spacing w:after="0" w:line="81"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63"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Because we have limited financial and managerial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83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46" w:name="page47"/>
    <w:bookmarkEnd w:id="46"/>
    <w:p>
      <w:pPr>
        <w:ind w:right="200"/>
        <w:spacing w:after="0" w:line="263" w:lineRule="auto"/>
        <w:rPr>
          <w:sz w:val="20"/>
          <w:szCs w:val="20"/>
          <w:color w:val="auto"/>
        </w:rPr>
      </w:pPr>
      <w:r>
        <w:rPr>
          <w:rFonts w:ascii="Arial" w:cs="Arial" w:eastAsia="Arial" w:hAnsi="Arial"/>
          <w:sz w:val="18"/>
          <w:szCs w:val="18"/>
          <w:color w:val="auto"/>
        </w:rPr>
        <w:t>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74"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b w:val="1"/>
          <w:bCs w:val="1"/>
          <w:i w:val="1"/>
          <w:iCs w:val="1"/>
          <w:color w:val="auto"/>
        </w:rPr>
        <w:t>We may develop CFT7455 in combination with other drugs for MM. If the FDA or similar regulatory authorities outside of the United States do not approve these other drugs, revoke their approval of these other drugs or if safety, efficacy, manufacturing or supply issues arise with the drugs we choose to evaluate in combination with CFT7455, we may be unable to obtain approval of or market CFT7455.</w:t>
      </w:r>
    </w:p>
    <w:p>
      <w:pPr>
        <w:spacing w:after="0" w:line="3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Once a recommended dose is identified from the dose escalation portion of our first-in-human Phase 1/2 clinical trial of CFT7455 for the treatment of MM, we plan to conduct a portion of that clinical trial in combination with a dexamethasone inhibitor. We did not develop or obtain marketing approval for, nor do we manufacture or sell, any of the currently approved drugs that we may study in combination with CFT7455. If the FDA or similar regulatory authorities outside of the United States revoke their approval of the drug or drugs we intend to deliver in combination with CFT7455, we will not be able to market CFT7455 in combination with those revoked drugs.</w:t>
      </w:r>
    </w:p>
    <w:p>
      <w:pPr>
        <w:spacing w:after="0" w:line="8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If safety or efficacy issues arise with any of these drugs, we could experience significant regulatory delays and the FDA or similar regulatory authorities outside of the United States may require us to redesign or terminate certain of our clinical trials. If the drugs we use are replaced as the standard of care for the indications we choose for CFT7455, the FDA or similar regulatory authorities outside of the United States may require us to conduct additional clinical trials. In addition, if manufacturing or other issues result in a shortage of supply of the drugs with which we determine to combine with CFT7455, we may not be able to complete clinical development of CFT7455 on our current timeline or at all.</w:t>
      </w:r>
    </w:p>
    <w:p>
      <w:pPr>
        <w:spacing w:after="0" w:line="6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Even if CFT7455 were to receive marketing approval or be commercialized for use in combination with other existing drugs, we would continue to be subject to the risks that the FDA or similar regulatory authorities outside of the United States could revoke approval of the drugs used in combination with CFT7455 or that safety, efficacy, manufacturing or supply issues could arise with these existing drugs.</w:t>
      </w:r>
    </w:p>
    <w:p>
      <w:pPr>
        <w:spacing w:after="0" w:line="7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Combination therapies are commonly used for the treatment of cancer and we would be subject to similar risks if we were to elect to develop any of our other product candidates for use in combination with other drugs or for indications other than cancer. This could result in our own products being removed from the market or being less successful commercially.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identify or discover additional potential product candidates.</w:t>
      </w:r>
    </w:p>
    <w:p>
      <w:pPr>
        <w:spacing w:after="0" w:line="116"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While our four lead programs are focused on oncology targets, a key element of our strategy is to apply our TORPEDO platform to develop product candidates that address a broad array of targets and new therapeutic areas, such as neurodegeneration, diseases of aging and infectious disease. The therapeutic discovery activities that we are conducting may not be successful in identifying product candidates that are useful in treating cancer or other diseases. Our research programs may initially show promise in identifying potential product candidates, yet fail to yield product candidates for clinical development for a number of reasons, including:</w:t>
      </w:r>
    </w:p>
    <w:p>
      <w:pPr>
        <w:spacing w:after="0" w:line="189" w:lineRule="exact"/>
        <w:rPr>
          <w:sz w:val="20"/>
          <w:szCs w:val="20"/>
          <w:color w:val="auto"/>
        </w:rPr>
      </w:pPr>
    </w:p>
    <w:p>
      <w:pPr>
        <w:ind w:left="540" w:right="100" w:hanging="263"/>
        <w:spacing w:after="0" w:line="276"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potential product candidates may, on further study, be shown to have harmful side effects or other characteristics that indicate that they are unlikely to be drugs that will receive marketing approval or achieve market acceptance;</w:t>
      </w:r>
    </w:p>
    <w:p>
      <w:pPr>
        <w:spacing w:after="0" w:line="170" w:lineRule="exact"/>
        <w:rPr>
          <w:rFonts w:ascii="Arial" w:cs="Arial" w:eastAsia="Arial" w:hAnsi="Arial"/>
          <w:sz w:val="18"/>
          <w:szCs w:val="18"/>
          <w:color w:val="auto"/>
        </w:rPr>
      </w:pPr>
    </w:p>
    <w:p>
      <w:pPr>
        <w:ind w:left="540" w:hanging="263"/>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potential product candidates may not be effective in treating their targeted diseases; or</w:t>
      </w:r>
    </w:p>
    <w:p>
      <w:pPr>
        <w:spacing w:after="0" w:line="223" w:lineRule="exact"/>
        <w:rPr>
          <w:rFonts w:ascii="Arial" w:cs="Arial" w:eastAsia="Arial" w:hAnsi="Arial"/>
          <w:sz w:val="18"/>
          <w:szCs w:val="18"/>
          <w:color w:val="auto"/>
        </w:rPr>
      </w:pPr>
    </w:p>
    <w:p>
      <w:pPr>
        <w:ind w:left="540" w:right="60" w:hanging="263"/>
        <w:spacing w:after="0" w:line="276"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market size for the target indications of a potential product candidate may diminish over time due to improvements in the standard of care to the point that further development is not warranted.</w:t>
      </w:r>
    </w:p>
    <w:p>
      <w:pPr>
        <w:spacing w:after="0" w:line="170"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Research programs to identify new product candidates require substantial technical, financial and human resources. We may choose to focus our efforts and resources on a potential product candidate that ultimately proves to be unsuccessful. If we are unable to identify suitable product candidates for preclinical and clinical development, we will not be able to obtain revenues from sale of products in future periods, which likely would result in significant harm to our financial position and adversely impact our stock price.</w:t>
      </w:r>
    </w:p>
    <w:p>
      <w:pPr>
        <w:spacing w:after="0" w:line="80" w:lineRule="exact"/>
        <w:rPr>
          <w:sz w:val="20"/>
          <w:szCs w:val="20"/>
          <w:color w:val="auto"/>
        </w:rPr>
      </w:pPr>
    </w:p>
    <w:p>
      <w:pPr>
        <w:spacing w:after="0" w:line="276" w:lineRule="auto"/>
        <w:rPr>
          <w:sz w:val="20"/>
          <w:szCs w:val="20"/>
          <w:color w:val="auto"/>
        </w:rPr>
      </w:pPr>
      <w:r>
        <w:rPr>
          <w:rFonts w:ascii="Arial" w:cs="Arial" w:eastAsia="Arial" w:hAnsi="Arial"/>
          <w:sz w:val="18"/>
          <w:szCs w:val="18"/>
          <w:b w:val="1"/>
          <w:bCs w:val="1"/>
          <w:i w:val="1"/>
          <w:iCs w:val="1"/>
          <w:color w:val="auto"/>
        </w:rPr>
        <w:t>If we do not achieve our projected development goals in the timeframes we announce and expect, the commercialization of our products may be delayed and, as a result, our stock price may decline.</w:t>
      </w:r>
    </w:p>
    <w:p>
      <w:pPr>
        <w:spacing w:after="0" w:line="63"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From time to time, we may estimate the timing of the anticipated accomplishment of various scientific, clinical, regulatory and other product development goals, which we sometimes refer to as milestones. These milestones may include the commencement or completion of preclinical studies and clinical trials and the submission of regulatory filings. From time to time, we may publicly announce the expected timing of some of these milestones. Each of these milestones is and will be based on numerous assumptions. The actual timing of these milestones can vary dramatically compared to our estimates, in some cases for reasons beyond our control. If we do not meet these milestones as publicly announced, or at all, our revenue may be lower than expected or the commercialization of our products may be delayed or never achieved and, as a result, our stock price may decline.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83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Risks related to dependence on third parties</w:t>
      </w:r>
    </w:p>
    <w:p>
      <w:pPr>
        <w:spacing w:after="0" w:line="120" w:lineRule="exact"/>
        <w:rPr>
          <w:sz w:val="20"/>
          <w:szCs w:val="20"/>
          <w:color w:val="auto"/>
        </w:rPr>
      </w:pPr>
    </w:p>
    <w:p>
      <w:pPr>
        <w:ind w:right="260"/>
        <w:spacing w:after="0" w:line="276" w:lineRule="auto"/>
        <w:rPr>
          <w:sz w:val="20"/>
          <w:szCs w:val="20"/>
          <w:color w:val="auto"/>
        </w:rPr>
      </w:pPr>
      <w:r>
        <w:rPr>
          <w:rFonts w:ascii="Arial" w:cs="Arial" w:eastAsia="Arial" w:hAnsi="Arial"/>
          <w:sz w:val="18"/>
          <w:szCs w:val="18"/>
          <w:b w:val="1"/>
          <w:bCs w:val="1"/>
          <w:i w:val="1"/>
          <w:iCs w:val="1"/>
          <w:color w:val="auto"/>
        </w:rPr>
        <w:t>We expect to rely on third parties to conduct our future clinical trials and those third parties may not perform satisfactorily, including failing to meet deadlines for the completion of such trials.</w:t>
      </w:r>
    </w:p>
    <w:p>
      <w:pPr>
        <w:spacing w:after="0" w:line="63"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We are relying on CROs to conduct our ongoing first-in-human Phase 1/2 clinical trial programs for CFT7455 and plan to rely on CROs to conduct our planned first-in-human Phase 1/2 clinical trial programs for CFT8634 and CFT8919 and our other clinical trials as we currently do not plan to independently conduct clinical trials of our other product candidates. Additionally, we must contract with third-party research sites for the conduct of our clinical trials. Our agreements with these CROs and sites might terminate for a variety of reasons, including a failure to perform by the third parties. If we were ever to need to enter into alternative arrangements, we would experience delays in our product development activities.</w:t>
      </w:r>
    </w:p>
    <w:p>
      <w:pPr>
        <w:spacing w:after="0" w:line="6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reliance on CROs for research and development activities will reduce our control over these activities but will not relieve us of our responsibilities for how these activities are performed. For example, we will remain responsible for ensuring that each of our clinical trials is conducted in accordance with the general investigational plan and protocols in the applicable IND. Moreover, the FDA requires compliance with standards, commonly referred to as GCPs, for conducting, recording and reporting the results of clinical trials to assure that data and reported results are credible and accurate and that the rights, integrity and confidentiality of trial participants are protected. GCP compliance extends not only to sponsors of clinical research but also to third parties including CROs and sites involved in the conduct of clinical research.</w:t>
      </w:r>
    </w:p>
    <w:p>
      <w:pPr>
        <w:spacing w:after="0" w:line="67"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Further, these CROs or sites may have relationships with other entities, some of which may be our peers or competitors. If the CROs or sites with whom we work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spacing w:after="0" w:line="64"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Manufacturing pharmaceutical products is complex and subject to product delays or loss for a variety of reasons. We contract with third parties for the manufacture of our product candidates for preclinical testing and clinical trials and expect to continue to do so for commercialization. This reliance on third parties increases the risk that we will not have sufficient quantities of our product candidates or products or that we will not have the quantities we desire or require at an acceptable cost or quality or at the right time, which could delay, prevent or impair our development or commercialization efforts.</w:t>
      </w:r>
    </w:p>
    <w:p>
      <w:pPr>
        <w:spacing w:after="0" w:line="81"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We do not own or operate, and currently have no plans to establish, any manufacturing facilities. We rely on and expect to continue to rely on CMOs for both drug substance and finished drug product. This reliance on third parties may increase the risk that we will not have sufficient quantities of our product candidates or products or that we will not have the quantities we desire or require at an acceptable cost or quality, which could delay, prevent or impair our development or commercialization efforts, including where a pre-approval inspection or an inspection of clinical sites is required and due to the ongoing COVID-19 pandemic and travel restrictions FDA is unable to complete those required inspections during the review period.</w:t>
      </w:r>
    </w:p>
    <w:p>
      <w:pPr>
        <w:spacing w:after="0" w:line="51"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auto"/>
        </w:rPr>
        <w:t>We may be unable to establish agreements with CMOs or to do so on acceptable terms. Even if we are able to establish agreements with CMOs, reliance on third-party manufacturers entails additional risks, including:</w:t>
      </w:r>
    </w:p>
    <w:p>
      <w:pPr>
        <w:spacing w:after="0" w:line="170" w:lineRule="exact"/>
        <w:rPr>
          <w:sz w:val="20"/>
          <w:szCs w:val="20"/>
          <w:color w:val="auto"/>
        </w:rPr>
      </w:pPr>
    </w:p>
    <w:p>
      <w:pPr>
        <w:ind w:left="540" w:hanging="263"/>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quality assurance and manufacturing success;</w:t>
      </w:r>
    </w:p>
    <w:p>
      <w:pPr>
        <w:spacing w:after="0" w:line="223" w:lineRule="exact"/>
        <w:rPr>
          <w:rFonts w:ascii="Arial" w:cs="Arial" w:eastAsia="Arial" w:hAnsi="Arial"/>
          <w:sz w:val="18"/>
          <w:szCs w:val="18"/>
          <w:color w:val="auto"/>
        </w:rPr>
      </w:pPr>
    </w:p>
    <w:p>
      <w:pPr>
        <w:ind w:left="540" w:hanging="263"/>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third-party CMO;</w:t>
      </w:r>
    </w:p>
    <w:p>
      <w:pPr>
        <w:spacing w:after="0" w:line="223" w:lineRule="exact"/>
        <w:rPr>
          <w:rFonts w:ascii="Arial" w:cs="Arial" w:eastAsia="Arial" w:hAnsi="Arial"/>
          <w:sz w:val="18"/>
          <w:szCs w:val="18"/>
          <w:color w:val="auto"/>
        </w:rPr>
      </w:pPr>
    </w:p>
    <w:p>
      <w:pPr>
        <w:ind w:left="540" w:right="20" w:hanging="263"/>
        <w:spacing w:after="0" w:line="276"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possible risk that the CMO will cease offering the services we require or shut down operations altogether, either temporarily or permanently, due to a regulatory concern, financial insolvency, non-compliance with applicable law or another reason;</w:t>
      </w:r>
    </w:p>
    <w:p>
      <w:pPr>
        <w:spacing w:after="0" w:line="170" w:lineRule="exact"/>
        <w:rPr>
          <w:rFonts w:ascii="Arial" w:cs="Arial" w:eastAsia="Arial" w:hAnsi="Arial"/>
          <w:sz w:val="18"/>
          <w:szCs w:val="18"/>
          <w:color w:val="auto"/>
        </w:rPr>
      </w:pPr>
    </w:p>
    <w:p>
      <w:pPr>
        <w:ind w:left="540" w:hanging="263"/>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223" w:lineRule="exact"/>
        <w:rPr>
          <w:rFonts w:ascii="Arial" w:cs="Arial" w:eastAsia="Arial" w:hAnsi="Arial"/>
          <w:sz w:val="18"/>
          <w:szCs w:val="18"/>
          <w:color w:val="auto"/>
        </w:rPr>
      </w:pPr>
    </w:p>
    <w:p>
      <w:pPr>
        <w:ind w:left="540" w:right="20" w:hanging="263"/>
        <w:spacing w:after="0" w:line="276"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 or the inability of the CMO to provide us with a manufacturing slot when we need it.</w:t>
      </w:r>
    </w:p>
    <w:p>
      <w:pPr>
        <w:spacing w:after="0" w:line="170"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We have only limited technology transfer agreements in place with respect to our product candidates and these existing arrangements do not extend to commercial supply. We acquire many key materials on a purchase order basis. As a result, we do not have long-term committed arrangements with respect to our product candidates and other materials. If we receive marketing approval for any of our product candidates, we will need to establish or have established an agreement for commercial manufacture with one or more third parties.</w:t>
      </w:r>
    </w:p>
    <w:p>
      <w:pPr>
        <w:spacing w:after="0" w:line="8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Third-party manufacturers may not be able to comply with current good manufacturing practices, or cGMP, regulations or similar regulatory requirements outside of the United States. Our molecules are highly potent and, in the absence of additional safety data, they receive a high occupational exposure band, or OEB. These assigned OEBs dictate the contaminant and other precautions that must be taken as part of the manufacture of our product candidates and limit the number of CMOs who are qualified to manufacture our molecules. Our failure, or the failure of our CMOs, to comply with applicable regulations, including the ability of our CMOs to work with our highly potent materials and the safety protocols in connection therewith, could result in sanctions being imposed on us,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83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48" w:name="page49"/>
    <w:bookmarkEnd w:id="48"/>
    <w:p>
      <w:pPr>
        <w:ind w:right="120"/>
        <w:spacing w:after="0" w:line="341" w:lineRule="auto"/>
        <w:rPr>
          <w:sz w:val="20"/>
          <w:szCs w:val="20"/>
          <w:color w:val="auto"/>
        </w:rPr>
      </w:pPr>
      <w:r>
        <w:rPr>
          <w:rFonts w:ascii="Arial" w:cs="Arial" w:eastAsia="Arial" w:hAnsi="Arial"/>
          <w:sz w:val="16"/>
          <w:szCs w:val="16"/>
          <w:color w:val="auto"/>
        </w:rPr>
        <w:t>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w:t>
      </w:r>
    </w:p>
    <w:p>
      <w:pPr>
        <w:spacing w:after="0" w:line="16"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Our product candidates and any products that we may develop may compete with other product candidates and products for access to manufacturing facilities. As a result, we may not obtain access to these facilities on a priority basis or at all. There are a limited number of manufacturers that operate under cGMP regulations and that might be capable of manufacturing for us, particularly given the potency of our compounds and the fact that only certain CMOs can manufacture compounds of this nature.</w:t>
      </w:r>
    </w:p>
    <w:p>
      <w:pPr>
        <w:spacing w:after="0" w:line="8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Any performance failure or delay in performance on the part of our existing or future manufacturers could delay clinical development or marketing approval. For example, our contract drug product manufacturer had a mechanical issue arise in connection with a manufacturing step for a manufacturing run for our CFT7455 product candidate. While this issue did not ultimately delay the timing of submission of our IND for CFT7455, in the future, we could experience a manufacturing issue that would have a material impact on development of our product candidates and the occurrence of an event of this nature would largely be outside of our control. We do not currently have arrangements in place for redundant supply or a second source for drug substance or drug product. If our current CMOs cannot perform as agreed, we may be required to replace them. Although we believe that there are several potential alternative manufacturers who could manufacture our product candidates, we may incur added costs and delays in identifying and qualifying any replacement manufacturers or we may not be able to reach agreement with any alternative manufacturer. While we have identified alternate vendors for CFT7455 and CFT8634, switching vendors could result in significant additional costs of materials and significant delays to our operations and we may be constrained in the vendors we can select based on the high OEB designations of our molecules.</w:t>
      </w:r>
    </w:p>
    <w:p>
      <w:pPr>
        <w:spacing w:after="0" w:line="72"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auto"/>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6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Additionally, we currently rely on single source suppliers for certain of the raw materials for our preclinical study and clinical trial supplies. If our current or future suppliers are unable to supply us with sufficient raw materials for our preclinical studies and clinical trials, we may experience delays in our development efforts as we locate and qualify new raw material manufacturers. These third-party manufacturers may incorporate their own proprietary processes into our product candidate manufacturing processes. We have limited control and oversight of a third party’s proprietary process and a third-party manufacturer may elect to modify its process without our consent or knowledge. These modifications could negatively impact our manufacturing, including product loss or failure that requires additional manufacturing runs or a change in manufacturer, both of which could significantly increase the cost of and significantly delay the manufacture of our product candidates.</w:t>
      </w:r>
    </w:p>
    <w:p>
      <w:pPr>
        <w:spacing w:after="0" w:line="71"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As our product candidates progress through preclinical studies and clinical trials towards approval and commercialization, we expect that various aspects of the manufacturing process will evolve in an effort to optimize processes and results. These types of changes may require that we make amendments to our regulatory applications, which could further delay the timeframes under which modified manufacturing processes can be used for any of our product candidates.</w:t>
      </w:r>
    </w:p>
    <w:p>
      <w:pPr>
        <w:spacing w:after="0" w:line="8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addition, as we advance our product candidates into later stage clinical trials and plan for the potential commercialization of our product candidates, we may determine that it is necessary or appropriate to bring on additional suppliers of drug product and/or drug substance, which could result in changes to the manufacturing processes for our product candidates and may require us to provide additional information to regulatory authorities. If we were to bring on additional CMOs for our product candidates, we may also be required to conduct additional bridging studies or trials, all of which would require additional time and expense.</w:t>
      </w:r>
    </w:p>
    <w:p>
      <w:pPr>
        <w:spacing w:after="0" w:line="81" w:lineRule="exact"/>
        <w:rPr>
          <w:sz w:val="20"/>
          <w:szCs w:val="20"/>
          <w:color w:val="auto"/>
        </w:rPr>
      </w:pPr>
    </w:p>
    <w:p>
      <w:pPr>
        <w:ind w:right="500"/>
        <w:spacing w:after="0" w:line="285" w:lineRule="auto"/>
        <w:rPr>
          <w:sz w:val="20"/>
          <w:szCs w:val="20"/>
          <w:color w:val="auto"/>
        </w:rPr>
      </w:pPr>
      <w:r>
        <w:rPr>
          <w:rFonts w:ascii="Arial" w:cs="Arial" w:eastAsia="Arial" w:hAnsi="Arial"/>
          <w:sz w:val="17"/>
          <w:szCs w:val="17"/>
          <w:b w:val="1"/>
          <w:bCs w:val="1"/>
          <w:i w:val="1"/>
          <w:iCs w:val="1"/>
          <w:color w:val="auto"/>
        </w:rPr>
        <w:t>We have existing collaborations with third parties under which we are engaged in the research, development and commercialization of certain of product candidates. If any of these collaborations are not successful, we may not be able to capitalize on the market potential of those product candidates. In addition, these collaborations could impact our intellectual property rights.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Previously, we entered into the following collaborations, which involve our research programs:</w:t>
      </w:r>
    </w:p>
    <w:p>
      <w:pPr>
        <w:spacing w:after="0" w:line="224" w:lineRule="exact"/>
        <w:rPr>
          <w:sz w:val="20"/>
          <w:szCs w:val="20"/>
          <w:color w:val="auto"/>
        </w:rPr>
      </w:pPr>
    </w:p>
    <w:p>
      <w:pPr>
        <w:ind w:left="540" w:right="280" w:hanging="263"/>
        <w:spacing w:after="0" w:line="276"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collaboration agreement with Roche in December 2015, which we amended and restated in December 2018 and further amended in November 2020 and updated as to include targets in November 2021;</w:t>
      </w:r>
    </w:p>
    <w:p>
      <w:pPr>
        <w:spacing w:after="0" w:line="170" w:lineRule="exact"/>
        <w:rPr>
          <w:rFonts w:ascii="Arial" w:cs="Arial" w:eastAsia="Arial" w:hAnsi="Arial"/>
          <w:sz w:val="18"/>
          <w:szCs w:val="18"/>
          <w:color w:val="auto"/>
        </w:rPr>
      </w:pPr>
    </w:p>
    <w:p>
      <w:pPr>
        <w:ind w:left="540" w:hanging="263"/>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collaboration agreement with Calico in March 2017, which was extended in respect of one program in September 2021; and</w:t>
      </w:r>
    </w:p>
    <w:p>
      <w:pPr>
        <w:spacing w:after="0" w:line="223" w:lineRule="exact"/>
        <w:rPr>
          <w:rFonts w:ascii="Arial" w:cs="Arial" w:eastAsia="Arial" w:hAnsi="Arial"/>
          <w:sz w:val="18"/>
          <w:szCs w:val="18"/>
          <w:color w:val="auto"/>
        </w:rPr>
      </w:pPr>
    </w:p>
    <w:p>
      <w:pPr>
        <w:ind w:left="540" w:hanging="263"/>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collaboration agreement with Biogen in December 2018, which was amended in February 2020.</w:t>
      </w:r>
    </w:p>
    <w:p>
      <w:pPr>
        <w:spacing w:after="0" w:line="224"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Under these collaboration agreements, we are generally responsible for developing drug candidates leveraging our TORPEDO platform based on partner-selected targets. Further, these agreements provide that our collaboration partners have exclusive rights to develop degraders for their selected and reserved targets. As a result, we are not permitted to pursue a target of potential interest – either alone or with another partner – while that target is bound by these restrictions.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83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49" w:name="page50"/>
    <w:bookmarkEnd w:id="49"/>
    <w:p>
      <w:pPr>
        <w:spacing w:after="0" w:line="269" w:lineRule="auto"/>
        <w:rPr>
          <w:sz w:val="20"/>
          <w:szCs w:val="20"/>
          <w:color w:val="auto"/>
        </w:rPr>
      </w:pPr>
      <w:r>
        <w:rPr>
          <w:rFonts w:ascii="Arial" w:cs="Arial" w:eastAsia="Arial" w:hAnsi="Arial"/>
          <w:sz w:val="17"/>
          <w:szCs w:val="17"/>
          <w:color w:val="auto"/>
        </w:rPr>
        <w:t>Further, if our collaborations do not result in the successful development and commercialization of products or if one of our collaborators terminates its agreement with us or elects not to pursue a program within a collaboration, we may not receive any future research funding or milestone or royalty payments under that collaboration or in respect of that terminated program. If that were to happen, we might decide to abandon the program or to move the program forward on our own, which would require us to have to devote additional resources to the program on a going-forward basis. In addition, if one of our collaborators terminates its agreement with us generally or with respect to a specific target, which they are permitted to do for convenience on between 90 and 270 days’ notice or in connection with a material breach of the agreement by us that remains uncured for a specified period of time, we may find it more difficult to attract new collaborators and our development programs may be delayed or the perception of us in the business and financial communities could be adversely affected. All of the risks relating to product development, marketing approval and commercialization described in this report apply to the activities of our collaborators.</w:t>
      </w:r>
    </w:p>
    <w:p>
      <w:pPr>
        <w:spacing w:after="0" w:line="7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It is also possible that our collaborators may not properly obtain, maintain, enforce or defend the intellectual property or proprietary rights arising out of our licensed programs or may use our proprietary information in a way that could jeopardize or invalidate our proprietary information or expose us to potential litigation. For example, Roche, Biogen and Calico have the first right to enforce and Roche also has the first right to defend, certain intellectual property rights under the applicable collaboration arrangement with respect to particular licensed programs and, although we may have the right to assume the enforcement and defense of these intellectual property rights if our collaborator does not, our ability to do so may be compromised by their actions. In addition, if any licensed program were later to revert to us, our ability to protect any intellectual property or other proprietary rights associated with that program would be impacted by the intellectual property filings made or other steps taken by our collaborator prior to program reversion. Further, our collaborators may own or co-own intellectual property covering our products that results from our collaborating with them and, in cases where that applies, we would not have the exclusive right to commercialize the collaboration intellectual property.</w:t>
      </w:r>
    </w:p>
    <w:p>
      <w:pPr>
        <w:spacing w:after="0" w:line="60" w:lineRule="exact"/>
        <w:rPr>
          <w:sz w:val="20"/>
          <w:szCs w:val="20"/>
          <w:color w:val="auto"/>
        </w:rPr>
      </w:pPr>
    </w:p>
    <w:p>
      <w:pPr>
        <w:ind w:right="460"/>
        <w:spacing w:after="0" w:line="276" w:lineRule="auto"/>
        <w:rPr>
          <w:sz w:val="20"/>
          <w:szCs w:val="20"/>
          <w:color w:val="auto"/>
        </w:rPr>
      </w:pPr>
      <w:r>
        <w:rPr>
          <w:rFonts w:ascii="Arial" w:cs="Arial" w:eastAsia="Arial" w:hAnsi="Arial"/>
          <w:sz w:val="18"/>
          <w:szCs w:val="18"/>
          <w:b w:val="1"/>
          <w:bCs w:val="1"/>
          <w:i w:val="1"/>
          <w:iCs w:val="1"/>
          <w:color w:val="auto"/>
        </w:rPr>
        <w:t>We may form or seek collaborations or strategic alliances or enter into additional licensing arrangements in the future and we may not realize the benefits of those collaborations, alliances or licensing arrangements.</w:t>
      </w:r>
    </w:p>
    <w:p>
      <w:pPr>
        <w:spacing w:after="0" w:line="63"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We may in the future form or seek strategic alliances, create joint ventures or collaborations or enter into additional licensing arrangements with third parties that we believe will complement or augment our development and commercialization efforts with respect to our product candidates and any future product candidates that we may develop. Our likely collaborators in any other collaboration arrangements we may enter into include large and mid-size pharmaceutical companies and biotechnology companies. However, it is possible that we will not be able to enter into a collaboration agreement of this nature or that the terms of any potential new collaboration arrangement may not be favorable.</w:t>
      </w:r>
    </w:p>
    <w:p>
      <w:pPr>
        <w:spacing w:after="0" w:line="65"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For example, we may seek to enter into collaboration arrangements to advance our CFT7455 product candidate in MM or other indications or we may form or seek to form collaboration arrangements to enable our development and commercialization of a product candidate in a specified geographic area. Any of these relationships may require us to incur non-recurring and other charges, increase our near and long-term expenditures, issue securities that dilute our existing stockholders or disrupt our management and business.</w:t>
      </w:r>
    </w:p>
    <w:p>
      <w:pPr>
        <w:spacing w:after="0" w:line="8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addition, we face significant competition in seeking appropriate strategic partners and the negotiation process for these sorts of transactions is time-consuming, complex and expensive. Moreover,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potency, purity and efficacy and obtain marketing approval. Additionally, our existing partners may decide to acquire or partner with other companies developing targeted protein degraders, which may have an adverse impact on our business prospects, financial condition and results of operations.</w:t>
      </w:r>
    </w:p>
    <w:p>
      <w:pPr>
        <w:spacing w:after="0" w:line="6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a result, if we enter into additional collaboration agreements and strategic partnerships or license our product candidates, we may not be able to realize the benefit of those transactions if we are unable to successfully integrate them with our existing operations and company culture, which could delay our timelines or otherwise adversely affect our business prospects, financial condition and results of operations. We also cannot be certain that, following a strategic transaction or license, we will achieve the revenue or specific net income that justifies the entry into the transaction in the first place. Any delays in entering into new collaborations or strategic partnership agreements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120"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w:t>
      </w:r>
    </w:p>
    <w:p>
      <w:pPr>
        <w:spacing w:after="0" w:line="63"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color w:val="auto"/>
        </w:rPr>
        <w:t>If any of our product candidates receives marketing approval, it may nonetheless fail to gain sufficient market acceptance by physicians, patients, third-party payors and others in the medical community. For example, current cancer treatments, such as chemotherapy and radiation therapy, are well-established in the medical community and doctors may continue to rely on these treatments. If our product candidates do not achieve an adequate level of acceptance, we may not generate significant revenue from</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83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0" w:name="page51"/>
    <w:bookmarkEnd w:id="50"/>
    <w:p>
      <w:pPr>
        <w:ind w:right="80"/>
        <w:spacing w:after="0" w:line="276" w:lineRule="auto"/>
        <w:rPr>
          <w:sz w:val="20"/>
          <w:szCs w:val="20"/>
          <w:color w:val="auto"/>
        </w:rPr>
      </w:pPr>
      <w:r>
        <w:rPr>
          <w:rFonts w:ascii="Arial" w:cs="Arial" w:eastAsia="Arial" w:hAnsi="Arial"/>
          <w:sz w:val="18"/>
          <w:szCs w:val="18"/>
          <w:color w:val="auto"/>
        </w:rPr>
        <w:t>product sales and we may not become profitable. The degree of market acceptance of our product candidates, if approved for commercial sale, will depend on a number of factors, including:</w:t>
      </w:r>
    </w:p>
    <w:p>
      <w:pPr>
        <w:spacing w:after="0" w:line="170" w:lineRule="exact"/>
        <w:rPr>
          <w:sz w:val="20"/>
          <w:szCs w:val="20"/>
          <w:color w:val="auto"/>
        </w:rPr>
      </w:pPr>
    </w:p>
    <w:p>
      <w:pPr>
        <w:ind w:left="540" w:hanging="263"/>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efficacy and potential advantages compared to alternative treatments;</w:t>
      </w:r>
    </w:p>
    <w:p>
      <w:pPr>
        <w:spacing w:after="0" w:line="223" w:lineRule="exact"/>
        <w:rPr>
          <w:rFonts w:ascii="Arial" w:cs="Arial" w:eastAsia="Arial" w:hAnsi="Arial"/>
          <w:sz w:val="18"/>
          <w:szCs w:val="18"/>
          <w:color w:val="auto"/>
        </w:rPr>
      </w:pPr>
    </w:p>
    <w:p>
      <w:pPr>
        <w:ind w:left="540" w:hanging="263"/>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prevalence and severity of any side effects, in particular compared to alternative treatments;</w:t>
      </w:r>
    </w:p>
    <w:p>
      <w:pPr>
        <w:spacing w:after="0" w:line="224" w:lineRule="exact"/>
        <w:rPr>
          <w:rFonts w:ascii="Arial" w:cs="Arial" w:eastAsia="Arial" w:hAnsi="Arial"/>
          <w:sz w:val="18"/>
          <w:szCs w:val="18"/>
          <w:color w:val="auto"/>
        </w:rPr>
      </w:pPr>
    </w:p>
    <w:p>
      <w:pPr>
        <w:ind w:left="540" w:hanging="263"/>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offer our products for sale at competitive prices;</w:t>
      </w:r>
    </w:p>
    <w:p>
      <w:pPr>
        <w:spacing w:after="0" w:line="224" w:lineRule="exact"/>
        <w:rPr>
          <w:rFonts w:ascii="Arial" w:cs="Arial" w:eastAsia="Arial" w:hAnsi="Arial"/>
          <w:sz w:val="18"/>
          <w:szCs w:val="18"/>
          <w:color w:val="auto"/>
        </w:rPr>
      </w:pPr>
    </w:p>
    <w:p>
      <w:pPr>
        <w:ind w:left="540" w:hanging="263"/>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223" w:lineRule="exact"/>
        <w:rPr>
          <w:rFonts w:ascii="Arial" w:cs="Arial" w:eastAsia="Arial" w:hAnsi="Arial"/>
          <w:sz w:val="18"/>
          <w:szCs w:val="18"/>
          <w:color w:val="auto"/>
        </w:rPr>
      </w:pPr>
    </w:p>
    <w:p>
      <w:pPr>
        <w:ind w:left="540" w:hanging="263"/>
        <w:spacing w:after="0"/>
        <w:tabs>
          <w:tab w:leader="none" w:pos="5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willingness of the target patient population to try new therapies and of physicians treating these patients to prescribe these therapies;</w:t>
      </w:r>
    </w:p>
    <w:p>
      <w:pPr>
        <w:spacing w:after="0" w:line="235" w:lineRule="exact"/>
        <w:rPr>
          <w:rFonts w:ascii="Arial" w:cs="Arial" w:eastAsia="Arial" w:hAnsi="Arial"/>
          <w:sz w:val="17"/>
          <w:szCs w:val="17"/>
          <w:color w:val="auto"/>
        </w:rPr>
      </w:pPr>
    </w:p>
    <w:p>
      <w:pPr>
        <w:ind w:left="540" w:hanging="263"/>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strength of marketing, sales and distribution support;</w:t>
      </w:r>
    </w:p>
    <w:p>
      <w:pPr>
        <w:spacing w:after="0" w:line="224" w:lineRule="exact"/>
        <w:rPr>
          <w:rFonts w:ascii="Arial" w:cs="Arial" w:eastAsia="Arial" w:hAnsi="Arial"/>
          <w:sz w:val="18"/>
          <w:szCs w:val="18"/>
          <w:color w:val="auto"/>
        </w:rPr>
      </w:pPr>
    </w:p>
    <w:p>
      <w:pPr>
        <w:ind w:left="540" w:hanging="263"/>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availability of third-party insurance coverage and adequate reimbursement;</w:t>
      </w:r>
    </w:p>
    <w:p>
      <w:pPr>
        <w:spacing w:after="0" w:line="223" w:lineRule="exact"/>
        <w:rPr>
          <w:rFonts w:ascii="Arial" w:cs="Arial" w:eastAsia="Arial" w:hAnsi="Arial"/>
          <w:sz w:val="18"/>
          <w:szCs w:val="18"/>
          <w:color w:val="auto"/>
        </w:rPr>
      </w:pPr>
    </w:p>
    <w:p>
      <w:pPr>
        <w:ind w:left="540" w:hanging="263"/>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timing of any marketing approval in relation to other product approvals;</w:t>
      </w:r>
    </w:p>
    <w:p>
      <w:pPr>
        <w:spacing w:after="0" w:line="224" w:lineRule="exact"/>
        <w:rPr>
          <w:rFonts w:ascii="Arial" w:cs="Arial" w:eastAsia="Arial" w:hAnsi="Arial"/>
          <w:sz w:val="18"/>
          <w:szCs w:val="18"/>
          <w:color w:val="auto"/>
        </w:rPr>
      </w:pPr>
    </w:p>
    <w:p>
      <w:pPr>
        <w:ind w:left="540" w:hanging="263"/>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support from patient advocacy groups; and</w:t>
      </w:r>
    </w:p>
    <w:p>
      <w:pPr>
        <w:spacing w:after="0" w:line="224" w:lineRule="exact"/>
        <w:rPr>
          <w:rFonts w:ascii="Arial" w:cs="Arial" w:eastAsia="Arial" w:hAnsi="Arial"/>
          <w:sz w:val="18"/>
          <w:szCs w:val="18"/>
          <w:color w:val="auto"/>
        </w:rPr>
      </w:pPr>
    </w:p>
    <w:p>
      <w:pPr>
        <w:ind w:left="540" w:hanging="263"/>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restrictions on the use of our products together with other medications.</w:t>
      </w:r>
    </w:p>
    <w:p>
      <w:pPr>
        <w:spacing w:after="0" w:line="22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As a company, we currently have no marketing and sales organization and have no experience in marketing products. If we are unable to establish marketing and sales capabilities or enter into agreements with third parties to market and sell our product candidates, if approved, we may not be able to generate product revenue.</w:t>
      </w:r>
    </w:p>
    <w:p>
      <w:pPr>
        <w:spacing w:after="0" w:line="74"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As a company, we currently have no sales, marketing or distribution capabilities and have no experience in marketing products. We intend to develop an in-house marketing organization and sales force, which will require significant capital expenditures, management resources and time. We will have to compete with other pharmaceutical and biotechnology companies to recruit, hire, train and retain marketing and sales personnel.</w:t>
      </w:r>
    </w:p>
    <w:p>
      <w:pPr>
        <w:spacing w:after="0" w:line="5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If we are unable or decide not to establish internal sales, marketing and distribution capabilities, we will pursue arrangements with third-party sales, marketing and distribution collaborators regarding the sales and marketing of our products, if approved. However, there can be no assurance that we will be able to establish or maintain these types of arrangements on favorable terms or if at all, or if we are able to do so, that these third-party arrangements will provide effective sales forces or marketing and distribution capabilities. Any revenue we receive will depend upon the efforts of these third parties, which may not be successful. We may have little or no control over the marketing and sales efforts of these third parties and our revenue from product sales may be lower than if we had commercialized our product candidates ourselves. We also face competition in our search for third parties to assist us with the sales and marketing efforts of our product candidates.</w:t>
      </w:r>
    </w:p>
    <w:p>
      <w:pPr>
        <w:spacing w:after="0" w:line="71"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color w:val="auto"/>
        </w:rPr>
        <w:t>There can be no assurance that we will be able to develop in-house sales and distribution capabilities or establish or maintain relationships with third-party collaborators to commercialize any product in the United States or overseas.</w:t>
      </w:r>
    </w:p>
    <w:p>
      <w:pPr>
        <w:spacing w:after="0" w:line="6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The market opportunities for our product candidates may be relatively small as we expect that they will initially be approved only for those patients who are ineligible for other approved treatments or have failed prior treatments. In addition, our estimates of the prevalence of our target patient populations may be inaccurate.</w:t>
      </w:r>
    </w:p>
    <w:p>
      <w:pPr>
        <w:spacing w:after="0" w:line="7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product candidates may target cancer, but cancer therapies are sometimes characterized as first-line, second-line, third-line or subsequent line and the FDA often approves new therapies initially only for a particular line of use. When cancer is detected early enough, first-line therapy is sometimes adequate to cure the cancer or prolong life without a cure. Whenever first-line therapy – usually chemotherapy, antibody drugs, tumor-targeted small molecules, immunotherapy, hormone therapy, radiation therapy, surgery, other targeted therapies or a combination of these therapies – proves unsuccessful, second-line therapy may be administered. Second-line therapies often consist of more chemotherapy, radiation, antibody drugs, tumor-targeted small molecules or a combination of these. Third-line therapies can include chemotherapy, antibody drugs and small molecule tumor-targeted therapies, more invasive forms of surgery and new technologies. We expect initially to seek approval of our product candidates in most instances as a second- or third-line therapy, for use in patients with relapsed or refractory cancer. Subsequently, for those product candidates that prove to be sufficiently safe and beneficial, if any, we would expect to seek approval as a second-line therapy and potentially as a first-line therapy, but there is no guarantee that any of our product candidates, even if approved as a second- or third- or subsequent line of therapy, would subsequently be approved for an earlier line of therapy. Further, it is possible that, prior to getting any approvals for our product candidates in earlier lines of treatment, we might have to conduct additional clinical trials.</w:t>
      </w:r>
    </w:p>
    <w:p>
      <w:pPr>
        <w:spacing w:after="0" w:line="5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projections of both the number of people who have the cancers we are targeting, who may have their tumors genetically sequenced, as well as the subset of people with these cancers in a position to receive a particular line of therapy and who have the potential to benefit from treatment with our product candidates, are based on our reasonable beliefs and estimates. These estimates have been derived from a variety of sources, including scientific literature, surveys of clinics, patient foundations or market research and may prove to be incorrect or out of date. Further, new therapies may change the estimated incidence or prevalence of the cancers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83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51" w:name="page52"/>
    <w:bookmarkEnd w:id="51"/>
    <w:p>
      <w:pPr>
        <w:ind w:right="140"/>
        <w:spacing w:after="0" w:line="258" w:lineRule="auto"/>
        <w:rPr>
          <w:sz w:val="20"/>
          <w:szCs w:val="20"/>
          <w:color w:val="auto"/>
        </w:rPr>
      </w:pPr>
      <w:r>
        <w:rPr>
          <w:rFonts w:ascii="Arial" w:cs="Arial" w:eastAsia="Arial" w:hAnsi="Arial"/>
          <w:sz w:val="18"/>
          <w:szCs w:val="18"/>
          <w:color w:val="auto"/>
        </w:rPr>
        <w:t>that we are targeting. Consequently, even if our product candidates are approved for a second- or third-line of therapy, the number of patients that may be eligible for treatment with our product candidates may turn out to be much lower than expected. In addition, we have not yet conducted market research to determine how treating physicians would expect to prescribe a product that is approved for multiple tumor types if there are different lines of approved therapies for each of those tumor types.</w:t>
      </w:r>
    </w:p>
    <w:p>
      <w:pPr>
        <w:spacing w:after="0" w:line="80" w:lineRule="exact"/>
        <w:rPr>
          <w:sz w:val="20"/>
          <w:szCs w:val="20"/>
          <w:color w:val="auto"/>
        </w:rPr>
      </w:pPr>
    </w:p>
    <w:p>
      <w:pPr>
        <w:ind w:right="300"/>
        <w:spacing w:after="0" w:line="306" w:lineRule="auto"/>
        <w:rPr>
          <w:sz w:val="20"/>
          <w:szCs w:val="20"/>
          <w:color w:val="auto"/>
        </w:rPr>
      </w:pPr>
      <w:r>
        <w:rPr>
          <w:rFonts w:ascii="Arial" w:cs="Arial" w:eastAsia="Arial" w:hAnsi="Arial"/>
          <w:sz w:val="17"/>
          <w:szCs w:val="17"/>
          <w:b w:val="1"/>
          <w:bCs w:val="1"/>
          <w:i w:val="1"/>
          <w:iCs w:val="1"/>
          <w:color w:val="auto"/>
        </w:rPr>
        <w:t>Even if we receive marketing approval of any of our product candidates, our products may become subject to unfavorable pricing regulations, third-party reimbursement practices or healthcare reform initiatives, any of which would harm our business.</w:t>
      </w:r>
    </w:p>
    <w:p>
      <w:pPr>
        <w:spacing w:after="0" w:line="4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To obtain reimbursement or pricing approval in some countries, we may be required to conduct a clinical trial that compares the cost-effectiveness of our product candidate to other available therapies.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our commercial launch of the product, possibly for lengthy time periods, which would negatively impact the revenues, if any, we are able to generate from the sale of the product in that country. Adverse pricing limitations may, therefore, hinder our ability to recoup our investment in one or more of our product candidates, even if our product candidates obtain marketing approval.</w:t>
      </w:r>
    </w:p>
    <w:p>
      <w:pPr>
        <w:spacing w:after="0" w:line="72"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Our ability to commercialize any product candidates successfully also will depend in part on the extent to which coverage and adequate reimbursement for these products and related treatments will be available from government healthcare programs,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Increasingly, government authorities and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Reimbursement may affect the demand for, or the price of, any product candidate for which we obtain marketing approval. Obtaining and maintaining coverage and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product candidate for which we obtain marketing approval.</w:t>
      </w:r>
    </w:p>
    <w:p>
      <w:pPr>
        <w:spacing w:after="0" w:line="63"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There may be significant delays in obtaining coverage and reimbursement for newly approved drugs. In addition, coverage may be more limited than the purposes for which the drug is approved by the FDA or similar regulatory authorities outside of the United States. Moreover, eligibility for coverage and reimbursement does not imply that a drug will be paid for in all cases or at a rate that covers our costs, including research, development, intellectual property, manufacture, sale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w:t>
      </w:r>
    </w:p>
    <w:p>
      <w:pPr>
        <w:spacing w:after="0" w:line="59" w:lineRule="exact"/>
        <w:rPr>
          <w:sz w:val="20"/>
          <w:szCs w:val="20"/>
          <w:color w:val="auto"/>
        </w:rPr>
      </w:pPr>
    </w:p>
    <w:p>
      <w:pPr>
        <w:ind w:right="200"/>
        <w:spacing w:after="0" w:line="289" w:lineRule="auto"/>
        <w:rPr>
          <w:sz w:val="20"/>
          <w:szCs w:val="20"/>
          <w:color w:val="auto"/>
        </w:rPr>
      </w:pPr>
      <w:r>
        <w:rPr>
          <w:rFonts w:ascii="Arial" w:cs="Arial" w:eastAsia="Arial" w:hAnsi="Arial"/>
          <w:sz w:val="16"/>
          <w:szCs w:val="16"/>
          <w:color w:val="auto"/>
        </w:rPr>
        <w:t>In the United States, no uniform policy for coverage and reimbursement for products exists among third-party payors. Therefore, coverage and reimbursement for our products can differ significantly from payor to payor. The process for determining whether a payor will provide coverage for a product may be separate from the process for setting the reimbursement rate that the payor will pay for the product. One payor’s determination to provide coverage for a product does not assure that other payors will also provide coverage and reimbursement for the product. Third-party payors may also limit coverage to specific products on an approved list, or formulary, which might not include all of the FDA-approved products for a particular indication.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an adverse effect on our operating results, our ability to raise capital needed to commercialize products and our overall financial condition.</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Product liability lawsuits against us could cause us to incur substantial liabilities and to limit commercialization of any products that we may develop.</w:t>
      </w:r>
    </w:p>
    <w:p>
      <w:pPr>
        <w:spacing w:after="0" w:line="151" w:lineRule="exact"/>
        <w:rPr>
          <w:sz w:val="20"/>
          <w:szCs w:val="20"/>
          <w:color w:val="auto"/>
        </w:rPr>
      </w:pPr>
    </w:p>
    <w:p>
      <w:pPr>
        <w:ind w:right="220"/>
        <w:spacing w:after="0" w:line="276"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clinical trials and will face an even greater risk if or when we commercially sell any products that we may develop. If we cannot successfully defend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83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2" w:name="page53"/>
    <w:bookmarkEnd w:id="52"/>
    <w:p>
      <w:pPr>
        <w:ind w:right="600"/>
        <w:spacing w:after="0" w:line="276" w:lineRule="auto"/>
        <w:rPr>
          <w:sz w:val="20"/>
          <w:szCs w:val="20"/>
          <w:color w:val="auto"/>
        </w:rPr>
      </w:pPr>
      <w:r>
        <w:rPr>
          <w:rFonts w:ascii="Arial" w:cs="Arial" w:eastAsia="Arial" w:hAnsi="Arial"/>
          <w:sz w:val="18"/>
          <w:szCs w:val="18"/>
          <w:color w:val="auto"/>
        </w:rPr>
        <w:t>ourselves against claims that our product candidates or products caused injuries, we will incur substantial liabilities. Regardless of merit or eventual outcome, liability claims may result in:</w:t>
      </w:r>
    </w:p>
    <w:p>
      <w:pPr>
        <w:spacing w:after="0" w:line="170" w:lineRule="exact"/>
        <w:rPr>
          <w:sz w:val="20"/>
          <w:szCs w:val="20"/>
          <w:color w:val="auto"/>
        </w:rPr>
      </w:pPr>
    </w:p>
    <w:p>
      <w:pPr>
        <w:ind w:left="540" w:hanging="263"/>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223" w:lineRule="exact"/>
        <w:rPr>
          <w:rFonts w:ascii="Arial" w:cs="Arial" w:eastAsia="Arial" w:hAnsi="Arial"/>
          <w:sz w:val="18"/>
          <w:szCs w:val="18"/>
          <w:color w:val="auto"/>
        </w:rPr>
      </w:pPr>
    </w:p>
    <w:p>
      <w:pPr>
        <w:ind w:left="540" w:hanging="263"/>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termination of clinical trials;</w:t>
      </w:r>
    </w:p>
    <w:p>
      <w:pPr>
        <w:spacing w:after="0" w:line="224" w:lineRule="exact"/>
        <w:rPr>
          <w:rFonts w:ascii="Arial" w:cs="Arial" w:eastAsia="Arial" w:hAnsi="Arial"/>
          <w:sz w:val="18"/>
          <w:szCs w:val="18"/>
          <w:color w:val="auto"/>
        </w:rPr>
      </w:pPr>
    </w:p>
    <w:p>
      <w:pPr>
        <w:ind w:left="540" w:hanging="263"/>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withdrawal of marketing approval, recall, restriction on the approval or a “black box” warning or contraindication for an approved drug;</w:t>
      </w:r>
    </w:p>
    <w:p>
      <w:pPr>
        <w:spacing w:after="0" w:line="224" w:lineRule="exact"/>
        <w:rPr>
          <w:rFonts w:ascii="Arial" w:cs="Arial" w:eastAsia="Arial" w:hAnsi="Arial"/>
          <w:sz w:val="18"/>
          <w:szCs w:val="18"/>
          <w:color w:val="auto"/>
        </w:rPr>
      </w:pPr>
    </w:p>
    <w:p>
      <w:pPr>
        <w:ind w:left="540" w:hanging="263"/>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3" w:lineRule="exact"/>
        <w:rPr>
          <w:rFonts w:ascii="Arial" w:cs="Arial" w:eastAsia="Arial" w:hAnsi="Arial"/>
          <w:sz w:val="18"/>
          <w:szCs w:val="18"/>
          <w:color w:val="auto"/>
        </w:rPr>
      </w:pPr>
    </w:p>
    <w:p>
      <w:pPr>
        <w:ind w:left="540" w:hanging="263"/>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 and/or increased product liability insurance costs;</w:t>
      </w:r>
    </w:p>
    <w:p>
      <w:pPr>
        <w:spacing w:after="0" w:line="224" w:lineRule="exact"/>
        <w:rPr>
          <w:rFonts w:ascii="Arial" w:cs="Arial" w:eastAsia="Arial" w:hAnsi="Arial"/>
          <w:sz w:val="18"/>
          <w:szCs w:val="18"/>
          <w:color w:val="auto"/>
        </w:rPr>
      </w:pPr>
    </w:p>
    <w:p>
      <w:pPr>
        <w:ind w:left="540" w:hanging="263"/>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24" w:lineRule="exact"/>
        <w:rPr>
          <w:rFonts w:ascii="Arial" w:cs="Arial" w:eastAsia="Arial" w:hAnsi="Arial"/>
          <w:sz w:val="18"/>
          <w:szCs w:val="18"/>
          <w:color w:val="auto"/>
        </w:rPr>
      </w:pPr>
    </w:p>
    <w:p>
      <w:pPr>
        <w:ind w:left="540" w:hanging="263"/>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23" w:lineRule="exact"/>
        <w:rPr>
          <w:rFonts w:ascii="Arial" w:cs="Arial" w:eastAsia="Arial" w:hAnsi="Arial"/>
          <w:sz w:val="18"/>
          <w:szCs w:val="18"/>
          <w:color w:val="auto"/>
        </w:rPr>
      </w:pPr>
    </w:p>
    <w:p>
      <w:pPr>
        <w:ind w:left="540" w:hanging="263"/>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24" w:lineRule="exact"/>
        <w:rPr>
          <w:rFonts w:ascii="Arial" w:cs="Arial" w:eastAsia="Arial" w:hAnsi="Arial"/>
          <w:sz w:val="18"/>
          <w:szCs w:val="18"/>
          <w:color w:val="auto"/>
        </w:rPr>
      </w:pPr>
    </w:p>
    <w:p>
      <w:pPr>
        <w:ind w:left="540" w:hanging="263"/>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224" w:lineRule="exact"/>
        <w:rPr>
          <w:rFonts w:ascii="Arial" w:cs="Arial" w:eastAsia="Arial" w:hAnsi="Arial"/>
          <w:sz w:val="18"/>
          <w:szCs w:val="18"/>
          <w:color w:val="auto"/>
        </w:rPr>
      </w:pPr>
    </w:p>
    <w:p>
      <w:pPr>
        <w:ind w:left="540" w:hanging="263"/>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24"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We currently maintain product liability insurance coverage to support our clinical development activities. We may need to purchase additional product liability insurance coverage as we expand our clinical trials and if and when we commence commercialization of our product candidates. Insurance coverage is increasingly expensive. We may not be able to maintain insurance coverage at a reasonable cost or in an amount adequate to satisfy any liability that may arise.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0"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b w:val="1"/>
          <w:bCs w:val="1"/>
          <w:i w:val="1"/>
          <w:iCs w:val="1"/>
          <w:color w:val="auto"/>
        </w:rPr>
        <w:t>If we are unable to obtain and maintain patent protection for our technology and products or if the scope of the patent protection obtained is not sufficiently broad, our competitors could develop and commercialize technology and products similar or identical to ours, our ability to successfully commercialize our technology and products may be impaired or we may not be able to compete effectively in our market.</w:t>
      </w:r>
    </w:p>
    <w:p>
      <w:pPr>
        <w:spacing w:after="0" w:line="39"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We rely upon a combination of patents, trade secret protection and confidentiality agreements to protect our intellectual property and prevent others from exploiting our platform technologies, our pipeline drug product candidates, any future drug product candidates we may develop and their use or manufacture.</w:t>
      </w:r>
    </w:p>
    <w:p>
      <w:pPr>
        <w:spacing w:after="0" w:line="7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Our commercial success depends in part on our ability to obtain and maintain patents and other proprietary protection in the United States and other countries with respect to our proprietary technology and products. We seek to protect our proprietary position by filing patent applications in the United States and abroad related to our novel technologies and product candidates. Any disclosure to or misappropriation by third parties of our confidential proprietary information could enable competitors to quickly duplicate or surpass our technological achievements, thus eroding our competitive position in our market. Moreover, the patent applications we own, co-own or license may fail to result in issued patents in the United States or in other foreign countries.</w:t>
      </w:r>
    </w:p>
    <w:p>
      <w:pPr>
        <w:spacing w:after="0" w:line="8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patent prosecution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covering technology that we license from third parties or that we license to our collaborators. Therefore, these patents and applications may not be prosecuted and enforced in a manner consistent with the best interests of our business.</w:t>
      </w:r>
    </w:p>
    <w:p>
      <w:pPr>
        <w:spacing w:after="0" w:line="5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patent position of the biopharmaceutical industry generally is highly uncertain, involves complex legal and factual questions and has been the subject of much litigation. In addition, the laws of foreign countries may not protect our rights to the same extent as the laws of the United States.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owned, co-owned or licensed patents or pending patent applications, or that we were the first inventors to file for patent protection of such inventions. As a result, the issuance, scope, validity, enforceability and commercial value of our patent rights or those of our collaborators are highly uncertain. Our pending and future patent applications may not result in patents being issued that protect our technology or products, in whole or in part, or that effectively prevent others from commercializing competitive technologies and products. Changes in either the patent laws or interpretation of the patent or other laws in the United States and other countries may diminish the value of our patents and potential applications, narrow the scope of our patent protection, or cause us to be required to pay royalties to third parties.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83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53" w:name="page54"/>
    <w:bookmarkEnd w:id="53"/>
    <w:p>
      <w:pPr>
        <w:ind w:right="100"/>
        <w:spacing w:after="0" w:line="301" w:lineRule="auto"/>
        <w:rPr>
          <w:sz w:val="20"/>
          <w:szCs w:val="20"/>
          <w:color w:val="auto"/>
        </w:rPr>
      </w:pPr>
      <w:r>
        <w:rPr>
          <w:rFonts w:ascii="Arial" w:cs="Arial" w:eastAsia="Arial" w:hAnsi="Arial"/>
          <w:sz w:val="16"/>
          <w:szCs w:val="16"/>
          <w:color w:val="auto"/>
        </w:rPr>
        <w:t>Our owned, co-owned and licensed patent estate consists principally of patent applications, many of which are at an early stage of prosecution. Even if our owned, co-owned and licensed patent applications issue as patents, they may not issue in a form that will provide us with any meaningful protection, prevent competitors from competing with us or otherwise provide us with any competitive advantage. Our competitors may be able to circumvent our owned, co-owned or licensed patents by developing similar or alternative technologies or products in a non-infringing manner.</w:t>
      </w:r>
    </w:p>
    <w:p>
      <w:pPr>
        <w:spacing w:after="0" w:line="4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issuance of a patent is not conclusive as to its inventorship, scope, validity or enforceability, and our owned, co-owned and licensed patents or patents obtained by our collaborators may be challenged in the courts or patent offices in the United States and abroad. These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our drug product candidates might expire before or shortly after they are commercialized. As a result, our owned, co-owned and licensed patent portfolio, or that of our collaborators, may not provide us with sufficient rights to exclude others from commercializing products similar or identical to ours.</w:t>
      </w:r>
    </w:p>
    <w:p>
      <w:pPr>
        <w:spacing w:after="0" w:line="55" w:lineRule="exact"/>
        <w:rPr>
          <w:sz w:val="20"/>
          <w:szCs w:val="20"/>
          <w:color w:val="auto"/>
        </w:rPr>
      </w:pPr>
    </w:p>
    <w:p>
      <w:pPr>
        <w:ind w:right="340"/>
        <w:spacing w:after="0" w:line="276" w:lineRule="auto"/>
        <w:rPr>
          <w:sz w:val="20"/>
          <w:szCs w:val="20"/>
          <w:color w:val="auto"/>
        </w:rPr>
      </w:pPr>
      <w:r>
        <w:rPr>
          <w:rFonts w:ascii="Arial" w:cs="Arial" w:eastAsia="Arial" w:hAnsi="Arial"/>
          <w:sz w:val="18"/>
          <w:szCs w:val="18"/>
          <w:b w:val="1"/>
          <w:bCs w:val="1"/>
          <w:i w:val="1"/>
          <w:iCs w:val="1"/>
          <w:color w:val="auto"/>
        </w:rPr>
        <w:t>Changes in patent laws or patent jurisprudence could diminish the value of our patents in general or increase third party challenges to our patents, thereby impairing our ability to protect our product candidates.</w:t>
      </w:r>
    </w:p>
    <w:p>
      <w:pPr>
        <w:spacing w:after="0" w:line="6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Patent reform legislation could increase the uncertainties and costs surrounding the prosecution of our patent applications and the enforcement or defense of our issued patents. On September 16, 2011, the Leahy-Smith America Invents Act, or the Leahy-Smith Act, was signed into law and made a number of significant changes to United States patent law. These changes include provisions that affect the way patent applications are prosecuted and may also affect patent litigation. The United States Patent and Trademark Office, or the USPTO, developed new regulations and procedures to govern administration of the Leahy-Smith Act and many of the substantive changes to patent law associated with the Leahy-Smith Act, including the first-inventor-to-file provisions, became effective on March 16, 2013. The Leahy-Smith Act and its implementation could increase the uncertainties and costs surrounding the prosecution of our patent applications and the enforcement or defense of our issued patents, all of which could have an adverse effect on our business and financial condition. The first-to-file provision of the Leahy-Smith Act requires us to act promptly during the period from invention to filing of a patent application, as there is always a risk that a third party could file a patent application that could be blocking to our patent filings. However, even with the intention to act promptly, circumstances could prevent us from promptly filing or prosecuting patent applications on our inventions. The Leahy-Smith Act also enlarged the scope of disclosures that qualify as prior art, which can impact our ability to receive patent protection for an invention.</w:t>
      </w:r>
    </w:p>
    <w:p>
      <w:pPr>
        <w:spacing w:after="0" w:line="58"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The Leahy-Smith Act created, for the first time, new procedures under which third parties may challenge issued patents in the United States, including post-grant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derivations proceedings, all of which are adversarial proceedings conducted at the USPTO. Since the effectiveness of the Leahy-Smith Act, some third parties have been using these types of actions to seek and achieve the cancellation of selected or all claims of issued patents of their competitors. Under the Leahy-Smith Act, for a patent with a priority date of March 16, 2013 or later (which is the case for all of our patent filings), a third party can file a petition for post-grant review at any time during a nine-month window commencing at the time of issuance of the patent. In addition, for a patent with a priority date of March 16, 2013 or later, a third party can file a petition for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after the nine-month period for filing a post-grant review petition has expired. Post-grant review proceedings can be brought on any ground of challenge, whereas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proceedings can only be brought to raise a challenge based on published prior art. Under applicable law, the standard of review for these types of adversarial actions at the USPTO are conducted without the presumption of validity afforded to U.S. patents, which is the standard that applies if a third party were to seek to invalidate a patent through a lawsuit filed in the U.S. federal courts. The USPTO issued a Final Rule on November 11, 2018 announcing that it will now use the same claim construction currently used in the U.S. federal courts—which is the plain and ordinary meaning of words used—to interpret patent claims in these USPTO proceedings. As a result of this regulatory landscape, if any of our patents are challenged by a third party in a USPTO proceeding of this nature, there is no guarantee that we will be successful in defending the challenged patent, which could result in our losing rights under the challenged patent in part or in whole.</w:t>
      </w:r>
    </w:p>
    <w:p>
      <w:pPr>
        <w:spacing w:after="0" w:line="80" w:lineRule="exact"/>
        <w:rPr>
          <w:sz w:val="20"/>
          <w:szCs w:val="20"/>
          <w:color w:val="auto"/>
        </w:rPr>
      </w:pPr>
    </w:p>
    <w:p>
      <w:pPr>
        <w:spacing w:after="0" w:line="306" w:lineRule="auto"/>
        <w:rPr>
          <w:sz w:val="20"/>
          <w:szCs w:val="20"/>
          <w:color w:val="auto"/>
        </w:rPr>
      </w:pPr>
      <w:r>
        <w:rPr>
          <w:rFonts w:ascii="Arial" w:cs="Arial" w:eastAsia="Arial" w:hAnsi="Arial"/>
          <w:sz w:val="17"/>
          <w:szCs w:val="17"/>
          <w:color w:val="auto"/>
        </w:rPr>
        <w:t>As a result of this legislation, the issuance, scope, validity, enforceability and commercial value of our patent rights, or those of our collaborators, are highly uncertain, which could have an adverse effect on our business, financial condition, results of operations and prospects.</w:t>
      </w:r>
    </w:p>
    <w:p>
      <w:pPr>
        <w:spacing w:after="0" w:line="40" w:lineRule="exact"/>
        <w:rPr>
          <w:sz w:val="20"/>
          <w:szCs w:val="20"/>
          <w:color w:val="auto"/>
        </w:rPr>
      </w:pPr>
    </w:p>
    <w:p>
      <w:pPr>
        <w:ind w:right="640"/>
        <w:spacing w:after="0" w:line="276"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the patents of our licensors or other intellectual property, which could be expensive, time-consuming and unsuccessful.</w:t>
      </w:r>
    </w:p>
    <w:p>
      <w:pPr>
        <w:spacing w:after="0" w:line="6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Competitors may infringe our issued patents, the patents of our licensors or collaborators or other intellectual property. To counter infringement or unauthorized use, we may be required to file infringement claims, which can be expensive, time-consuming and unpredictable. Any claims we assert against perceived infringers could provoke these parties to assert counterclaims against us alleging that we infringe their patents. In addition, in a patent infringement proceeding, a court may decide that a patent of ours or our licensors or collaborators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patents at risk of being or actually invalidated, held unenforceable or</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83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54" w:name="page55"/>
    <w:bookmarkEnd w:id="54"/>
    <w:p>
      <w:pPr>
        <w:jc w:val="both"/>
        <w:ind w:right="80"/>
        <w:spacing w:after="0" w:line="263" w:lineRule="auto"/>
        <w:rPr>
          <w:sz w:val="20"/>
          <w:szCs w:val="20"/>
          <w:color w:val="auto"/>
        </w:rPr>
      </w:pPr>
      <w:r>
        <w:rPr>
          <w:rFonts w:ascii="Arial" w:cs="Arial" w:eastAsia="Arial" w:hAnsi="Arial"/>
          <w:sz w:val="18"/>
          <w:szCs w:val="18"/>
          <w:color w:val="auto"/>
        </w:rPr>
        <w:t>interpreted narrowly. Even if we successfully assert our patents, a court may not award remedies that sufficiently compensate us for our losses. In addition, we may not have sufficient financial or other resources to seek to enforce our patents adequately against perceived infringers, which could have a material and adverse effect on the profitability of our products.</w:t>
      </w:r>
    </w:p>
    <w:p>
      <w:pPr>
        <w:spacing w:after="0" w:line="74"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b w:val="1"/>
          <w:bCs w:val="1"/>
          <w:i w:val="1"/>
          <w:iCs w:val="1"/>
          <w:color w:val="auto"/>
        </w:rPr>
        <w:t>We may need to license intellectual property from third parties and licenses of this nature may not be available or may not be available on commercially reasonable terms.</w:t>
      </w:r>
    </w:p>
    <w:p>
      <w:pPr>
        <w:spacing w:after="0" w:line="6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 third party may hold intellectual property, including patent rights, that are important or necessary to the development of our products or our collaborators’ products. It may, therefore, be necessary for us to use the patented or proprietary technology of a third party to commercialize our own technology or products or those of our collaborators, in which case we or our collaborators would be required to obtain a license from that third party. A license to that intellectual property may not be available or may not be available on commercially reasonable terms, which could have an adverse effect on our business and financial condition.</w:t>
      </w:r>
    </w:p>
    <w:p>
      <w:pPr>
        <w:spacing w:after="0" w:line="81"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The licensing and acquisition of third-party intellectual property rights is a competitive practice. Companies that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larger size and cash resources or greater clinical development and commercialization capabilities. We may not be able to successfully complete such negotiations and ultimately acquire the rights to the intellectual property surrounding the additional product candidates that we may seek to acquire.</w:t>
      </w:r>
    </w:p>
    <w:p>
      <w:pPr>
        <w:spacing w:after="0" w:line="51" w:lineRule="exact"/>
        <w:rPr>
          <w:sz w:val="20"/>
          <w:szCs w:val="20"/>
          <w:color w:val="auto"/>
        </w:rPr>
      </w:pPr>
    </w:p>
    <w:p>
      <w:pPr>
        <w:ind w:right="140"/>
        <w:spacing w:after="0" w:line="276"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have an adverse effect on the success of our business.</w:t>
      </w:r>
    </w:p>
    <w:p>
      <w:pPr>
        <w:spacing w:after="0" w:line="63" w:lineRule="exact"/>
        <w:rPr>
          <w:sz w:val="20"/>
          <w:szCs w:val="20"/>
          <w:color w:val="auto"/>
        </w:rPr>
      </w:pPr>
    </w:p>
    <w:p>
      <w:pPr>
        <w:ind w:right="140"/>
        <w:spacing w:after="0" w:line="278" w:lineRule="auto"/>
        <w:rPr>
          <w:sz w:val="20"/>
          <w:szCs w:val="20"/>
          <w:color w:val="auto"/>
        </w:rPr>
      </w:pPr>
      <w:r>
        <w:rPr>
          <w:rFonts w:ascii="Arial" w:cs="Arial" w:eastAsia="Arial" w:hAnsi="Arial"/>
          <w:sz w:val="17"/>
          <w:szCs w:val="17"/>
          <w:color w:val="auto"/>
        </w:rPr>
        <w:t xml:space="preserve">Our commercial success depends upon our ability and the ability of our collaborators to develop, manufacture, market and sell our product candidates and use our proprietary technologies without infringing the proprietary rights of third parties. There is considerable intellectual property litigation in the biopharmaceutical industry, as well as administrative proceedings for challenging patents, including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or interference proceedings before the USPTO and oppositions and other comparable proceedings in foreign jurisdictions.</w:t>
      </w:r>
    </w:p>
    <w:p>
      <w:pPr>
        <w:spacing w:after="0" w:line="6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 xml:space="preserve">We may become party to or threatened with future adversarial proceedings or litigation regarding intellectual property rights with respect to our products and technology, including derivation,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or interference proceedings before the USPTO. Third parties may assert infringement claims against us based on existing patents or patents that may be granted in the future. As the bio-pharmaceutical industry expands and more patents are issued, the risk increases that our product candidates may give rise to claims of infringement of the patent rights of others. There may be third-party patents of which we are currently unaware with claims to materials, formulations, methods of manufacture or methods for treatment related to the use or manufacture of our drug candidates. Because patent applications can take many years to issue, there may be currently pending patent applications that may later result in issued patents that our product candidates may infringe. In addition, third parties may obtain patents in the future and claim that use of our technologies infringes upon these patents.</w:t>
      </w:r>
    </w:p>
    <w:p>
      <w:pPr>
        <w:spacing w:after="0" w:line="72"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If we are found by a court of competent jurisdiction to infringe a third party’s intellectual property rights, we could be required to obtain a license from the applicable third-party intellectual property holder to continue developing and marketing our products and technology.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72"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i w:val="1"/>
          <w:iCs w:val="1"/>
          <w:color w:val="auto"/>
        </w:rPr>
        <w:t>A number of other companies, as well as universities and other organizations, file and obtain patents in the same areas as our products, which are targeted protein degraders, and these patent filings could be asserted against us or our collaborators in the future, which could have an adverse effect on the success of our business and, if successful, could lead to expensive litigation that could affect the profitability of our products and/or prohibit the sale or use of our products.</w:t>
      </w:r>
    </w:p>
    <w:p>
      <w:pPr>
        <w:spacing w:after="0" w:line="80"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Our MonoDAC and BiDAC product candidates are small molecule pharmaceuticals, which degrade specific proteins. A number of companies and institutions have patent applications and issued patents in this general area, such as, for example, Arvinas, Inc., Cullgen, Inc., Kymera Therapeutics, LLC., the Dana-Farber Cancer Institute and its Center for Protein Degradation, the University of Michigan School of Medicine, Roivant Sciences, Ltd., Foghorn Therapeutics, Inc., Nurix Therapeutics, Inc., Monta Rosa Therapeutics, AG, BioTheryX, Inc., Bristol Myers Squibb, Roche, Novartis AG, Amgen Inc., AstraZeneca PLC, GlaxoSmithKline PLC, Vertex Pharmaceuticals, Inc. and others. If any of these companies or institutions or others not included in this list were to assert that one of its patents is infringed by any product we might develop or its use or manufacture, we or our collaborators may be drawn into expensive litigation, which could adversely affect our business prospects, financial condition and results of operations, require extensive time from and cause the distraction of members of our management team and employees at large. Further, if litigation of this nature were successful, that could have a material and adverse effect on the profitability of our products or prohibit their sale. We may not be aware of patent claims that are currently or may in the future be pending that could affect our business or products. Patent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83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55" w:name="page56"/>
    <w:bookmarkEnd w:id="55"/>
    <w:p>
      <w:pPr>
        <w:ind w:right="80"/>
        <w:spacing w:after="0" w:line="289" w:lineRule="auto"/>
        <w:rPr>
          <w:sz w:val="20"/>
          <w:szCs w:val="20"/>
          <w:color w:val="auto"/>
        </w:rPr>
      </w:pPr>
      <w:r>
        <w:rPr>
          <w:rFonts w:ascii="Arial" w:cs="Arial" w:eastAsia="Arial" w:hAnsi="Arial"/>
          <w:sz w:val="16"/>
          <w:szCs w:val="16"/>
          <w:color w:val="auto"/>
        </w:rPr>
        <w:t>applications are typically published between six and eighteen months from filing and the presentation of new claims in already pending applications can sometimes not be visible to the public, which would include us, for a period of time. In addition, even after a patent application is publicly available, we may not yet have seen that patent application and may, therefore, not be aware of the claims or scope of filed and published patent applications. As a result, we cannot provide any assurance that a third party practicing in the general area of our technology will not present or has not presented a patent claim that covers one or more of our products or their methods of use or manufacture. If that were to occur, we or our collaborators, as applicable, may have to take steps to try to invalidate the applicable patent or application and, in a situation of that nature, we or our collaborators may either choose not to do so or our attempt may not be successful. If we determine that we require a license to a third party’s patent or patent application, we may discover that a license may not be available on reasonable terms, or at all, which could prevent us or our collaborators from selling a product or using our proprietary technologies.</w:t>
      </w:r>
    </w:p>
    <w:p>
      <w:pPr>
        <w:spacing w:after="0" w:line="5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Our products are subject to The Drug Price Competition and Patent Term Restoration Act of 1984, which is also referred to as the Hatch Waxman Act, in the United States, which can increase the risk of litigation with generic companies trying to sell our products and may cause us to lose patent protection.</w:t>
      </w:r>
    </w:p>
    <w:p>
      <w:pPr>
        <w:spacing w:after="0" w:line="7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Because our clinical candidates are pharmaceutical molecules that will be reviewed by the Center for Drug Evaluation and Research of the FDA, after commercialization they will be subject in the United States to the patent litigation process of the Hatch-Waxman Act, as amended to date, which allows a generic company to submit an Abbreviated New Drug Application, or ANDA, to the FDA to obtain approval to sell a generic version of our drug using bioequivalence data only. Under amendments made to the Hatch-Waxman Act, we will have the opportunity to list our patents that cover our drug products or their respective methods of use in the FDA’s compendium of “Approved Drug Products with Therapeutic Equivalence Evaluation,” sometimes referred to as the FDA’s Orange Book.</w:t>
      </w:r>
    </w:p>
    <w:p>
      <w:pPr>
        <w:spacing w:after="0" w:line="81"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Currently, in the United States, the FDA may grant five years of exclusivity for new chemical entities, or NCEs, which are drugs that contain no active portion that has been approved by the FDA in any other new drug application, or NDA. We expect that all of our products will qualify as NCEs; however, the FDA will not conduct an assessment for NCE status until it is reviewing a marketing application for that drug. A generic company can submit an ANDA to the FDA four years after approval of any of our drug products. The submission of an ANDA by a generic company is considered a technical act of patent infringement. The generic company can certify that it will wait until the natural expiration date of our listed patents to sell a generic version of our product or can certify that one or more of our listed patents are invalid, unenforceable or not infringed. If the generic manufacturer elects the latter, we will have 45 days to bring a patent infringement lawsuit against the generic company. If we were to do so, that would likely initiate a challenge to one or more of our Orange Book listed patents based on arguments from the generic manufacturer that our listed patents are invalid, unenforceable or not infringed. Under amendments to the Hatch-Waxman Act, if a lawsuit is brought, the FDA is prevented from issuing a final approval on the generic drug until 30 months after the end of the data exclusivity period (7.5 years) or a final decision of a court holding that our asserted patent claims are invalid, unenforceable or not infringed. If we do not properly list our relevant patents in the Orange Book or if we fail to file a lawsuit in response to a certification from a generic company under an ANDA in a timely manner, or if we do not prevail in the resulting patent litigation, we can lose our ability to benefit from a proprietary market based on patent protection covering our drug products and we may find that physicians will switch to prescribing and dispensing generic versions of our drug products. Further, even if we were to list our relevant patents in the Orange Book correctly, bring a lawsuit in a timely manner and prevail in that lawsuit, the generic litigation may come at a significant cost to us, both in terms of attorneys’ fees and employee time and distraction over a long period. Further, it is common for more than one generic company to try to sell an innovator’s drug at the same time and, as a result, we may face the cost and distraction of multiple lawsuits from generic manufacturers at the same time. We may also determine that it is necessary to settle these types of lawsuits in a manner that allows the generic company to enter our market prior to the expiration of our patent or otherwise in a manner that adversely affects the strength, validity or enforceability of our patents.</w:t>
      </w:r>
    </w:p>
    <w:p>
      <w:pPr>
        <w:spacing w:after="0" w:line="86" w:lineRule="exact"/>
        <w:rPr>
          <w:sz w:val="20"/>
          <w:szCs w:val="20"/>
          <w:color w:val="auto"/>
        </w:rPr>
      </w:pPr>
    </w:p>
    <w:p>
      <w:pPr>
        <w:ind w:right="20"/>
        <w:spacing w:after="0" w:line="326" w:lineRule="auto"/>
        <w:rPr>
          <w:sz w:val="20"/>
          <w:szCs w:val="20"/>
          <w:color w:val="auto"/>
        </w:rPr>
      </w:pPr>
      <w:r>
        <w:rPr>
          <w:rFonts w:ascii="Arial" w:cs="Arial" w:eastAsia="Arial" w:hAnsi="Arial"/>
          <w:sz w:val="15"/>
          <w:szCs w:val="15"/>
          <w:b w:val="1"/>
          <w:bCs w:val="1"/>
          <w:i w:val="1"/>
          <w:iCs w:val="1"/>
          <w:color w:val="auto"/>
        </w:rPr>
        <w:t>A number of pharmaceutical companies have been the subject of intense review by the U.S. Federal Trade Commission or a corresponding agency in another country based on how they have conducted or settled patent litigation related to pharmaceutical products. In fact, certain reviews have led to an allegation of an anti-trust violation, sometimes resulting in a fine or loss of rights. We cannot be sure that we would not also be subject to a review of this nature or that the result of a review of this nature would be favorable to us, or that any review of this nature would not result in a fine or penalty.</w:t>
      </w:r>
    </w:p>
    <w:p>
      <w:pPr>
        <w:spacing w:after="0" w:line="3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The U.S. Federal Trade Commission, or FTC, has brought a number of lawsuits in federal court in the past few years to challenge ANDA litigation settlements reached between innovator companies and generic companies as anti-competitive. As an example, the FTC has taken an aggressive position that anything of value is a payment, whether money is paid or not. Under their approach, if an innovator, as part of a patent settlement, agrees not to launch or delay its launch of an authorized generic during the 180-day period granted to the first generic company to challenge an Orange Book listed patent covering an innovator drug, or negotiates a delay in entry without payment, the FTC may consider it an unacceptable reverse payment. Companies in the pharmaceutical industry have argued that these types of agreements are rational business decisions entered into by drug innovators as a way to address risk and that these settlements should, therefore, be immune from antitrust attack if the terms of the settlement are within the scope of the exclusionary potential of the patent. In 2013, the U.S. Supreme Court in a five-to-three decision in </w:t>
      </w:r>
      <w:r>
        <w:rPr>
          <w:rFonts w:ascii="Arial" w:cs="Arial" w:eastAsia="Arial" w:hAnsi="Arial"/>
          <w:sz w:val="17"/>
          <w:szCs w:val="17"/>
          <w:i w:val="1"/>
          <w:iCs w:val="1"/>
          <w:color w:val="auto"/>
        </w:rPr>
        <w:t>FTC v. Actavis, Inc.</w:t>
      </w:r>
      <w:r>
        <w:rPr>
          <w:rFonts w:ascii="Arial" w:cs="Arial" w:eastAsia="Arial" w:hAnsi="Arial"/>
          <w:sz w:val="17"/>
          <w:szCs w:val="17"/>
          <w:color w:val="auto"/>
        </w:rPr>
        <w:t xml:space="preserve"> rejected both the pharmaceutical industry’s and FTC’s arguments with regard to so-called reverse payments. Instead, the Supreme Court held that whether a “reverse payment” settlement involving the exchange of consideration for a delay in entry is subject to an anti-competitive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83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6" w:name="page57"/>
    <w:bookmarkEnd w:id="56"/>
    <w:p>
      <w:pPr>
        <w:spacing w:after="0" w:line="289" w:lineRule="auto"/>
        <w:rPr>
          <w:sz w:val="20"/>
          <w:szCs w:val="20"/>
          <w:color w:val="auto"/>
        </w:rPr>
      </w:pPr>
      <w:r>
        <w:rPr>
          <w:rFonts w:ascii="Arial" w:cs="Arial" w:eastAsia="Arial" w:hAnsi="Arial"/>
          <w:sz w:val="16"/>
          <w:szCs w:val="16"/>
          <w:color w:val="auto"/>
        </w:rPr>
        <w:t xml:space="preserve">analysis depends on five considerations: (a) the potential for genuine adverse effects on competition; (b) the justification of payment; (c) the patentee’s ability to bring about anti-competitive harm; (d) whether the size of the payment is a workable surrogate for the patent’s weakness; and (e) that antitrust liability for large unjustified payments does not prevent litigating parties from settling their lawsuits, for example, by allowing the generic drug to enter the market before the patent expires on the branded drug without the patentee paying the generic manufacturer. Further, whether a reverse payment is justified depends upon its size, scale in relation to the patentee’s anticipated future litigation costs, and independence from other services for which it might represent payment (as was the case in </w:t>
      </w:r>
      <w:r>
        <w:rPr>
          <w:rFonts w:ascii="Arial" w:cs="Arial" w:eastAsia="Arial" w:hAnsi="Arial"/>
          <w:sz w:val="16"/>
          <w:szCs w:val="16"/>
          <w:i w:val="1"/>
          <w:iCs w:val="1"/>
          <w:color w:val="auto"/>
        </w:rPr>
        <w:t>Actavis</w:t>
      </w:r>
      <w:r>
        <w:rPr>
          <w:rFonts w:ascii="Arial" w:cs="Arial" w:eastAsia="Arial" w:hAnsi="Arial"/>
          <w:sz w:val="16"/>
          <w:szCs w:val="16"/>
          <w:color w:val="auto"/>
        </w:rPr>
        <w:t>), as well as the lack of any other convincing justification. The Supreme Court instead held that reverse payment settlements can potentially violate antitrust laws and are subject to the standard antitrust rule-of-reason analysis, with the burden of proving that an agreement is unlawful on the FTC. In reaching this decision, the Supreme Court left to the lower courts the structuring of this rule of reason analysis.</w:t>
      </w:r>
    </w:p>
    <w:p>
      <w:pPr>
        <w:spacing w:after="0" w:line="59"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If we are faced with drug patent litigation, including Hatch-Waxman litigation with a generic company, we could be faced with an FTC challenge of this nature, which challenge could impact how or whether we settle the case and, even if we strongly disagree with the FTC’s position, we could face a significant expense or penalty. Any litigation settlements we enter into with generic companies under the Hatch-Waxman Act could also be challenged by third-party payors such as insurance companies, direct purchasers or others who consider themselves adversely affected by the settlement. These kinds of follow-on lawsuits, which may be class action suits, can be expensive and can continue over multiple years. If we were to face lawsuits of this nature, we may not be successful in defeating these claims and we may, therefore, be subject to large payment obligations, which we may not be able to satisfy in whole or in part.</w:t>
      </w:r>
    </w:p>
    <w:p>
      <w:pPr>
        <w:spacing w:after="0" w:line="83" w:lineRule="exact"/>
        <w:rPr>
          <w:sz w:val="20"/>
          <w:szCs w:val="20"/>
          <w:color w:val="auto"/>
        </w:rPr>
      </w:pPr>
    </w:p>
    <w:p>
      <w:pPr>
        <w:ind w:right="320"/>
        <w:spacing w:after="0" w:line="306" w:lineRule="auto"/>
        <w:rPr>
          <w:sz w:val="20"/>
          <w:szCs w:val="20"/>
          <w:color w:val="auto"/>
        </w:rPr>
      </w:pPr>
      <w:r>
        <w:rPr>
          <w:rFonts w:ascii="Arial" w:cs="Arial" w:eastAsia="Arial" w:hAnsi="Arial"/>
          <w:sz w:val="17"/>
          <w:szCs w:val="17"/>
          <w:b w:val="1"/>
          <w:bCs w:val="1"/>
          <w:i w:val="1"/>
          <w:iCs w:val="1"/>
          <w:color w:val="auto"/>
        </w:rPr>
        <w:t>We may not be able to obtain patent term extension under the Drug Price Competition and Patent Term Restoration Act of 1984 in the United States and, as a result, our product candidates, if approved, may not have patent protection for a sufficient period.</w:t>
      </w:r>
    </w:p>
    <w:p>
      <w:pPr>
        <w:spacing w:after="0" w:line="40"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In the United States, the Drug Price Competition and Patent Term Restoration Act of 1984 permits one patent term extension of up to five years beyond the normal expiration of one patent per product, which if related to a method of treatment patent, is limited to the approved indication. The length of the patent term extension is typically calculated as one-half of the clinical trial period plus the entire period of time during the review of the NDA by the FDA, minus any time of delay by us during these periods. There is also a limit on the patent term extension to a term that is no greater than fourteen years from drug approval. Therefore, if we select and are granted a patent term extension on a recently filed and issued patent, we may not receive the full benefit of a possible patent term extension, if at all. We might also not be granted a patent term extension at all, because of, for example, our failure to apply within the applicable period, failure to apply prior to the expiration of relevant patents or other failure to satisfy any of the numerous applicable requirements. Moreover, the applicable authorities, including the FDA and the USPTO in the United States and any equivalent regulatory authority in other countries, may not agree with our assessment of whether extensions of this nature are available and may refuse to grant extensions to our patents or may grant more limited extensions than we request. If this occurs, our competitors may be able to obtain approval of competing products following our patent expiration by referencing our clinical and preclinical data and launch their product earlier than might otherwise be the case. If this were to occur, it could have an adverse effect on our ability to generate product revenue.</w:t>
      </w:r>
    </w:p>
    <w:p>
      <w:pPr>
        <w:spacing w:after="0" w:line="7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1997, as part of the Food &amp; Drug Administration Modernization Act, or FDAMA, Congress enacted a law that provides incentives to drug manufacturers who conduct studies of drugs in children. The law, which provides six-months exclusivity in return for conducting pediatric studies, is referred to as the “pediatric exclusivity provision.” If we were to conduct clinical trials that comply with the FDAMA, we could receive an additional six-month term added to our regulatory data exclusivity period and on the patent term extension period, if received, on our product. However, if we choose not to carry out pediatric studies that comply with the FDAMA, or carry out studies that are not accepted by the FDA for this purpose, we would not receive this additional six-month exclusivity extension to our data exclusivity or our patent term extension.</w:t>
      </w:r>
    </w:p>
    <w:p>
      <w:pPr>
        <w:spacing w:after="0" w:line="67"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In Europe, supplementary protection certificates are available to extend a patent term up to five years to compensate for patent term lost during regulatory review, and this period can be extended to five and a half years if data from clinical trials is obtained in accordance with an agreed Pediatric Investigation Plan. Although all countries in Europe must provide supplementary protection certificates, there is no unified legislation among European countries and, as a result, drug developers must apply for supplementary protection certificates on a country-by-country basis. As a result, a company may need to expend significant resources to apply for and receive these certificates in all relevant countries and may receive them in some, but not all, countries, if at all.</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Weakening patent laws and enforcement by courts in the United States and foreign countries may impact our ability to protect our markets.</w:t>
      </w:r>
    </w:p>
    <w:p>
      <w:pPr>
        <w:spacing w:after="0" w:line="139"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The U.S. Supreme Court has issued opinions in patent cases in the last few years that many consider may weaken patent protection in the United States, either by narrowing the scope of patent protection available in certain circumstances, holding that certain kinds of innovations are not patentable or generally otherwise making it easier to invalidate patents in court. Additionally, there have been recent proposals for additional changes to the patent laws of the United States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83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7" w:name="page58"/>
    <w:bookmarkEnd w:id="57"/>
    <w:p>
      <w:pPr>
        <w:spacing w:after="0" w:line="254" w:lineRule="auto"/>
        <w:rPr>
          <w:sz w:val="20"/>
          <w:szCs w:val="20"/>
          <w:color w:val="auto"/>
        </w:rPr>
      </w:pPr>
      <w:r>
        <w:rPr>
          <w:rFonts w:ascii="Arial" w:cs="Arial" w:eastAsia="Arial" w:hAnsi="Arial"/>
          <w:sz w:val="18"/>
          <w:szCs w:val="18"/>
          <w:color w:val="auto"/>
        </w:rPr>
        <w:t>The laws of some foreign jurisdictions do not protect intellectual property rights to the same extent as in the United States and many companies have encountered significant difficulties in protecting and defending such rights in foreign jurisdictions. If we encounter such difficulties in protecting or are otherwise precluded from effectively protecting our intellectual property rights in foreign jurisdictions, our business prospects could be substantially harmed. For example, we could become a party to foreign opposition proceedings, such as at the European Patent Office, or patent litigation and other proceedings in a foreign court. If so, uncertainties resulting from the initiation and continuation of such proceedings could have an adverse effect on our ability to compete in the marketplace. The cost of foreign adversarial proceedings can also be substantial, and in many foreign jurisdictions, the losing party must pay the attorney fees of the winning party.</w:t>
      </w:r>
    </w:p>
    <w:p>
      <w:pPr>
        <w:spacing w:after="0" w:line="83" w:lineRule="exact"/>
        <w:rPr>
          <w:sz w:val="20"/>
          <w:szCs w:val="20"/>
          <w:color w:val="auto"/>
        </w:rPr>
      </w:pPr>
    </w:p>
    <w:p>
      <w:pPr>
        <w:ind w:right="400"/>
        <w:spacing w:after="0" w:line="306" w:lineRule="auto"/>
        <w:rPr>
          <w:sz w:val="20"/>
          <w:szCs w:val="20"/>
          <w:color w:val="auto"/>
        </w:rPr>
      </w:pPr>
      <w:r>
        <w:rPr>
          <w:rFonts w:ascii="Arial" w:cs="Arial" w:eastAsia="Arial" w:hAnsi="Arial"/>
          <w:sz w:val="17"/>
          <w:szCs w:val="17"/>
          <w:b w:val="1"/>
          <w:bCs w:val="1"/>
          <w:i w:val="1"/>
          <w:iCs w:val="1"/>
          <w:color w:val="auto"/>
        </w:rPr>
        <w:t>We may be subject to claims by third parties asserting that we, our employees, consultants or contractors have misappropriated the applicable third party’s intellectual property or claiming ownership of what we regard as our own intellectual property.</w:t>
      </w:r>
    </w:p>
    <w:p>
      <w:pPr>
        <w:spacing w:after="0" w:line="4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employ individuals who were previously employed at universities as well as other biotechnology or pharmaceutical companies, including our competitors or potential competitors. We have received confidential and proprietary information from collaborators, prospective licensees and other third parties. Although we try to ensure that our employees do not use the proprietary information or know-how of others in their work for us, we may be subject to claims that these employees or we have used or disclosed intellectual property, including trade secrets or other proprietary information, of any such employee’s former employer. We may also be subject to claims that former employers or other third parties have an ownership interest in our patents. Litigation may be necessary to defend against these claims. We may not be successful in defending these claims, and if we fail in defending any such claims, in addition to paying monetary damages, we may lose valuable intellectual property rights, such as exclusive ownership of or right to use valuable intellectual property. Even if we are successful, litigation could result in substantial cost and reputational loss and be a distraction to our management and other employees.</w:t>
      </w:r>
    </w:p>
    <w:p>
      <w:pPr>
        <w:spacing w:after="0" w:line="8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addition, while it is our policy to require our employees, consultants and contractors who may be involved in the development of intellectual property to execute agreements assigning any resulting intellectual property to us, we may be unsuccessful in executing an agreement to that effect with each party who in fact develops intellectual property that we regard as our own. Assignment agreements of this nature may not be self-executing or may be breached and we may be forced to bring claims against third parties or defend claims they may bring against us, to determine the ownership of what we regard as our intellectual property. In addition, an employee or contractor could create an invention but not inform us of it, in which case we could lose the benefit of the invention and the employee or contractor may leave to develop the invention elsewhere.</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 litigation could cause us to spend substantial resources and distract our personnel from their normal responsibilities.</w:t>
      </w:r>
    </w:p>
    <w:p>
      <w:pPr>
        <w:spacing w:after="0" w:line="12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Litigation or proceedings of this nature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litigation or proceedings of this nature more effectively than we can because of their greater financial resources. Uncertainties resulting from the initiation and continuation of patent litigation or other proceedings could compromise our ability to compete in the marketplace.</w:t>
      </w:r>
    </w:p>
    <w:p>
      <w:pPr>
        <w:spacing w:after="0" w:line="72" w:lineRule="exact"/>
        <w:rPr>
          <w:sz w:val="20"/>
          <w:szCs w:val="20"/>
          <w:color w:val="auto"/>
        </w:rPr>
      </w:pPr>
    </w:p>
    <w:p>
      <w:pPr>
        <w:ind w:right="200"/>
        <w:spacing w:after="0" w:line="374" w:lineRule="auto"/>
        <w:rPr>
          <w:sz w:val="20"/>
          <w:szCs w:val="20"/>
          <w:color w:val="auto"/>
        </w:rPr>
      </w:pPr>
      <w:r>
        <w:rPr>
          <w:rFonts w:ascii="Arial" w:cs="Arial" w:eastAsia="Arial" w:hAnsi="Arial"/>
          <w:sz w:val="15"/>
          <w:szCs w:val="15"/>
          <w:b w:val="1"/>
          <w:bCs w:val="1"/>
          <w:i w:val="1"/>
          <w:iCs w:val="1"/>
          <w:color w:val="auto"/>
        </w:rPr>
        <w:t>Obtaining and maintaining patent protection depends on compliance with various procedural, documentary, fee payment and other requirements imposed by governmental patent offices and the protection of our patents could be reduced or eliminated if we fail to comply with these requirements.</w:t>
      </w:r>
    </w:p>
    <w:p>
      <w:pPr>
        <w:spacing w:after="0" w:line="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Periodic maintenance fees on any issued patent are due to be paid to the USPTO and patent offices in foreign countries in several stages over the lifetime of the patent. The USPTO and patent offices in foreign countries require compliance with many procedural, documentary, fee payment and other requirements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a patent or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an adverse effect on our business.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addition to seeking patents for some of our technology and product candidates,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These agreements may</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83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58" w:name="page59"/>
    <w:bookmarkEnd w:id="58"/>
    <w:p>
      <w:pPr>
        <w:spacing w:after="0" w:line="268" w:lineRule="auto"/>
        <w:rPr>
          <w:sz w:val="20"/>
          <w:szCs w:val="20"/>
          <w:color w:val="auto"/>
        </w:rPr>
      </w:pPr>
      <w:r>
        <w:rPr>
          <w:rFonts w:ascii="Arial" w:cs="Arial" w:eastAsia="Arial" w:hAnsi="Arial"/>
          <w:sz w:val="17"/>
          <w:szCs w:val="17"/>
          <w:color w:val="auto"/>
        </w:rPr>
        <w:t>not effectively prevent disclosure of confidential information nor result in the effective assignment to us of intellectual property and may not provide an adequate remedy in the event of unauthorized disclosure of confidential information or other breaches of the agreements. In addition, others may independently discover our trade secrets and proprietary information. In that case, we could not assert any trade secret rights against that third party.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of a dispute of this nature is inherently unpredictable. Costly and time-consuming litigation could be necessary to seek to enforce and determine the scope of our proprietary rights and our failure to obtain or maintain trade secret protection could adversely affect our competitive business position. In addition, some courts outside of the United States are less willing or unwilling to protect trade secrets. The Defend Trade Secrets Act of 2016 is a U.S. federal law that allows an owner of a trade secret to sue in federal court when its trade secret has been misappropriated. Congress passed this law in an attempt to strengthen the rights of trade secret owners whose valuable assets are taken without authorization. If any of our trade secrets were to be lawfully obtained or independently developed by a competitor, we would have no right to prevent them, or those to whom they communicate them, from using that technology or information to compete with us. If any of our trade secrets were to be disclosed to or independently developed by a competitor, our competitive position would be harmed.</w:t>
      </w:r>
    </w:p>
    <w:p>
      <w:pPr>
        <w:spacing w:after="0" w:line="72" w:lineRule="exact"/>
        <w:rPr>
          <w:sz w:val="20"/>
          <w:szCs w:val="20"/>
          <w:color w:val="auto"/>
        </w:rPr>
      </w:pPr>
    </w:p>
    <w:p>
      <w:pPr>
        <w:ind w:right="320"/>
        <w:spacing w:after="0" w:line="276" w:lineRule="auto"/>
        <w:rPr>
          <w:sz w:val="20"/>
          <w:szCs w:val="20"/>
          <w:color w:val="auto"/>
        </w:rPr>
      </w:pPr>
      <w:r>
        <w:rPr>
          <w:rFonts w:ascii="Arial" w:cs="Arial" w:eastAsia="Arial" w:hAnsi="Arial"/>
          <w:sz w:val="18"/>
          <w:szCs w:val="18"/>
          <w:b w:val="1"/>
          <w:bCs w:val="1"/>
          <w:i w:val="1"/>
          <w:iCs w:val="1"/>
          <w:color w:val="auto"/>
        </w:rPr>
        <w:t>We only have limited geographical protection with respect to certain of our patents and we may not be able to protect our intellectual property rights throughout the world.</w:t>
      </w:r>
    </w:p>
    <w:p>
      <w:pPr>
        <w:spacing w:after="0" w:line="6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Filing, prosecuting and defending patents covering our product candidates in all countries throughout the world would be prohibitively expensive. As a result, our intellectual property rights in some countries outside the United States can be less extensive than the protection we might have in the United States. In-licensing patents covering our product candidates in all countries throughout the world may similarly be prohibitively expensive, if these in-licensing opportunities are available to us at all. Further, in-licensing or filing, prosecuting and defending patents even in only those jurisdictions in which we develop or commercialize our product candidates may be prohibitively expensive or impractical. Competitors may use our and our licensors’ technologies in jurisdictions where we have not obtained patent protection or licensed patents to develop their own products and, further, may export otherwise infringing products to territories where we and our licensors have patent protection, but enforcement is not as strong as that in the United States or the European Union. These products may compete with our product candidates, and our or our licensors’ patents or other intellectual property rights may not be effective or sufficient to prevent them from competing.</w:t>
      </w:r>
    </w:p>
    <w:p>
      <w:pPr>
        <w:spacing w:after="0" w:line="75"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In addition, we may decide to abandon national and regional patent applications while they are still pending. The grant proceeding of each national or regional patent is an independent proceeding that may lead to situations in which applications may be rejected by the relevant patent office, while substantively similar applications are granted by others. For example, relative to other countries, China has a heightened detailed description requirement for patentability. Further, generic drug manufacturers or other competitors may challenge the scope, validity or enforceability of our or our licensors’ patents, requiring us or our licensors to engage in complex, lengthy and costly litigation or other proceedings. Generic drug manufacturers may develop, seek approval for and launch generic versions of our products. It is also quite common that depending on the country, the scope of patent protection may vary for the same product candidate or technology.</w:t>
      </w:r>
    </w:p>
    <w:p>
      <w:pPr>
        <w:spacing w:after="0" w:line="7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laws of some jurisdictions do not protect intellectual property rights to the same extent as the laws or regulations in the United States and the European Union, and many companies have encountered significant difficulties in protecting and defending proprietary rights in such jurisdictions. Moreover, the legal systems of certain countries, particularly certain developing countries, do not favor the enforcement of patents, trade secrets or other forms of intellectual property, which could make it difficult for us to prevent competitors in some jurisdictions from marketing competing products in violation of our proprietary rights generally.</w:t>
      </w:r>
    </w:p>
    <w:p>
      <w:pPr>
        <w:spacing w:after="0" w:line="8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Proceedings to enforce our patent rights in foreign jurisdictions, whether or not successful, are likely to result in substantial costs and divert our efforts and attention from other aspects of our business and could additionally put our or our licensors’ patents at risk of being invalidated or interpreted narrowly, could increase the risk of our or our licensors’ patent applications not issuing or could provoke third parties to assert claims against us. We may not prevail in any lawsuits that we initiate, while damages or other remedies may be awarded to the adverse party, which may be commercially significant. If we prevail, damages or other remedies awarded to us, if any, may not be commercially meaningful. Accordingly, our efforts to enforce our intellectual property rights around the world may be inadequate to obtain a significant commercial advantage from the intellectual property that we develop or license. Further, 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these countries may be inadequate, which may have an adverse effect on our ability to successfully commercialize our product candidates in all of our expected significant foreign markets.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in those jurisdictions.</w:t>
      </w:r>
    </w:p>
    <w:p>
      <w:pPr>
        <w:spacing w:after="0" w:line="74"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In some jurisdictions, compulsory licensing laws compel patent owners to grant licenses to third parties. In addition, some countries limit the enforceability of patents against government agencies or government contractors. In these countries, the patent owner may have limited remedies, which could materially diminish the value of such patent. If we or any of our licensors are forced to grant a</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83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9" w:name="page60"/>
    <w:bookmarkEnd w:id="59"/>
    <w:p>
      <w:pPr>
        <w:ind w:right="220"/>
        <w:spacing w:after="0" w:line="276" w:lineRule="auto"/>
        <w:rPr>
          <w:sz w:val="20"/>
          <w:szCs w:val="20"/>
          <w:color w:val="auto"/>
        </w:rPr>
      </w:pPr>
      <w:r>
        <w:rPr>
          <w:rFonts w:ascii="Arial" w:cs="Arial" w:eastAsia="Arial" w:hAnsi="Arial"/>
          <w:sz w:val="18"/>
          <w:szCs w:val="18"/>
          <w:color w:val="auto"/>
        </w:rPr>
        <w:t>license to third parties under patents relevant to our business, or if we or our licensors are prevented from enforcing patent rights against third parties, our competitive position may be substantially impaired in such jurisdictions.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matters</w:t>
      </w:r>
    </w:p>
    <w:p>
      <w:pPr>
        <w:spacing w:after="0" w:line="120" w:lineRule="exact"/>
        <w:rPr>
          <w:sz w:val="20"/>
          <w:szCs w:val="20"/>
          <w:color w:val="auto"/>
        </w:rPr>
      </w:pPr>
    </w:p>
    <w:p>
      <w:pPr>
        <w:ind w:right="140"/>
        <w:spacing w:after="0" w:line="341" w:lineRule="auto"/>
        <w:rPr>
          <w:sz w:val="20"/>
          <w:szCs w:val="20"/>
          <w:color w:val="auto"/>
        </w:rPr>
      </w:pPr>
      <w:r>
        <w:rPr>
          <w:rFonts w:ascii="Arial" w:cs="Arial" w:eastAsia="Arial" w:hAnsi="Arial"/>
          <w:sz w:val="16"/>
          <w:szCs w:val="16"/>
          <w:b w:val="1"/>
          <w:bCs w:val="1"/>
          <w:i w:val="1"/>
          <w:iCs w:val="1"/>
          <w:color w:val="auto"/>
        </w:rPr>
        <w:t>The regulatory approval processes of the FDA and foreign regulatory authorities are lengthy, time-consuming and inherently unpredictable and, if we are ultimately unable to obtain marketing approval for our product candidates, our business will be substantially harmed.</w:t>
      </w:r>
    </w:p>
    <w:p>
      <w:pPr>
        <w:spacing w:after="0" w:line="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time required to obtain approval by the FDA and foreign regulatory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marketing approval for any product candidate and it is possible that none of our existing product candidates, or any product candidates we may seek to develop in the future (independently or with one of our collaboration partners), will ever obtain marketing approval.</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Our product candidates could fail to receive marketing approval for many reasons, including the following:</w:t>
      </w:r>
    </w:p>
    <w:p>
      <w:pPr>
        <w:spacing w:after="0" w:line="224" w:lineRule="exact"/>
        <w:rPr>
          <w:sz w:val="20"/>
          <w:szCs w:val="20"/>
          <w:color w:val="auto"/>
        </w:rPr>
      </w:pPr>
    </w:p>
    <w:p>
      <w:pPr>
        <w:ind w:left="540" w:hanging="263"/>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FDA may disagree with the design or implementation of our clinical trials;</w:t>
      </w:r>
    </w:p>
    <w:p>
      <w:pPr>
        <w:spacing w:after="0" w:line="224" w:lineRule="exact"/>
        <w:rPr>
          <w:rFonts w:ascii="Arial" w:cs="Arial" w:eastAsia="Arial" w:hAnsi="Arial"/>
          <w:sz w:val="18"/>
          <w:szCs w:val="18"/>
          <w:color w:val="auto"/>
        </w:rPr>
      </w:pPr>
    </w:p>
    <w:p>
      <w:pPr>
        <w:ind w:left="540" w:hanging="263"/>
        <w:spacing w:after="0"/>
        <w:tabs>
          <w:tab w:leader="none" w:pos="5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we may be unable to demonstrate to the satisfaction of the FDA that a product candidate is safe and effective for its proposed indication;</w:t>
      </w:r>
    </w:p>
    <w:p>
      <w:pPr>
        <w:spacing w:after="0" w:line="235" w:lineRule="exact"/>
        <w:rPr>
          <w:rFonts w:ascii="Arial" w:cs="Arial" w:eastAsia="Arial" w:hAnsi="Arial"/>
          <w:sz w:val="17"/>
          <w:szCs w:val="17"/>
          <w:color w:val="auto"/>
        </w:rPr>
      </w:pPr>
    </w:p>
    <w:p>
      <w:pPr>
        <w:ind w:left="540" w:hanging="263"/>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results of clinical trials may not meet the level of statistical significance required by the FDA for approval;</w:t>
      </w:r>
    </w:p>
    <w:p>
      <w:pPr>
        <w:spacing w:after="0" w:line="224" w:lineRule="exact"/>
        <w:rPr>
          <w:rFonts w:ascii="Arial" w:cs="Arial" w:eastAsia="Arial" w:hAnsi="Arial"/>
          <w:sz w:val="18"/>
          <w:szCs w:val="18"/>
          <w:color w:val="auto"/>
        </w:rPr>
      </w:pPr>
    </w:p>
    <w:p>
      <w:pPr>
        <w:ind w:left="540" w:hanging="263"/>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224" w:lineRule="exact"/>
        <w:rPr>
          <w:rFonts w:ascii="Arial" w:cs="Arial" w:eastAsia="Arial" w:hAnsi="Arial"/>
          <w:sz w:val="18"/>
          <w:szCs w:val="18"/>
          <w:color w:val="auto"/>
        </w:rPr>
      </w:pPr>
    </w:p>
    <w:p>
      <w:pPr>
        <w:ind w:left="540" w:hanging="263"/>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FDA may disagree with our interpretation of data from preclinical studies or clinical trials;</w:t>
      </w:r>
    </w:p>
    <w:p>
      <w:pPr>
        <w:spacing w:after="0" w:line="223" w:lineRule="exact"/>
        <w:rPr>
          <w:rFonts w:ascii="Arial" w:cs="Arial" w:eastAsia="Arial" w:hAnsi="Arial"/>
          <w:sz w:val="18"/>
          <w:szCs w:val="18"/>
          <w:color w:val="auto"/>
        </w:rPr>
      </w:pPr>
    </w:p>
    <w:p>
      <w:pPr>
        <w:ind w:left="540" w:right="700" w:hanging="263"/>
        <w:spacing w:after="0" w:line="276"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data collected from clinical trials of our product candidates may not be sufficient to support the submission of an NDA to the FDA or other submission or to obtain marketing approval in the United States;</w:t>
      </w:r>
    </w:p>
    <w:p>
      <w:pPr>
        <w:spacing w:after="0" w:line="170" w:lineRule="exact"/>
        <w:rPr>
          <w:rFonts w:ascii="Arial" w:cs="Arial" w:eastAsia="Arial" w:hAnsi="Arial"/>
          <w:sz w:val="18"/>
          <w:szCs w:val="18"/>
          <w:color w:val="auto"/>
        </w:rPr>
      </w:pPr>
    </w:p>
    <w:p>
      <w:pPr>
        <w:ind w:left="540" w:right="80" w:hanging="263"/>
        <w:spacing w:after="0" w:line="276"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FDA may find deficiencies with or fail to approve the manufacturing processes or facilities of third-party manufacturers with which we contract for clinical and commercial supplies; and</w:t>
      </w:r>
    </w:p>
    <w:p>
      <w:pPr>
        <w:spacing w:after="0" w:line="170" w:lineRule="exact"/>
        <w:rPr>
          <w:rFonts w:ascii="Arial" w:cs="Arial" w:eastAsia="Arial" w:hAnsi="Arial"/>
          <w:sz w:val="18"/>
          <w:szCs w:val="18"/>
          <w:color w:val="auto"/>
        </w:rPr>
      </w:pPr>
    </w:p>
    <w:p>
      <w:pPr>
        <w:ind w:left="540" w:hanging="263"/>
        <w:spacing w:after="0"/>
        <w:tabs>
          <w:tab w:leader="none" w:pos="5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approval policies or regulations of the FDA may significantly change in a manner rendering our clinical data insufficient for approval.</w:t>
      </w:r>
    </w:p>
    <w:p>
      <w:pPr>
        <w:spacing w:after="0" w:line="236"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This lengthy approval process, as well as the unpredictability of future clinical trial results, may result in our failing to obtain regulatory approval to market any of our product candidates, which would significantly harm our business, results of operations and prospects. The FDA has substantial discretion in the approval process and determining when or whether regulatory approval will be obtained for any of our product candidates. Even if we believe the data collected from clinical trials of our product candidates are promising, that data may not be sufficient to support approval by the FDA.</w:t>
      </w:r>
    </w:p>
    <w:p>
      <w:pPr>
        <w:spacing w:after="0" w:line="47"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47" w:lineRule="exact"/>
        <w:rPr>
          <w:sz w:val="20"/>
          <w:szCs w:val="20"/>
          <w:color w:val="auto"/>
        </w:rPr>
      </w:pPr>
    </w:p>
    <w:p>
      <w:pPr>
        <w:spacing w:after="0" w:line="276" w:lineRule="auto"/>
        <w:rPr>
          <w:sz w:val="20"/>
          <w:szCs w:val="20"/>
          <w:color w:val="auto"/>
        </w:rPr>
      </w:pPr>
      <w:r>
        <w:rPr>
          <w:rFonts w:ascii="Arial" w:cs="Arial" w:eastAsia="Arial" w:hAnsi="Arial"/>
          <w:sz w:val="18"/>
          <w:szCs w:val="18"/>
          <w:b w:val="1"/>
          <w:bCs w:val="1"/>
          <w:i w:val="1"/>
          <w:iCs w:val="1"/>
          <w:color w:val="auto"/>
        </w:rPr>
        <w:t>Even if we obtain FDA approval for any of our product candidates in the United States, we may never obtain approval for or commercialize any of them in any other jurisdiction, which would limit our ability to realize their full market potential.</w:t>
      </w:r>
    </w:p>
    <w:p>
      <w:pPr>
        <w:spacing w:after="0" w:line="63" w:lineRule="exact"/>
        <w:rPr>
          <w:sz w:val="20"/>
          <w:szCs w:val="20"/>
          <w:color w:val="auto"/>
        </w:rPr>
      </w:pPr>
    </w:p>
    <w:p>
      <w:pPr>
        <w:ind w:right="620"/>
        <w:spacing w:after="0" w:line="276" w:lineRule="auto"/>
        <w:rPr>
          <w:sz w:val="20"/>
          <w:szCs w:val="20"/>
          <w:color w:val="auto"/>
        </w:rPr>
      </w:pPr>
      <w:r>
        <w:rPr>
          <w:rFonts w:ascii="Arial" w:cs="Arial" w:eastAsia="Arial" w:hAnsi="Arial"/>
          <w:sz w:val="18"/>
          <w:szCs w:val="18"/>
          <w:color w:val="auto"/>
        </w:rPr>
        <w:t>In order to market any products in any particular jurisdiction, we must establish and comply with numerous and varying regulatory requirements on a country-by-country basis regarding safety and efficacy.</w:t>
      </w:r>
    </w:p>
    <w:p>
      <w:pPr>
        <w:spacing w:after="0" w:line="63"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Approval by the FDA in the United States does not ensure approval by regulatory authorities in other countries or jurisdictions. However, the failure to obtain approval in one jurisdiction may negatively impact our ability to obtain approval elsewhere. In addition, clinical trials conducted in one country may not be accepted by regulatory authorities in other countries and regulatory approval in one country does not guarantee regulatory approval in any other country.</w:t>
      </w:r>
    </w:p>
    <w:p>
      <w:pPr>
        <w:spacing w:after="0" w:line="8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Approval processes vary among countries and can involve additional product testing and validation and additional administrative review periods. Seeking foreign regulatory approval could result in difficulties and increased costs for us and require additional preclinical studies or clinical trials, which could be costly and time consuming. Regulatory requirements can vary widely from country to country and could delay or prevent the introduction of our products in those countries. We do not have any product candidates approved for sale in any jurisdiction, including in international markets, and we do not have experience as a company in obtaining regulatory approval in international markets. If we fail to comply with regulatory requirements in international markets or to obtain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83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0" w:name="page61"/>
    <w:bookmarkEnd w:id="60"/>
    <w:p>
      <w:pPr>
        <w:ind w:right="100"/>
        <w:spacing w:after="0" w:line="276" w:lineRule="auto"/>
        <w:rPr>
          <w:sz w:val="20"/>
          <w:szCs w:val="20"/>
          <w:color w:val="auto"/>
        </w:rPr>
      </w:pPr>
      <w:r>
        <w:rPr>
          <w:rFonts w:ascii="Arial" w:cs="Arial" w:eastAsia="Arial" w:hAnsi="Arial"/>
          <w:sz w:val="18"/>
          <w:szCs w:val="18"/>
          <w:color w:val="auto"/>
        </w:rPr>
        <w:t>and maintain required approvals, or if regulatory approvals in international markets are delayed, our target market will be reduced and our ability to realize the full market potential of any product we develop will be unrealized.</w:t>
      </w:r>
    </w:p>
    <w:p>
      <w:pPr>
        <w:spacing w:after="0" w:line="63"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Even if we receive regulatory approval of any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74"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 In addition, we will be subject to continued compliance with cGMP and GCP requirements for any clinical trials that we conduct post-approval.</w:t>
      </w:r>
    </w:p>
    <w:p>
      <w:pPr>
        <w:spacing w:after="0" w:line="4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Manufacturers and manufacturers’ facilities are required to comply with extensive FDA and comparable foreign regulatory authority requirements, including ensuring that quality control and manufacturing procedures conform to cGMP regulations and applicable product tracking and tracing requirements. As such, we and our CMOs will be subject to continual review and inspections to assess compliance with cGMP and adherence to commitments made in any NDA, other marketing application and previous responses to inspection observations. Accordingly, we and others with whom we work must continue to expend time, money and effort in all areas of regulatory compliance, including manufacturing, production and quality control.</w:t>
      </w:r>
    </w:p>
    <w:p>
      <w:pPr>
        <w:spacing w:after="0" w:line="5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The FDA may also require a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Comparable foreign regulatory authorities may also have programs similar to REMS. In addition, if the FDA or a comparable foreign regulatory authority approves our product candidates, we will have to comply with requirements including submissions of safety and other post-marketing information and reports and registration.</w:t>
      </w:r>
    </w:p>
    <w:p>
      <w:pPr>
        <w:spacing w:after="0" w:line="55"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The FDA may impose consent decrees or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CMOs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158" w:lineRule="exact"/>
        <w:rPr>
          <w:sz w:val="20"/>
          <w:szCs w:val="20"/>
          <w:color w:val="auto"/>
        </w:rPr>
      </w:pPr>
    </w:p>
    <w:p>
      <w:pPr>
        <w:ind w:left="540" w:right="520" w:hanging="263"/>
        <w:spacing w:after="0" w:line="276"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products, withdrawal of the product from the market or voluntary or mandatory product recalls;</w:t>
      </w:r>
    </w:p>
    <w:p>
      <w:pPr>
        <w:spacing w:after="0" w:line="170" w:lineRule="exact"/>
        <w:rPr>
          <w:rFonts w:ascii="Arial" w:cs="Arial" w:eastAsia="Arial" w:hAnsi="Arial"/>
          <w:sz w:val="18"/>
          <w:szCs w:val="18"/>
          <w:color w:val="auto"/>
        </w:rPr>
      </w:pPr>
    </w:p>
    <w:p>
      <w:pPr>
        <w:ind w:left="540" w:hanging="263"/>
        <w:spacing w:after="0"/>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223" w:lineRule="exact"/>
        <w:rPr>
          <w:rFonts w:ascii="Arial" w:cs="Arial" w:eastAsia="Arial" w:hAnsi="Arial"/>
          <w:sz w:val="18"/>
          <w:szCs w:val="18"/>
          <w:color w:val="auto"/>
        </w:rPr>
      </w:pPr>
    </w:p>
    <w:p>
      <w:pPr>
        <w:ind w:left="540" w:right="460" w:hanging="263"/>
        <w:spacing w:after="0" w:line="276"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license approvals;</w:t>
      </w:r>
    </w:p>
    <w:p>
      <w:pPr>
        <w:spacing w:after="0" w:line="170" w:lineRule="exact"/>
        <w:rPr>
          <w:rFonts w:ascii="Arial" w:cs="Arial" w:eastAsia="Arial" w:hAnsi="Arial"/>
          <w:sz w:val="18"/>
          <w:szCs w:val="18"/>
          <w:color w:val="auto"/>
        </w:rPr>
      </w:pPr>
    </w:p>
    <w:p>
      <w:pPr>
        <w:ind w:left="540" w:hanging="263"/>
        <w:spacing w:after="0"/>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223" w:lineRule="exact"/>
        <w:rPr>
          <w:rFonts w:ascii="Arial" w:cs="Arial" w:eastAsia="Arial" w:hAnsi="Arial"/>
          <w:sz w:val="18"/>
          <w:szCs w:val="18"/>
          <w:color w:val="auto"/>
        </w:rPr>
      </w:pPr>
    </w:p>
    <w:p>
      <w:pPr>
        <w:ind w:left="540" w:hanging="263"/>
        <w:spacing w:after="0"/>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FDA strictly regulates marketing, labeling, advertising and promotion of products that are placed on the market. Products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 However, physicians may, in their independent medical judgment, prescribe legally available products for off-label uses. The FDA does not regulate the behavior of physicians in their choice of treatments, but the FDA does restrict manufacturers’ communications on the subject of off-label use of their products. The policies of the FDA and of comparable foreign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83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1" w:name="page62"/>
    <w:bookmarkEnd w:id="61"/>
    <w:p>
      <w:pPr>
        <w:ind w:right="20"/>
        <w:spacing w:after="0" w:line="341" w:lineRule="auto"/>
        <w:rPr>
          <w:sz w:val="20"/>
          <w:szCs w:val="20"/>
          <w:color w:val="auto"/>
        </w:rPr>
      </w:pPr>
      <w:r>
        <w:rPr>
          <w:rFonts w:ascii="Arial" w:cs="Arial" w:eastAsia="Arial" w:hAnsi="Arial"/>
          <w:sz w:val="16"/>
          <w:szCs w:val="16"/>
          <w:b w:val="1"/>
          <w:bCs w:val="1"/>
          <w:i w:val="1"/>
          <w:iCs w:val="1"/>
          <w:color w:val="auto"/>
        </w:rPr>
        <w:t>A Breakthrough Therapy designation by the FDA, even if granted for any of our product candidates, may not lead to a faster development or regulatory review or approval process and it does not increase the likelihood that our product candidates will receive marketing approval.</w:t>
      </w:r>
    </w:p>
    <w:p>
      <w:pPr>
        <w:spacing w:after="0" w:line="16"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We may seek Breakthrough Therapy designation for our CFT7455 and CFT8634 product candidates and some or all of our future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may also be eligible for other expedited approval programs, including accelerated approval.</w:t>
      </w:r>
    </w:p>
    <w:p>
      <w:pPr>
        <w:spacing w:after="0" w:line="5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a designation. In any event, the receipt of a Breakthrough Therapy designation for a product candidate may not result in a faster development process, review or approval compared to candidate products considered for approval under non-expedited FDA review procedures and does not assure ultimate approval by the FDA of a product candidate. In addition, even if one or more of our product candidates qualify as Breakthrough Therapies, the FDA may later decide that the product no longer meets the conditions for qualification. Thus, even though we intend to seek Breakthrough Therapy designation for CFT7455, CFT8634, and CFT8919 and some or all of our future product candidates for the treatment of various cancers, there can be no assurance that we will receive Breakthrough Therapy designations.</w:t>
      </w:r>
    </w:p>
    <w:p>
      <w:pPr>
        <w:spacing w:after="0" w:line="55" w:lineRule="exact"/>
        <w:rPr>
          <w:sz w:val="20"/>
          <w:szCs w:val="20"/>
          <w:color w:val="auto"/>
        </w:rPr>
      </w:pPr>
    </w:p>
    <w:p>
      <w:pPr>
        <w:jc w:val="both"/>
        <w:ind w:right="660"/>
        <w:spacing w:after="0" w:line="263" w:lineRule="auto"/>
        <w:rPr>
          <w:sz w:val="20"/>
          <w:szCs w:val="20"/>
          <w:color w:val="auto"/>
        </w:rPr>
      </w:pPr>
      <w:r>
        <w:rPr>
          <w:rFonts w:ascii="Arial" w:cs="Arial" w:eastAsia="Arial" w:hAnsi="Arial"/>
          <w:sz w:val="18"/>
          <w:szCs w:val="18"/>
          <w:b w:val="1"/>
          <w:bCs w:val="1"/>
          <w:i w:val="1"/>
          <w:iCs w:val="1"/>
          <w:color w:val="auto"/>
        </w:rPr>
        <w:t>A Fast Track designation by the FDA, even if granted for CFT7455, CFT8634, and/or CFT8919, or any of our other current or future product candidates, may not lead to a faster development or regulatory review or approval process and does not increase the likelihood that our product candidates will receive marketing approval.</w:t>
      </w:r>
    </w:p>
    <w:p>
      <w:pPr>
        <w:spacing w:after="0" w:line="74"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We may seek Fast Track designation for one or more of our future product candidates. If a drug is intended for the treatment of a serious or life-threatening condition and the drug demonstrates the potential to address unmet medical needs for this condition, the drug sponsor may apply for FDA Fast Track designation for a particular indication. We may seek Fast Track designation for CFT7455, CFT8634, CFT8919 and/or certain of our future product candidates, but there is no assurance that the FDA will grant this status to any of our proposed product candidates. Marketing applications filed by sponsors of products in Fast Track development may qualify for priority review under the policies and procedures offered by the FDA, but the receipt of a Fast Track designation does not assure any such qualification or ultimate marketing approval by the FDA. The FDA has broad discretion whether or not to grant a Fast Track designation, so even if we believe a particular product candidate is eligible for this designation, there can be no assurance that the FDA would decide to grant it. Even if we do receive a Fast Track designation, we may not experience a faster development process, review or approval compared to conventional FDA procedures, and receiving a Fast Track designation does not provide assurance of ultimate FDA approval. In addition, the FDA may withdraw a Fast Track designation if it believes that the designation is no longer supported by data from our clinical development program. In addition, the FDA may withdraw any Fast Track designation at any time.</w:t>
      </w:r>
    </w:p>
    <w:p>
      <w:pPr>
        <w:spacing w:after="0" w:line="77" w:lineRule="exact"/>
        <w:rPr>
          <w:sz w:val="20"/>
          <w:szCs w:val="20"/>
          <w:color w:val="auto"/>
        </w:rPr>
      </w:pPr>
    </w:p>
    <w:p>
      <w:pPr>
        <w:ind w:right="600"/>
        <w:spacing w:after="0" w:line="341" w:lineRule="auto"/>
        <w:rPr>
          <w:sz w:val="20"/>
          <w:szCs w:val="20"/>
          <w:color w:val="auto"/>
        </w:rPr>
      </w:pPr>
      <w:r>
        <w:rPr>
          <w:rFonts w:ascii="Arial" w:cs="Arial" w:eastAsia="Arial" w:hAnsi="Arial"/>
          <w:sz w:val="16"/>
          <w:szCs w:val="16"/>
          <w:b w:val="1"/>
          <w:bCs w:val="1"/>
          <w:i w:val="1"/>
          <w:iCs w:val="1"/>
          <w:color w:val="auto"/>
        </w:rPr>
        <w:t>If we decide to seek Orphan Drug Designation for any of our current or future product candidates, we may be unsuccessful or may be unable to maintain the benefits associated with Orphan Drug Designation, including the potential for supplemental market exclusivity.</w:t>
      </w:r>
    </w:p>
    <w:p>
      <w:pPr>
        <w:spacing w:after="0" w:line="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August 2021, the FDA granted orphan drug designation to CFT7455 for the treatment of multiple myeloma. We may seek Orphan Drug Designation for one or more of our other current or future product candidates. Regulatory authorities in some jurisdictions, including the United States and Europe, may designate drugs for relatively small patient populations as orphan drugs. Under the Orphan Drug Act, the FDA may grant an Orphan Drug Designation to a drug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in the United States will be recovered from sales in the United States for that drug. In the United States, receipt of an Orphan Drug Designation entitles a party to financial incentives such as opportunities for grant funding towards clinical trial costs, tax advantages and user-fee waivers. After the FDA grants Orphan Drug Designation, the generic identity of the drug and its potential orphan use are disclosed publicly by the FDA. Orphan Drug Designation does not convey any advantage in, or shorten the duration of, the regulatory review and approval process.</w:t>
      </w:r>
    </w:p>
    <w:p>
      <w:pPr>
        <w:spacing w:after="0" w:line="6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If a product that has an Orphan Drug Designation subsequently receives the first FDA approval for a particular active ingredient for the disease for which it has such designation, the product is entitled to orphan product exclusivity, which means that the FDA may not approve any other applications, including an NDA, to market the same drug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As a result, even if one of our product candidates receives orphan drug exclusivity, the FDA can still approve other drugs that have a different active ingredient for use in treating the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83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2" w:name="page63"/>
    <w:bookmarkEnd w:id="62"/>
    <w:p>
      <w:pPr>
        <w:spacing w:after="0"/>
        <w:rPr>
          <w:sz w:val="20"/>
          <w:szCs w:val="20"/>
          <w:color w:val="auto"/>
        </w:rPr>
      </w:pPr>
      <w:r>
        <w:rPr>
          <w:rFonts w:ascii="Arial" w:cs="Arial" w:eastAsia="Arial" w:hAnsi="Arial"/>
          <w:sz w:val="17"/>
          <w:szCs w:val="17"/>
          <w:color w:val="auto"/>
        </w:rPr>
        <w:t>same indication or disease. Further, the FDA can waive orphan drug exclusivity if we are unable to manufacture sufficient supply of our product.</w:t>
      </w:r>
    </w:p>
    <w:p>
      <w:pPr>
        <w:spacing w:after="0" w:line="12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may seek Orphan Drug Designations for CFT8634, CFT8919 and some or all of our other current or future product candidates in additional orphan indications in which there is a medically plausible basis for the use of these product candidates. Even when we obtain an Orphan Drug Designation, exclusive marketing rights in the United States may be limited if we seek approval for an indication broader than the orphan designated indication and may be lost if the FDA later determines that the request for designation was materially defective or if we, through our manufacturer, are unable to assure sufficient quantities of the product to meet the needs of patients with the rare disease or condition. In addition, even if we seek Orphan Drug Designation for other product candidates, we may never receive these designations. For example, the FDA has expressed concerns regarding the regulatory considerations for Orphan Drug Designation as applied to tissue agnostic therapies and the FDA may interpret the Federal Food, Drug and Cosmetic Act, and regulations promulgated thereunder, in a way that limits or blocks our ability to obtain an Orphan Drug Designation or orphan drug exclusivity, if our product candidates are approved, for our targeted indications.</w:t>
      </w:r>
    </w:p>
    <w:p>
      <w:pPr>
        <w:spacing w:after="0" w:line="7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Accelerated approval by the FDA, even if granted for CFT7455, CFT8634, and/or CFT8919, or any other current or future product candidates, may not lead to a faster development or regulatory review or approval process and it does not increase the likelihood that our product candidates will receive marketing approval.</w:t>
      </w:r>
    </w:p>
    <w:p>
      <w:pPr>
        <w:spacing w:after="0" w:line="74"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We plan to seek accelerated approval of CFT7455, CFT8634, and CFT8919 and may seek approval of future product candidates using the FDA’s accelerated approval pathway.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As a condition of approval, the FDA may require that a sponsor of a drug receiving accelerated approval perform adequate and well controlled post-marketing clinical trials. These confirmatory trials must be completed with due diligence. In addition, unless informed to the contrary, the FDA currently requires pre-approval of promotional materials for products receiving accelerated approval, which could adversely impact the timing of the commercial launch of the product. Even if we do receive accelerated approval for any of our product candidates, we may not experience a faster development or regulatory review or approval process. Further, receiving accelerated approval does not provide assurance of ultimate full FDA approval.</w:t>
      </w:r>
    </w:p>
    <w:p>
      <w:pPr>
        <w:spacing w:after="0" w:line="59"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b w:val="1"/>
          <w:bCs w:val="1"/>
          <w:i w:val="1"/>
          <w:iCs w:val="1"/>
          <w:color w:val="auto"/>
        </w:rPr>
        <w:t>Our relationships with customers, healthcare providers, and third-party payors are subject, directly or indirectly, to federal and state healthcare fraud and abuse laws, false claims laws, health information privacy and security laws and other healthcare laws and regulations. If we are unable to comply or have not fully complied with these laws, we could face substantial penalties.</w:t>
      </w:r>
    </w:p>
    <w:p>
      <w:pPr>
        <w:spacing w:after="0" w:line="74"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Healthcare providers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subject us to various federal and state fraud and abuse laws and other healthcare laws that may constrain the business or financial arrangements and relationships through which we research, sell, market and distribute our product candidates, if we obtain marketing approval. In particular, the research of our product candidates, as well as the promotion, sales and marketing of healthcare items and services, as well as certain business arrangements in the healthcare industry, are subject to extensive laws designed to: (i) prevent fraud, kickbacks, self-dealing and other abusive practices, (ii) guarantee the security and privacy of health information, and (iii) increase transparency around the financial relationships between physicians, teaching hospitals and manufacturers of drugs, medical devices and biologics. These laws and regulations may restrict or prohibit a wide range of pricing, discounting, marketing and promotion, structuring and commission(s), certain customer incentive programs and other business or financial arrangements.</w:t>
      </w:r>
    </w:p>
    <w:p>
      <w:pPr>
        <w:spacing w:after="0" w:line="72"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Ensuring that our business arrangements and practices with third parties comply with applicable healthcare laws and regulations will likely be costly.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participating in government 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 The shifting compliance environment and the need to build and maintain robust and expandable systems to comply with multiple jurisdictions with different compliance or reporting requirements increases the possibility that a healthcare company may run afoul of one or more of the requirements.</w:t>
      </w:r>
    </w:p>
    <w:p>
      <w:pPr>
        <w:spacing w:after="0" w:line="7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If the physicians or other providers or entities with whom we expect to do business are found not to comply with applicable laws, they may be subject to significant criminal, civil or administrative sanctions, including exclusions from government funded healthcare programs. Even if resolved in our favor, litigation or other legal proceedings relating to healthcare laws and regulations may cause us to incur significant expenses and could distract our technical and management personnel from their normal responsibilities. In addition, there could be public announcements of the results of hearings, motions or other interim proceedings or developments. If securities analysts or investors perceive these results to be negative, it could have a substantial adverse effect on the price of our common stock. Litigation or proceedings of this nature could substantially increase our operating losses and reduce the resources available for development, manufacturing, sales, marketing or distribution activities. Uncertainties resulting from the initiation and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83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3" w:name="page64"/>
    <w:bookmarkEnd w:id="63"/>
    <w:p>
      <w:pPr>
        <w:ind w:right="100"/>
        <w:spacing w:after="0" w:line="276" w:lineRule="auto"/>
        <w:rPr>
          <w:sz w:val="20"/>
          <w:szCs w:val="20"/>
          <w:color w:val="auto"/>
        </w:rPr>
      </w:pPr>
      <w:r>
        <w:rPr>
          <w:rFonts w:ascii="Arial" w:cs="Arial" w:eastAsia="Arial" w:hAnsi="Arial"/>
          <w:sz w:val="18"/>
          <w:szCs w:val="18"/>
          <w:color w:val="auto"/>
        </w:rPr>
        <w:t>continuation of litigation or other proceedings relating to applicable healthcare laws and regulations could have an adverse effect on our ability to compete in the marketplace.</w:t>
      </w:r>
    </w:p>
    <w:p>
      <w:pPr>
        <w:spacing w:after="0" w:line="63"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b w:val="1"/>
          <w:bCs w:val="1"/>
          <w:i w:val="1"/>
          <w:iCs w:val="1"/>
          <w:color w:val="auto"/>
        </w:rPr>
        <w:t>The successful commercialization of our product candidates in the United States and abroad will depend in part on the extent to which third-party payors, including governmental authorities and private health insurers, provide coverage and adequate reimbursement levels, as well as implement pricing policies favorable for our product candidates. Failure to obtain or maintain coverage and adequate reimbursement for our product candidates, if approved, could limit our ability to market those products and decrease our ability to generate revenue.</w:t>
      </w:r>
    </w:p>
    <w:p>
      <w:pPr>
        <w:spacing w:after="0" w:line="4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Significant uncertainty exists as to the coverage and reimbursement status of any products for which we may obtain regulatory approval. In the United States and in other countries, patients who are provided medical treatment for their conditions generally rely on third-party payors to reimburse all or part of the costs associated with their treatment. The availability of coverage and adequacy of reimbursement for our products by third-party payors, including government health care programs (e.g., Medicare, Medicaid or TRICARE in the United States), managed care providers, private health insurers, health maintenance organizations and other organizations is essential for most patients to be able to afford medical services and pharmaceutical products such as our product candidates. Third-party payors decide which medications they will pay for and establish reimbursement levels.</w:t>
      </w:r>
    </w:p>
    <w:p>
      <w:pPr>
        <w:spacing w:after="0" w:line="53"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Our ability to successfully commercialize our product candidates will depend in part on the extent to which coverage and adequate reimbursement for our products and related treatments will be available from third-party payors. Moreover, a payor’s decision to provide coverage for a product does not imply that an adequate reimbursement rate will be approved. If coverage and adequate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A decision by a third-party payor not to cover or not to separately reimburse for our medical products or therapies using our products could reduce physician utilization of our products once approved.</w:t>
      </w:r>
    </w:p>
    <w:p>
      <w:pPr>
        <w:spacing w:after="0" w:line="5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cannot be sure that coverage and reimbursement in the United States and other countries will be available for our current or future product candidates or for any procedures using our current or future product candidates, and any reimbursement that may become available may not be adequate or may be decreased or eliminated in the future.</w:t>
      </w:r>
    </w:p>
    <w:p>
      <w:pPr>
        <w:spacing w:after="0" w:line="74"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In the United States, no uniform policy for coverage and reimbursement for products exists among third-party payors. Therefore, coverage and reimbursement for our products can differ significantly from payor to payor. The process for determining whether a payor will provide coverage for a product may be separate from the process for setting the reimbursement rate that the payor will pay for the product. One payor’s determination to provide coverage for a product does not assure that other payors will also provide coverage and reimbursement for the product. Third-party payors may also limit coverage to specific products on an approved list, or formulary, which might not include all of the FDA-approved products for a particular indication. The principal decisions about reimbursement for new medicines in the United States are typically made by the Centers for Medicare &amp; Medicaid Services, or CMS, an agency within the U.S. Department of Health and Human Services, or HHS. CMS will decide whether and to what extent our products will be covered and reimbursed under Medicare and private payors tend to follow CMS to a substantial degree. Factors considered by payors in determining reimbursement are based on whether the product is:</w:t>
      </w:r>
    </w:p>
    <w:p>
      <w:pPr>
        <w:spacing w:after="0" w:line="183" w:lineRule="exact"/>
        <w:rPr>
          <w:sz w:val="20"/>
          <w:szCs w:val="20"/>
          <w:color w:val="auto"/>
        </w:rPr>
      </w:pPr>
    </w:p>
    <w:p>
      <w:pPr>
        <w:ind w:left="540" w:hanging="263"/>
        <w:spacing w:after="0"/>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23" w:lineRule="exact"/>
        <w:rPr>
          <w:rFonts w:ascii="Arial" w:cs="Arial" w:eastAsia="Arial" w:hAnsi="Arial"/>
          <w:sz w:val="18"/>
          <w:szCs w:val="18"/>
          <w:color w:val="auto"/>
        </w:rPr>
      </w:pPr>
    </w:p>
    <w:p>
      <w:pPr>
        <w:ind w:left="540" w:hanging="263"/>
        <w:spacing w:after="0"/>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223" w:lineRule="exact"/>
        <w:rPr>
          <w:rFonts w:ascii="Arial" w:cs="Arial" w:eastAsia="Arial" w:hAnsi="Arial"/>
          <w:sz w:val="18"/>
          <w:szCs w:val="18"/>
          <w:color w:val="auto"/>
        </w:rPr>
      </w:pPr>
    </w:p>
    <w:p>
      <w:pPr>
        <w:ind w:left="540" w:hanging="263"/>
        <w:spacing w:after="0"/>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223" w:lineRule="exact"/>
        <w:rPr>
          <w:rFonts w:ascii="Arial" w:cs="Arial" w:eastAsia="Arial" w:hAnsi="Arial"/>
          <w:sz w:val="18"/>
          <w:szCs w:val="18"/>
          <w:color w:val="auto"/>
        </w:rPr>
      </w:pPr>
    </w:p>
    <w:p>
      <w:pPr>
        <w:ind w:left="540" w:hanging="263"/>
        <w:spacing w:after="0"/>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223" w:lineRule="exact"/>
        <w:rPr>
          <w:rFonts w:ascii="Arial" w:cs="Arial" w:eastAsia="Arial" w:hAnsi="Arial"/>
          <w:sz w:val="18"/>
          <w:szCs w:val="18"/>
          <w:color w:val="auto"/>
        </w:rPr>
      </w:pPr>
    </w:p>
    <w:p>
      <w:pPr>
        <w:ind w:left="540" w:hanging="263"/>
        <w:spacing w:after="0"/>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4"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auto"/>
        </w:rPr>
        <w:t>We cannot be sure that coverage and reimbursement will be available for or accurately estimate the potential revenue from our product candidates or assure that coverage and reimbursement will be available for any product that we may develop.</w:t>
      </w:r>
    </w:p>
    <w:p>
      <w:pPr>
        <w:spacing w:after="0" w:line="6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Further, increasing efforts by third-party payors in the United States and abroad to cap or reduce healthcare costs may cause payor organizations to limit both coverage and the level of reimbursement for newly approved products and, as a result, they may not cover or provide adequate payment for our product candidates. In order to secure coverage and reimbursement for any product that might be approved for sale, we may need to conduct expensive pharmacoeconomic studies in order to demonstrate the medical necessity and cost-effectiveness of our products, in addition to the costs required to obtain FDA or comparable regulatory approvals. Additionally, we may also need to provide discounts to purchasers, private health plans or government healthcare programs. Our product candidates may nonetheless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We expect to experience pricing pressures from third-party payors in connection with the potential sale of any of our product candidates.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83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64" w:name="page65"/>
    <w:bookmarkEnd w:id="64"/>
    <w:p>
      <w:pPr>
        <w:ind w:right="20"/>
        <w:spacing w:after="0" w:line="268" w:lineRule="auto"/>
        <w:rPr>
          <w:sz w:val="20"/>
          <w:szCs w:val="20"/>
          <w:color w:val="auto"/>
        </w:rPr>
      </w:pPr>
      <w:r>
        <w:rPr>
          <w:rFonts w:ascii="Arial" w:cs="Arial" w:eastAsia="Arial" w:hAnsi="Arial"/>
          <w:sz w:val="17"/>
          <w:szCs w:val="17"/>
          <w:color w:val="auto"/>
        </w:rPr>
        <w:t>Lastly, in some foreign countries, the proposed pricing for a drug must be approved before it may be lawfully marketed. The requirements governing drug pricing vary widely from country to country. For example, countries in the European Union, or EU, Member States can restrict the range of medicinal products for which their national health insurance systems provide reimbursement and they can control the prices of medicinal products for human use. To obtain reimbursement or pricing approval, some of these countries may require the completion of clinical trials that compare the cost effectiveness of a particular product candidate to currently available therapies. An EU Member State may approve a specific price for the medicinal product or it may instead adopt a system of direct or indirect controls on the profitability of the company placing the medicinal product on the market. Approaches between EU Member States are diverging. For example, in France, effective market access will be supported by agreements with hospitals and products may be reimbursed by the Social Security Fund. The price of medicines is negotiated with the Economic Committee for Health Products. There can be no assurance that any country that has price controls or reimbursement limitations for pharmaceutical products will allow favorable reimbursement and pricing arrangements for any of our product candidates. Historically, products launched in the European Union do not follow price structures of the United States and generally prices in the European Union tend to be significantly lower than prices in the United States.</w:t>
      </w:r>
    </w:p>
    <w:p>
      <w:pPr>
        <w:spacing w:after="0" w:line="77" w:lineRule="exact"/>
        <w:rPr>
          <w:sz w:val="20"/>
          <w:szCs w:val="20"/>
          <w:color w:val="auto"/>
        </w:rPr>
      </w:pPr>
    </w:p>
    <w:p>
      <w:pPr>
        <w:ind w:right="180"/>
        <w:spacing w:after="0" w:line="276" w:lineRule="auto"/>
        <w:rPr>
          <w:sz w:val="20"/>
          <w:szCs w:val="20"/>
          <w:color w:val="auto"/>
        </w:rPr>
      </w:pPr>
      <w:r>
        <w:rPr>
          <w:rFonts w:ascii="Arial" w:cs="Arial" w:eastAsia="Arial" w:hAnsi="Arial"/>
          <w:sz w:val="18"/>
          <w:szCs w:val="18"/>
          <w:b w:val="1"/>
          <w:bCs w:val="1"/>
          <w:i w:val="1"/>
          <w:iCs w:val="1"/>
          <w:color w:val="auto"/>
        </w:rPr>
        <w:t>Enacted and future healthcare legislation may increase the difficulty and cost for us to progress our clinical programs and obtain marketing approval of and commercialize our product candidates and may affect the prices we may set.</w:t>
      </w:r>
    </w:p>
    <w:p>
      <w:pPr>
        <w:spacing w:after="0" w:line="63"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color w:val="auto"/>
        </w:rPr>
        <w:t>In the United States and other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U.S. federal and state levels that seek to reduce healthcare costs and improve the quality of healthcare. For example, in March 2010, the Affordable Care Act, or the ACA, was enacted, which substantially changed the way healthcare is financed by both governmental and private insurers. Among the provisions of the ACA, those of greatest importance to the pharmaceutical and biotechnology industries include the following:</w:t>
      </w:r>
    </w:p>
    <w:p>
      <w:pPr>
        <w:spacing w:after="0" w:line="158" w:lineRule="exact"/>
        <w:rPr>
          <w:sz w:val="20"/>
          <w:szCs w:val="20"/>
          <w:color w:val="auto"/>
        </w:rPr>
      </w:pPr>
    </w:p>
    <w:p>
      <w:pPr>
        <w:ind w:left="540" w:right="100" w:hanging="263"/>
        <w:spacing w:after="0" w:line="263"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annual, non-deductible fee payable by any entity that manufactures or imports certain branded prescription drugs and biologic agents (other than those designated as orphan drugs), which is apportioned among these entities according to their market share in certain government healthcare programs;</w:t>
      </w:r>
    </w:p>
    <w:p>
      <w:pPr>
        <w:spacing w:after="0" w:line="181" w:lineRule="exact"/>
        <w:rPr>
          <w:rFonts w:ascii="Arial" w:cs="Arial" w:eastAsia="Arial" w:hAnsi="Arial"/>
          <w:sz w:val="18"/>
          <w:szCs w:val="18"/>
          <w:color w:val="auto"/>
        </w:rPr>
      </w:pPr>
    </w:p>
    <w:p>
      <w:pPr>
        <w:ind w:left="540" w:right="300" w:hanging="263"/>
        <w:spacing w:after="0" w:line="276"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170" w:lineRule="exact"/>
        <w:rPr>
          <w:rFonts w:ascii="Arial" w:cs="Arial" w:eastAsia="Arial" w:hAnsi="Arial"/>
          <w:sz w:val="18"/>
          <w:szCs w:val="18"/>
          <w:color w:val="auto"/>
        </w:rPr>
      </w:pPr>
    </w:p>
    <w:p>
      <w:pPr>
        <w:ind w:left="540" w:right="20" w:hanging="263"/>
        <w:spacing w:after="0" w:line="306" w:lineRule="auto"/>
        <w:tabs>
          <w:tab w:leader="none" w:pos="5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148" w:lineRule="exact"/>
        <w:rPr>
          <w:rFonts w:ascii="Arial" w:cs="Arial" w:eastAsia="Arial" w:hAnsi="Arial"/>
          <w:sz w:val="17"/>
          <w:szCs w:val="17"/>
          <w:color w:val="auto"/>
        </w:rPr>
      </w:pPr>
    </w:p>
    <w:p>
      <w:pPr>
        <w:ind w:left="540" w:hanging="263"/>
        <w:spacing w:after="0"/>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licensure framework for follow-on biologic products;</w:t>
      </w:r>
    </w:p>
    <w:p>
      <w:pPr>
        <w:spacing w:after="0" w:line="223" w:lineRule="exact"/>
        <w:rPr>
          <w:rFonts w:ascii="Arial" w:cs="Arial" w:eastAsia="Arial" w:hAnsi="Arial"/>
          <w:sz w:val="18"/>
          <w:szCs w:val="18"/>
          <w:color w:val="auto"/>
        </w:rPr>
      </w:pPr>
    </w:p>
    <w:p>
      <w:pPr>
        <w:ind w:left="540" w:right="480" w:hanging="263"/>
        <w:spacing w:after="0" w:line="276"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creation of a new Patient-Centered Outcomes Research Institute to oversee and conduct comparative clinical effectiveness research, as well as funding for such research; and</w:t>
      </w:r>
    </w:p>
    <w:p>
      <w:pPr>
        <w:spacing w:after="0" w:line="170" w:lineRule="exact"/>
        <w:rPr>
          <w:rFonts w:ascii="Arial" w:cs="Arial" w:eastAsia="Arial" w:hAnsi="Arial"/>
          <w:sz w:val="18"/>
          <w:szCs w:val="18"/>
          <w:color w:val="auto"/>
        </w:rPr>
      </w:pPr>
    </w:p>
    <w:p>
      <w:pPr>
        <w:ind w:left="540" w:right="200" w:hanging="263"/>
        <w:spacing w:after="0" w:line="276"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establishment of a Center for Medicare &amp; Medicaid Innovation at CMS to test innovative payment and service delivery models to lower Medicare and Medicaid spending, potentially including prescription drug spending.</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There have been judicial, Congressional and executive branch challenges to certain aspects of the ACA. While Congress has not passed comprehensive repeal legislation, it has enacted laws that modify certain provisions of the ACA such as removing penalties, effective January 1, 2019, for not complying with the ACA’s individual mandate to carry health insurance and increasing the point-of-sale discount that is owed by pharmaceutical manufacturers who participate in Medicare Part D. Further, the 2020 federal spending package permanently eliminated, effective January 1, 2020, the ACA-mandated “Cadillac” tax on high-cost employer-sponsored health coverage and medical device tax and, effective January 1, 2021, also eliminated the health insurer tax. 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other healthcare reform measures of the Biden administrations or other efforts, if any, to challenge repeal or replace the ACA, will impact our business.</w:t>
      </w:r>
    </w:p>
    <w:p>
      <w:pPr>
        <w:spacing w:after="0" w:line="63" w:lineRule="exact"/>
        <w:rPr>
          <w:sz w:val="20"/>
          <w:szCs w:val="20"/>
          <w:color w:val="auto"/>
        </w:rPr>
      </w:pPr>
    </w:p>
    <w:p>
      <w:pPr>
        <w:jc w:val="both"/>
        <w:ind w:right="60"/>
        <w:spacing w:after="0" w:line="287"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ACA was enacted. In August 2011, the Budget Control Act of 2011, among other things, led to aggregate reductions of Medicare payments to providers of 2% per fiscal year. These reductions went into effect in April 2013 and, due to subsequent legislative amendments to the statute, will remain in effect through 2030 unless additional action is taken by Congress.</w:t>
      </w:r>
    </w:p>
    <w:p>
      <w:pPr>
        <w:spacing w:after="0" w:line="1" w:lineRule="exact"/>
        <w:rPr>
          <w:sz w:val="20"/>
          <w:szCs w:val="20"/>
          <w:color w:val="auto"/>
        </w:rPr>
      </w:pPr>
    </w:p>
    <w:p>
      <w:pPr>
        <w:ind w:right="320"/>
        <w:spacing w:after="0" w:line="301" w:lineRule="auto"/>
        <w:rPr>
          <w:sz w:val="20"/>
          <w:szCs w:val="20"/>
          <w:color w:val="auto"/>
        </w:rPr>
      </w:pPr>
      <w:r>
        <w:rPr>
          <w:rFonts w:ascii="Arial" w:cs="Arial" w:eastAsia="Arial" w:hAnsi="Arial"/>
          <w:sz w:val="16"/>
          <w:szCs w:val="16"/>
          <w:color w:val="auto"/>
        </w:rPr>
        <w:t>However, pursuant to the CARES Act, and subsequent legislation, these Medicare sequester reductions have been suspended from May 1, 2020 through December 31, 2021 due to the ongoing COVID-19 pandemic. In January 2013, the American Taxpayer Relief Act of 2012 was signed into law, which, among other things, further reduced Medicare payments to several types of providers, including hospitals, imaging centers and cancer</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83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5" w:name="page66"/>
    <w:bookmarkEnd w:id="65"/>
    <w:p>
      <w:pPr>
        <w:ind w:right="20"/>
        <w:spacing w:after="0" w:line="291" w:lineRule="auto"/>
        <w:rPr>
          <w:sz w:val="20"/>
          <w:szCs w:val="20"/>
          <w:color w:val="auto"/>
        </w:rPr>
      </w:pPr>
      <w:r>
        <w:rPr>
          <w:rFonts w:ascii="Arial" w:cs="Arial" w:eastAsia="Arial" w:hAnsi="Arial"/>
          <w:sz w:val="16"/>
          <w:szCs w:val="16"/>
          <w:color w:val="auto"/>
        </w:rPr>
        <w:t>treatment centers, and increased the statute of limitations period for the government to recover overpayments to providers from three to five years. Additionally, the Bipartisan Budget Act of 2018, or BBA, among other things, amended the ACA, effective January 1, 2019, by increasing the point-of-sale discount (from 50% under the ACA to 70%) that is owed by pharmaceutical manufacturers who participate in Medicare Part D and closing the coverage gap in most Medicare drug plans, commonly referred to as the “donut hole.” Additionally,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These laws or any other similar laws introduced in the future may result in additional reductions in Medicare and other health care funding, which could negatively affect our customers and accordingly, our financial operations.</w:t>
      </w:r>
    </w:p>
    <w:p>
      <w:pPr>
        <w:spacing w:after="0" w:line="55"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marketed products, which has resulted in several U.S. Congressional inquiries and proposed, and enacted federal legislation designed to, among other things, bring more transparency to drug pricing, reduce the cost of prescription drugs under Medicare and review the relationship between pricing and manufacturer patient programs.</w:t>
      </w:r>
    </w:p>
    <w:p>
      <w:pPr>
        <w:spacing w:after="0" w:line="65"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At a federal level, President Biden signed an Executive Order on July 9, 2021 affirming the administration’s policy to (i) support legislative reforms that would lower the prices of prescription drug and biologics, including by allowing Medicare to negotiate drug prices, by imposing inflation caps, and, by supporting the development and market entry of lower-cost generic drugs and biosimilars; and (ii) support the enactment of a public health insurance option. Among other things, the Executive Order also directs HHS to provide a report on actions to combat excessive pricing of prescription drugs, enhance the domestic drug supply chain, reduce the price that the Federal government pays for drugs, and address price gouging in the industry; and directs the FDA to work with states and Indian Tribes that propose to develop section 804 Importation Programs in accordance with the Medicare Prescription Drug, Improvement, and Modernization Act of 2003, and the FDA’s implementing regulations. The FDA released these implementing regulations on September 24, 2020 and they went into effect on November 30, 2020, providing guidance for states to build and submit importation plans for drugs from Canada. On September 25, 2020, CMS stated drugs imported by states under this rule will not be eligible for federal rebates under Section 1927 of the Social Security Act and manufacturers would not report these drugs for “best price” or Average Manufacturer Price purposes. Since these drugs are not considered covered outpatient drugs, CMS further stated it will not publish a National Average Drug Acquisition Cost for these drugs. If implemented, importation of drugs from Canada may materially and adversely affect the price we receive for any of our product candidates. Further, on November 20, 2020, CMS issued an Interim Final Rule implementing the Most Favored Nation, or MFN, Model under which Medicare Part B reimbursement rates will be calculated for certain drugs and biologicals based on the lowest price drug manufacturers receive in Organization for Economic Cooperation and Development countries with a similar gross domestic product per capita. The MFN Model regulations mandate participation by identified Part B providers and would have applied to all U.S. states and territories for a seven-year period beginning January 1, 2021 and ending December 31, 2027. However, on August 6, 2021, CMS announced a proposed rule to rescind the Most Favored Nations rule. Additionally, on December 2, 2020, HHS published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Pursuant to court order, the removal and addition of these safe harbors have been delayed until January 1, 2023. Although a number of these and other healthcare reform measures may require additional authorization to become effective, and the Biden administration may reverse or otherwise change these measures, Congress has indicated that it will continue to seek new legislative measures to control drug costs.</w:t>
      </w:r>
    </w:p>
    <w:p>
      <w:pPr>
        <w:spacing w:after="0" w:line="74"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Individual states in the United States have also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we may face competition in the United States for our development candidates and investigational medicines, if approved, from therapies sourced from foreign countries that have placed price controls on pharmaceutical products. In the United States, the FDA issued a final guidance document outlining a pathway for manufacturers to obtain an additional National Drug Code for an FDA-approved drug that was originally intended to be marketed in a foreign country and that was authorized for sale in that foreign country. The market implications of the final guidance are unknown at this time. Proponents of drug reimportation may attempt to pass legislation that would directly allow reimportation under certain circumstances. Legislation or regulations allowing the reimportation of drugs, if enacted, could decrease the price we receive for any products that we may develop and adversely affect our future revenues and prospects for profitability. Further, legally mandated price controls on payment amounts by third-party payors or other restrictions could adversely affect our business prospects, financial condition and results of operations.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or put pressure on our product pricing.</w:t>
      </w:r>
    </w:p>
    <w:p>
      <w:pPr>
        <w:spacing w:after="0" w:line="59"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any of which could limit the extent to which state and federal governments cover particular healthcare products and services and could limit the amounts that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83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66" w:name="page67"/>
    <w:bookmarkEnd w:id="66"/>
    <w:p>
      <w:pPr>
        <w:ind w:right="180"/>
        <w:spacing w:after="0" w:line="276" w:lineRule="auto"/>
        <w:rPr>
          <w:sz w:val="20"/>
          <w:szCs w:val="20"/>
          <w:color w:val="auto"/>
        </w:rPr>
      </w:pPr>
      <w:r>
        <w:rPr>
          <w:rFonts w:ascii="Arial" w:cs="Arial" w:eastAsia="Arial" w:hAnsi="Arial"/>
          <w:sz w:val="18"/>
          <w:szCs w:val="18"/>
          <w:color w:val="auto"/>
        </w:rPr>
        <w:t>federal and state governments will pay for healthcare products and services. This could result in reduced demand for any product candidate we develop or could result in additional pricing pressures.</w:t>
      </w:r>
    </w:p>
    <w:p>
      <w:pPr>
        <w:spacing w:after="0" w:line="63"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In markets outside of the United States, reimbursement and healthcare payment systems vary significantly by country and many countries have instituted price ceilings on specific products and therapies. The price control regulations outside of the United States can have a significant impact on the profitability of a given market, and further uncertainty is introduced if and when these laws change. For example, in Canada, price control legislation for patented medicines is currently undergoing significant change that may have significant effects on profitability for companies selling products in Canada.</w:t>
      </w:r>
    </w:p>
    <w:p>
      <w:pPr>
        <w:spacing w:after="0" w:line="4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in the United States or any other jurisdiction. It is possible that additional governmental action will be taken in response to the ongoing COVID-19 pandemic. If we or any third parties we may engage are slow or unable to adapt to changes in existing requirements or the adoption of new requirements or policies, or if we or these third parties are not able to maintain regulatory compliance, our product candidates may lose any regulatory approval that may have been obtained and we may not achieve or sustain profitability.</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face potential liability under applicable privacy laws if we obtain identifiable patient health information from clinical trials sponsored by us.</w:t>
      </w:r>
    </w:p>
    <w:p>
      <w:pPr>
        <w:spacing w:after="0" w:line="13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Most healthcare providers, including certain research institutions from which we may obtain patient health information, are subject to privacy and security regulations promulgated under the Health Insurance Portability and Accountability Act of 1966, or HIPAA, as amended by the Health Information Technology for Economic and Clinical Health Act. Depending on the facts and circumstances, we could be subject to civil, criminal, and administrative penalties if we obtain, use, or disclose individually identifiable health information maintained by a HIPAA-covered entity in a manner that is not authorized or permitted by HIPPA. In addition, we may be subject to state laws requiring notification of affected individuals and state regulators in the event of a breach of personal information, which is a broader class of information than the health information protected by HIPAA.</w:t>
      </w:r>
    </w:p>
    <w:p>
      <w:pPr>
        <w:spacing w:after="0" w:line="67"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The global data protection landscape is rapidly evolving and we may be or become subject to or affected by numerous federal, state and foreign laws and regulations, as well as regulatory guidance, governing the collection, use, disclosure, transfer, security and processing of personal data, such as information that we collect about participants and healthcare providers in connection with clinical trials. Implementation standards and enforcement practices are likely to remain uncertain for the foreseeable future, which may create uncertainty in our business, affect our or our service providers’ ability to operate in certain jurisdictions or to collect, store, transfer use and share personal data, result in liability or impose additional compliance or other costs on us. Any failure or perceived failure by us to comply with federal, state or foreign laws or self-regulatory standards could result in negative publicity, diversion of management time and effort and proceedings against us by governmental entities or others. Further, the California Consumer Privacy Act of 2018, or the CCPA, went into effect in January 2020. The CCPA provides new data privacy rights for consumers and new operational requirements for companies, including placing increased privacy and security obligations on entities handling certain personal data of consumers or households. These requirements could increase our compliance costs and potential liability.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While there is currently an exception for protected health information that is subject to HIPAA and clinical trial regulations, as currently written, the CCPA may impact certain of our business activities. The new California law may lead to similar laws in other U.S. states or at a national level, which could increase our potential liability and adversely affect our business, which exemplifies the vulnerability of our business to the evolving regulatory environment related to personal data and protected health information.</w:t>
      </w:r>
    </w:p>
    <w:p>
      <w:pPr>
        <w:spacing w:after="0" w:line="7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expect that there will continue to be new laws, regulations and industry standards concerning privacy, data protection and information security proposed and enacted in various international jurisdictions. For example, European legislators adopted the EU General Data Protection Regulation, or GDPR, which became effective on May 25, 2018. The GDPR further implemented through binding guidance by the European Data Protection Board, or EDPB, (and supplemented by national laws in individual EU member states), imposes more stringent data protection compliance requirements and provides for more significant penalties for noncompliance in Europe. The GDPR creates new compliance obligations applicable to our business, which could cause us to change our business practices, and increases financial penalties for noncompliance (including possible fines of up to the greater of €20 million and 4% of our global annual turnover for the preceding financial year for the most serious violations, as well as the right to compensation for financial or non-financial damages claimed by any individuals under Article 82 of the GDPR).</w:t>
      </w:r>
    </w:p>
    <w:p>
      <w:pPr>
        <w:spacing w:after="0" w:line="7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The GDPR may increase our responsibility and liability in relation to personal data that we process where that processing is subject to the GDPR. In addition, we may be required to put in place additional mechanisms to ensure compliance with the GDPR, including GDPR requirements as implemented by individual countries.</w:t>
      </w:r>
    </w:p>
    <w:p>
      <w:pPr>
        <w:spacing w:after="0" w:line="81"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auto"/>
        </w:rPr>
        <w:t>We are taking steps to comply with the GDPR, but this is an ongoing compliance process. Compliance with the GDPR will be a rigorous and time-intensive process that may increase our cost of doing business or require us to change our business practices. If our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83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7" w:name="page68"/>
    <w:bookmarkEnd w:id="67"/>
    <w:p>
      <w:pPr>
        <w:ind w:right="160"/>
        <w:spacing w:after="0" w:line="276" w:lineRule="auto"/>
        <w:rPr>
          <w:sz w:val="20"/>
          <w:szCs w:val="20"/>
          <w:color w:val="auto"/>
        </w:rPr>
      </w:pPr>
      <w:r>
        <w:rPr>
          <w:rFonts w:ascii="Arial" w:cs="Arial" w:eastAsia="Arial" w:hAnsi="Arial"/>
          <w:sz w:val="18"/>
          <w:szCs w:val="18"/>
          <w:color w:val="auto"/>
        </w:rPr>
        <w:t>efforts to comply with GDPR or other applicable EU laws and regulations are not successful, or are perceived to be unsuccessful, it could adversely affect our business in the EU.</w:t>
      </w:r>
    </w:p>
    <w:p>
      <w:pPr>
        <w:spacing w:after="0" w:line="6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European data protection laws also generally prohibit the transfer of personal data from Europe, including the European Economic Area, United Kingdom and Switzerland, to the United States and most other countries unless the parties to the transfer have implemented specific safeguards to protect the transferred personal data. One of the primary safeguards used for transfers of personal data from the European Union to the United States, namely, the Privacy Shield framework administered by the U.S. Department of Commerce, was recently invalidated by a decision of the European Union’s highest court. The same decision also cast doubt on the ability to use one of the primary alternatives to the Privacy Shield, namely, the European Commission’s Standard Contractual Clauses, to lawfully transfer personal data from Europe to the United States and most other countries. At present, there are few if any viable alternatives to the Privacy Shield and the Standard Contractual Clauses. To the extent that we were to rely on the EU-U.S. Privacy Shield Framework or the Standard Contractual Clauses, we may not be able to do so in the future, which could increase our costs and limit our ability to process personal data from the EU.</w:t>
      </w:r>
    </w:p>
    <w:p>
      <w:pPr>
        <w:spacing w:after="0" w:line="83" w:lineRule="exact"/>
        <w:rPr>
          <w:sz w:val="20"/>
          <w:szCs w:val="20"/>
          <w:color w:val="auto"/>
        </w:rPr>
      </w:pPr>
    </w:p>
    <w:p>
      <w:pPr>
        <w:jc w:val="both"/>
        <w:ind w:right="240"/>
        <w:spacing w:after="0" w:line="258" w:lineRule="auto"/>
        <w:rPr>
          <w:sz w:val="20"/>
          <w:szCs w:val="20"/>
          <w:color w:val="auto"/>
        </w:rPr>
      </w:pPr>
      <w:r>
        <w:rPr>
          <w:rFonts w:ascii="Arial" w:cs="Arial" w:eastAsia="Arial" w:hAnsi="Arial"/>
          <w:sz w:val="18"/>
          <w:szCs w:val="18"/>
          <w:color w:val="auto"/>
        </w:rPr>
        <w:t>Further, the United Kingdom’s departure from the EU, often referred to as Brexit, has created uncertainty with regard to data protection regulation in the United Kingdom and how data transfers to and from the United Kingdom will be regulated. We may, however, incur liabilities, expenses, costs and other operational losses under the GDPR and applicable EU Member States and the United Kingdom privacy laws in connection with any measures we take to comply with them.</w:t>
      </w:r>
    </w:p>
    <w:p>
      <w:pPr>
        <w:spacing w:after="0" w:line="80"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Further, certain health privacy laws, data breach notification laws, consumer protection laws and genetic testing laws may apply directly to our operations and/or those of our collaborators and may impose restrictions on our collection, use and dissemination of individuals’ health information. Patients about whom we or our collaborators may obtain health information, as well as the providers who may share this information with us, may have statutory or contractual rights that limit our ability to use and disclose the information. We may be required to expend significant capital and other resources to ensure ongoing compliance with applicable privacy and data security laws.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83"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If we or third-party CMOs, CROs or other contractors or consultants fail to comply with applicable federal, state/provincial or local regulatory requirements, we could be subject to a range of regulatory actions that could affect our or our contractors’ ability to develop and commercialize our therapeutic candidates and could harm or prevent sales of any affected therapeutics that we are able to commercialize, or could substantially increase the costs and expenses of developing, commercializing and marketing our therapeutics. Any threatened or actual government enforcement action could also generate adverse publicity and require that we devote substantial resources that could otherwise be used in other aspects of our business. Increasing use of social media could give rise to liability, breaches of data security or reputational damage.</w:t>
      </w:r>
    </w:p>
    <w:p>
      <w:pPr>
        <w:spacing w:after="0" w:line="67" w:lineRule="exact"/>
        <w:rPr>
          <w:sz w:val="20"/>
          <w:szCs w:val="20"/>
          <w:color w:val="auto"/>
        </w:rPr>
      </w:pPr>
    </w:p>
    <w:p>
      <w:pPr>
        <w:ind w:right="160"/>
        <w:spacing w:after="0" w:line="276" w:lineRule="auto"/>
        <w:rPr>
          <w:sz w:val="20"/>
          <w:szCs w:val="20"/>
          <w:color w:val="auto"/>
        </w:rPr>
      </w:pPr>
      <w:r>
        <w:rPr>
          <w:rFonts w:ascii="Arial" w:cs="Arial" w:eastAsia="Arial" w:hAnsi="Arial"/>
          <w:sz w:val="18"/>
          <w:szCs w:val="18"/>
          <w:color w:val="auto"/>
        </w:rPr>
        <w:t>Additionally, we are subject to state and foreign equivalents of each of the healthcare laws described above, among others, some of which may be broader in scope and may apply regardless of the payor.</w:t>
      </w:r>
    </w:p>
    <w:p>
      <w:pPr>
        <w:spacing w:after="0" w:line="63" w:lineRule="exact"/>
        <w:rPr>
          <w:sz w:val="20"/>
          <w:szCs w:val="20"/>
          <w:color w:val="auto"/>
        </w:rPr>
      </w:pPr>
    </w:p>
    <w:p>
      <w:pPr>
        <w:ind w:right="480"/>
        <w:spacing w:after="0" w:line="306" w:lineRule="auto"/>
        <w:rPr>
          <w:sz w:val="20"/>
          <w:szCs w:val="20"/>
          <w:color w:val="auto"/>
        </w:rPr>
      </w:pPr>
      <w:r>
        <w:rPr>
          <w:rFonts w:ascii="Arial" w:cs="Arial" w:eastAsia="Arial" w:hAnsi="Arial"/>
          <w:sz w:val="17"/>
          <w:szCs w:val="17"/>
          <w:b w:val="1"/>
          <w:bCs w:val="1"/>
          <w:i w:val="1"/>
          <w:iCs w:val="1"/>
          <w:color w:val="auto"/>
        </w:rPr>
        <w:t>If we or our third-party manufacturers and suppliers fail to comply with environmental, health and safety laws and regulations, we could become subject to fines or penalties or incur costs that could have an adverse effect on the success of our business.</w:t>
      </w:r>
    </w:p>
    <w:p>
      <w:pPr>
        <w:spacing w:after="0" w:line="40"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research and development activities involve the use of biological and hazardous materials and produce hazardous waste products. We generally contract with third parties for the disposal of these materials and wastes. We cannot eliminate the risk of contamination or injury from these materials,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our third-party CMOs for handling and disposing of these materials generally comply with the standards prescribed by these laws and regulations, we cannot guarantee that this is the case or eliminate the risk of accidental contamination or injury from these materials. Upon an event of this nature, we may be held liable for any resulting damages and such liability could exceed our resources and state or federal or other applicable authorities may curtail our use of certain materials and/or interrupt our business operations. Further, environmental laws and regulations are complex, change frequently and have tended to become more stringent. We cannot predict the impact of any changes of this nature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66"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We do not carry specific biological waste or hazardous waste insurance coverage, workers compensation or property and casualty and general liability insurance policies that include coverage for damages and fines arising from biological or hazardous waste exposure or contamination.</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83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68" w:name="page69"/>
    <w:bookmarkEnd w:id="68"/>
    <w:p>
      <w:pPr>
        <w:ind w:right="80"/>
        <w:spacing w:after="0" w:line="263" w:lineRule="auto"/>
        <w:rPr>
          <w:sz w:val="20"/>
          <w:szCs w:val="20"/>
          <w:color w:val="auto"/>
        </w:rPr>
      </w:pPr>
      <w:r>
        <w:rPr>
          <w:rFonts w:ascii="Arial" w:cs="Arial" w:eastAsia="Arial" w:hAnsi="Arial"/>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7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 201, the U.S. Travel Act, the USA PATRIOT Act of 2001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In the future, we may engage third parties for clinical trials outside of the United States, to sell our products abroad once we enter a commercialization phase and/or to obtain necessary permits, licenses, patent registrations and other regulatory approvals. We may also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these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managing growth and operational matters</w:t>
      </w:r>
    </w:p>
    <w:p>
      <w:pPr>
        <w:spacing w:after="0" w:line="120" w:lineRule="exact"/>
        <w:rPr>
          <w:sz w:val="20"/>
          <w:szCs w:val="20"/>
          <w:color w:val="auto"/>
        </w:rPr>
      </w:pPr>
    </w:p>
    <w:p>
      <w:pPr>
        <w:ind w:right="440"/>
        <w:spacing w:after="0" w:line="276" w:lineRule="auto"/>
        <w:rPr>
          <w:sz w:val="20"/>
          <w:szCs w:val="20"/>
          <w:color w:val="auto"/>
        </w:rPr>
      </w:pPr>
      <w:r>
        <w:rPr>
          <w:rFonts w:ascii="Arial" w:cs="Arial" w:eastAsia="Arial" w:hAnsi="Arial"/>
          <w:sz w:val="18"/>
          <w:szCs w:val="18"/>
          <w:b w:val="1"/>
          <w:bCs w:val="1"/>
          <w:i w:val="1"/>
          <w:iCs w:val="1"/>
          <w:color w:val="auto"/>
        </w:rPr>
        <w:t>We are highly dependent on our key personnel and anticipate hiring new key personnel. If we are not successful in attracting and retaining highly qualified personnel, we may not be able to successfully implement our business strategy.</w:t>
      </w:r>
    </w:p>
    <w:p>
      <w:pPr>
        <w:spacing w:after="0" w:line="6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ability to compete in the highly competitive biotechnology and pharmaceutical industries depends upon our ability to attract and retain highly qualified managerial, scientific, medical personnel, sales and marketing and other personnel. We are highly dependent on our management, scientific and medical personnel, including our President and Chief Executive Officer, Chief Scientific Officer, Chief Medical Officer, Chief Financial Officer, and Chief Legal Officer. While we expect to engage in an orderly transition process as we integrate newly appointed officers and managers, we face a variety of risks and uncertainties relating to management transition, including diversion of management attention from business concerns, failure to retain other key personnel or loss of institutional knowledge. In addition, the loss of the services of any of our executive officers, other key employees and other scientific and medical advisors and an inability to find suitable replacements could result in delays in product development and harm our business.</w:t>
      </w:r>
    </w:p>
    <w:p>
      <w:pPr>
        <w:spacing w:after="0" w:line="5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conduct our operations at our facilities in Watertown, Massachusetts. The Massachusetts region is headquarters to many other biopharmaceutical companies and many academic and research institutions. Competition for skilled personnel in our market is intense and may limit our ability to hire and retain highly qualified personnel on acceptable terms or at all. Changes to U.S. immigration and work authorization laws and regulations, including those that restrain the flow of scientific and professional talent, can be significantly affected by political forces and levels of economic activity. Our business may be materially adversely affected if legislative or administrative changes to immigration or visa laws and regulations impair our hiring processes and goals or projects involving personnel who are not U.S. citizens.</w:t>
      </w:r>
    </w:p>
    <w:p>
      <w:pPr>
        <w:spacing w:after="0" w:line="8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To encourage valuable employees to remain at our company, in addition to salary and cash incentives, we have provided stock options that vest over time. The value to our employees of stock options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Although we have employment agreements with our executive employees, these employment agreements provide for at-will employment, which means that any of our executive employees could leave our employment at any time, with or without notice. Our success also depends on our ability to continue to attract, retain and motivate highly skilled junior, mid-level, and senior managers, as well as junior, mid-level, and senior scientific, medical, and general and administrative personnel.</w:t>
      </w:r>
    </w:p>
    <w:p>
      <w:pPr>
        <w:spacing w:after="0" w:line="55" w:lineRule="exact"/>
        <w:rPr>
          <w:sz w:val="20"/>
          <w:szCs w:val="20"/>
          <w:color w:val="auto"/>
        </w:rPr>
      </w:pPr>
    </w:p>
    <w:p>
      <w:pPr>
        <w:ind w:right="380"/>
        <w:spacing w:after="0" w:line="311" w:lineRule="auto"/>
        <w:rPr>
          <w:sz w:val="20"/>
          <w:szCs w:val="20"/>
          <w:color w:val="auto"/>
        </w:rPr>
      </w:pPr>
      <w:r>
        <w:rPr>
          <w:rFonts w:ascii="Arial" w:cs="Arial" w:eastAsia="Arial" w:hAnsi="Arial"/>
          <w:sz w:val="16"/>
          <w:szCs w:val="16"/>
          <w:color w:val="auto"/>
        </w:rPr>
        <w:t>In addition, we have scientific and clinical advisors who assist us in formulating our development and clinical strategies. These advisors are not our employees and may have commitments to, or consulting or advisory contracts with, other entities that may limit their availability to us. In addition, our advisors may have arrangements with other companies to assist those companies in developing products or technologies that may compete with ours.</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will need to grow the size of our organization and we may experience difficulties in managing this growth, which could disrupt our operations.</w:t>
      </w:r>
    </w:p>
    <w:p>
      <w:pPr>
        <w:spacing w:after="0" w:line="13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expect to experience significant growth in the number of our employees and the scope of our operations, particularly in the areas of drug development, manufacturing, regulatory affairs and, if any of our product candidates receives marketing approval, sales, marketing, and distribution. In addition, in connection with our transition to being a publicly traded company, we expect to increase the size of our general and administrative teams to support the growth of our business and the requirements of being a publicly traded company. To manage our anticipated future growth, we must continue to implement and improve our managerial, operational, and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83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9" w:name="page70"/>
    <w:bookmarkEnd w:id="69"/>
    <w:p>
      <w:pPr>
        <w:ind w:right="400"/>
        <w:spacing w:after="0" w:line="276" w:lineRule="auto"/>
        <w:rPr>
          <w:sz w:val="20"/>
          <w:szCs w:val="20"/>
          <w:color w:val="auto"/>
        </w:rPr>
      </w:pPr>
      <w:r>
        <w:rPr>
          <w:rFonts w:ascii="Arial" w:cs="Arial" w:eastAsia="Arial" w:hAnsi="Arial"/>
          <w:sz w:val="18"/>
          <w:szCs w:val="18"/>
          <w:color w:val="auto"/>
        </w:rPr>
        <w:t>financial systems, expand our facilities, and continue to recruit and train additional qualified personnel. Future growth would impose significant added responsibilities on members of management, including:</w:t>
      </w:r>
    </w:p>
    <w:p>
      <w:pPr>
        <w:spacing w:after="0" w:line="170" w:lineRule="exact"/>
        <w:rPr>
          <w:sz w:val="20"/>
          <w:szCs w:val="20"/>
          <w:color w:val="auto"/>
        </w:rPr>
      </w:pPr>
    </w:p>
    <w:p>
      <w:pPr>
        <w:ind w:left="540" w:hanging="263"/>
        <w:spacing w:after="0"/>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224" w:lineRule="exact"/>
        <w:rPr>
          <w:rFonts w:ascii="Arial" w:cs="Arial" w:eastAsia="Arial" w:hAnsi="Arial"/>
          <w:sz w:val="18"/>
          <w:szCs w:val="18"/>
          <w:color w:val="auto"/>
        </w:rPr>
      </w:pPr>
    </w:p>
    <w:p>
      <w:pPr>
        <w:ind w:left="540" w:right="180" w:hanging="263"/>
        <w:spacing w:after="0" w:line="306" w:lineRule="auto"/>
        <w:tabs>
          <w:tab w:leader="none" w:pos="5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managing our internal development efforts effectively, including the clinical and FDA review process for CFT7455, CFT8634, CFT8919, and any other product candidates we develop, while complying with our contractual obligations to contractors and other third parties; and</w:t>
      </w:r>
    </w:p>
    <w:p>
      <w:pPr>
        <w:spacing w:after="0" w:line="148" w:lineRule="exact"/>
        <w:rPr>
          <w:rFonts w:ascii="Arial" w:cs="Arial" w:eastAsia="Arial" w:hAnsi="Arial"/>
          <w:sz w:val="17"/>
          <w:szCs w:val="17"/>
          <w:color w:val="auto"/>
        </w:rPr>
      </w:pPr>
    </w:p>
    <w:p>
      <w:pPr>
        <w:ind w:left="540" w:hanging="263"/>
        <w:spacing w:after="0"/>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22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future financial performance and our ability to advance into clinical development and, if approved, commercialize CFT7455, CFT8634, CFT8919, and any of our other product candidates we develop will depend, in part, on our ability to effectively manage any future growth. Due to our limited financial resources and the limited experience of our management team in managing a company with this type of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 Further, research at our Chinese and Indian CROs also exposes us to various risks, including regulatory, economic, and political instability, potentially unfavorable tax, import and export policies, fluctuations in foreign exchange and inflation rates, international and civil hostilities, terrorism, natural disasters and pandemics.</w:t>
      </w:r>
    </w:p>
    <w:p>
      <w:pPr>
        <w:spacing w:after="0" w:line="72" w:lineRule="exact"/>
        <w:rPr>
          <w:sz w:val="20"/>
          <w:szCs w:val="20"/>
          <w:color w:val="auto"/>
        </w:rPr>
      </w:pPr>
    </w:p>
    <w:p>
      <w:pPr>
        <w:spacing w:after="0" w:line="276" w:lineRule="auto"/>
        <w:rPr>
          <w:sz w:val="20"/>
          <w:szCs w:val="20"/>
          <w:color w:val="auto"/>
        </w:rPr>
      </w:pPr>
      <w:r>
        <w:rPr>
          <w:rFonts w:ascii="Arial" w:cs="Arial" w:eastAsia="Arial" w:hAnsi="Arial"/>
          <w:sz w:val="18"/>
          <w:szCs w:val="18"/>
          <w:b w:val="1"/>
          <w:bCs w:val="1"/>
          <w:i w:val="1"/>
          <w:iCs w:val="1"/>
          <w:color w:val="auto"/>
        </w:rPr>
        <w:t>Our internal computer systems, or those of any of our collaborators, contractors, or consultants, may fail or suffer security breaches, which could result in a material disruption of our product development programs.</w:t>
      </w:r>
    </w:p>
    <w:p>
      <w:pPr>
        <w:spacing w:after="0" w:line="63"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Our internal computer systems and those of any collaborators, contractors or consultants are vulnerable to damage from computer viruses, unauthorized access, natural disasters, terrorism, war and telecommunication and electrical failures. While we have not experienced any material system failure, accidents, or security breaches of this nature to date, if an event of this nature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clinical trial data from completed or future clinical trials could result in delays in our marketing approval efforts and significantly increase our costs to recover or reproduce the data. To the extent that any disruption or security breach were to result in a loss of or damage to our data or applications or the inappropriate disclosure of confidential or proprietary information, we could incur liability, our competitive position could be harmed, and the further development and commercialization of our product candidates could be delayed. Additionally, we may have data security obligations with respect to the information of third parties that we store. Unauthorized access or use of any third-party data or information of this nature could result in fines or other penalties that may impact our relationships with these third parties and our operations.</w:t>
      </w:r>
    </w:p>
    <w:p>
      <w:pPr>
        <w:spacing w:after="0" w:line="63" w:lineRule="exact"/>
        <w:rPr>
          <w:sz w:val="20"/>
          <w:szCs w:val="20"/>
          <w:color w:val="auto"/>
        </w:rPr>
      </w:pPr>
    </w:p>
    <w:p>
      <w:pPr>
        <w:ind w:right="700"/>
        <w:spacing w:after="0" w:line="306" w:lineRule="auto"/>
        <w:rPr>
          <w:sz w:val="20"/>
          <w:szCs w:val="20"/>
          <w:color w:val="auto"/>
        </w:rPr>
      </w:pPr>
      <w:r>
        <w:rPr>
          <w:rFonts w:ascii="Arial" w:cs="Arial" w:eastAsia="Arial" w:hAnsi="Arial"/>
          <w:sz w:val="17"/>
          <w:szCs w:val="17"/>
          <w:b w:val="1"/>
          <w:bCs w:val="1"/>
          <w:i w:val="1"/>
          <w:iCs w:val="1"/>
          <w:color w:val="auto"/>
        </w:rPr>
        <w:t>Our employees, independent contractors, vendors, principal investigators, CROs and consultants may engage in misconduct or other improper activities, including non-compliance with regulatory standards and requirements and insider trading laws.</w:t>
      </w:r>
    </w:p>
    <w:p>
      <w:pPr>
        <w:spacing w:after="0" w:line="40" w:lineRule="exact"/>
        <w:rPr>
          <w:sz w:val="20"/>
          <w:szCs w:val="20"/>
          <w:color w:val="auto"/>
        </w:rPr>
      </w:pPr>
    </w:p>
    <w:p>
      <w:pPr>
        <w:ind w:right="400"/>
        <w:spacing w:after="0" w:line="276" w:lineRule="auto"/>
        <w:rPr>
          <w:sz w:val="20"/>
          <w:szCs w:val="20"/>
          <w:color w:val="auto"/>
        </w:rPr>
      </w:pPr>
      <w:r>
        <w:rPr>
          <w:rFonts w:ascii="Arial" w:cs="Arial" w:eastAsia="Arial" w:hAnsi="Arial"/>
          <w:sz w:val="18"/>
          <w:szCs w:val="18"/>
          <w:color w:val="auto"/>
        </w:rPr>
        <w:t>We are exposed to the risk that our employees, independent contractors, vendors, principal investigators, CROs, CMOs and consultants may engage in fraudulent conduct or other illegal activity. Misconduct by these parties could include, among other things:</w:t>
      </w:r>
    </w:p>
    <w:p>
      <w:pPr>
        <w:spacing w:after="0" w:line="170" w:lineRule="exact"/>
        <w:rPr>
          <w:sz w:val="20"/>
          <w:szCs w:val="20"/>
          <w:color w:val="auto"/>
        </w:rPr>
      </w:pPr>
    </w:p>
    <w:p>
      <w:pPr>
        <w:ind w:left="540" w:right="40" w:hanging="263"/>
        <w:spacing w:after="0" w:line="276" w:lineRule="auto"/>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intentional, reckless, or negligent conduct or disclosure of unauthorized activities that violate study and trial protocols or the regulations of the FDA or similar foreign regulatory authorities;</w:t>
      </w:r>
    </w:p>
    <w:p>
      <w:pPr>
        <w:spacing w:after="0" w:line="170" w:lineRule="exact"/>
        <w:rPr>
          <w:rFonts w:ascii="Arial" w:cs="Arial" w:eastAsia="Arial" w:hAnsi="Arial"/>
          <w:sz w:val="18"/>
          <w:szCs w:val="18"/>
          <w:color w:val="auto"/>
        </w:rPr>
      </w:pPr>
    </w:p>
    <w:p>
      <w:pPr>
        <w:ind w:left="540" w:hanging="263"/>
        <w:spacing w:after="0"/>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violations of healthcare fraud and abuse laws and regulations in the United States and abroad;</w:t>
      </w:r>
    </w:p>
    <w:p>
      <w:pPr>
        <w:spacing w:after="0" w:line="223" w:lineRule="exact"/>
        <w:rPr>
          <w:rFonts w:ascii="Arial" w:cs="Arial" w:eastAsia="Arial" w:hAnsi="Arial"/>
          <w:sz w:val="18"/>
          <w:szCs w:val="18"/>
          <w:color w:val="auto"/>
        </w:rPr>
      </w:pPr>
    </w:p>
    <w:p>
      <w:pPr>
        <w:ind w:left="540" w:hanging="263"/>
        <w:spacing w:after="0"/>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violations of United States federal securities laws relating to trading in our common stock; and</w:t>
      </w:r>
    </w:p>
    <w:p>
      <w:pPr>
        <w:spacing w:after="0" w:line="223" w:lineRule="exact"/>
        <w:rPr>
          <w:rFonts w:ascii="Arial" w:cs="Arial" w:eastAsia="Arial" w:hAnsi="Arial"/>
          <w:sz w:val="18"/>
          <w:szCs w:val="18"/>
          <w:color w:val="auto"/>
        </w:rPr>
      </w:pPr>
    </w:p>
    <w:p>
      <w:pPr>
        <w:ind w:left="540" w:hanging="263"/>
        <w:spacing w:after="0"/>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failures to report financial information or data accurately.</w:t>
      </w:r>
    </w:p>
    <w:p>
      <w:pPr>
        <w:spacing w:after="0" w:line="224"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In particular, sales, marketing and business arrangements in the healthcare industry are subject to extensive laws and regulations intended to prevent fraud, misconduct, kickbacks, self-dealing and other abusive practices. These laws and regulations regulate a wide range of pricing, discounting, marketing and promotion, sales commission, customer incentive programs and other business arrangements. Other forms of misconduct could involve the improper use of information obtained in the course of clinical trials or creating fraudulent data in our preclinical studies or clinical trials, which could result in regulatory sanctions and cause serious harm to our reputation. We have adopted a code of business conduct and ethics and other corporate governance and compliance documents, policies and charters applicable to all of our employees. However, it is not always possible to identify and deter misconduct by employees and other third parties. Further, the precautions we take to detect and prevent this type of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fraud or other misconduct, even if none occurred. If any actions of this nature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83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70" w:name="page71"/>
    <w:bookmarkEnd w:id="70"/>
    <w:p>
      <w:pPr>
        <w:ind w:right="80"/>
        <w:spacing w:after="0" w:line="276" w:lineRule="auto"/>
        <w:rPr>
          <w:sz w:val="20"/>
          <w:szCs w:val="20"/>
          <w:color w:val="auto"/>
        </w:rPr>
      </w:pPr>
      <w:r>
        <w:rPr>
          <w:rFonts w:ascii="Arial" w:cs="Arial" w:eastAsia="Arial" w:hAnsi="Arial"/>
          <w:sz w:val="18"/>
          <w:szCs w:val="18"/>
          <w:color w:val="auto"/>
        </w:rPr>
        <w:t>other federal healthcare programs, contractual damages, reputational harm, diminished profits and future earnings and curtailment of our operations, any of which could adversely affect our business prospects, financial condition and results of operations.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were to determine to raise additional capital in the future, you would suffer dilution of your investment.</w:t>
      </w:r>
    </w:p>
    <w:p>
      <w:pPr>
        <w:spacing w:after="0" w:line="116"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may choose to raise additional capital in the future through the sale of shares or other securities convertible into shares, depending on market conditions, strategic considerations and operational requirements. To the extent we raise additional capital in this manner, our stockholders will be diluted. Future issuances of our common stock or other equity securities, or the perception that sales of this nature may occur, could adversely affect the trading price of our common stock and impair our ability to raise capital through future offerings of shares or equity securities. No prediction can be made as to the effect, if any, that future sales of common stock or the availability of common stock for future sales will have on the trading price of our common stock.</w:t>
      </w:r>
    </w:p>
    <w:p>
      <w:pPr>
        <w:spacing w:after="0" w:line="51" w:lineRule="exact"/>
        <w:rPr>
          <w:sz w:val="20"/>
          <w:szCs w:val="20"/>
          <w:color w:val="auto"/>
        </w:rPr>
      </w:pPr>
    </w:p>
    <w:p>
      <w:pPr>
        <w:ind w:right="160"/>
        <w:spacing w:after="0" w:line="276" w:lineRule="auto"/>
        <w:rPr>
          <w:sz w:val="20"/>
          <w:szCs w:val="20"/>
          <w:color w:val="auto"/>
        </w:rPr>
      </w:pPr>
      <w:r>
        <w:rPr>
          <w:rFonts w:ascii="Arial" w:cs="Arial" w:eastAsia="Arial" w:hAnsi="Arial"/>
          <w:sz w:val="18"/>
          <w:szCs w:val="18"/>
          <w:b w:val="1"/>
          <w:bCs w:val="1"/>
          <w:i w:val="1"/>
          <w:iCs w:val="1"/>
          <w:color w:val="auto"/>
        </w:rPr>
        <w:t>We do not know whether an active, liquid and orderly trading market will be sustained for our common stock or what the market price of our common stock will be and, as a result, it may be difficult for you to sell your shares of our common stock.</w:t>
      </w:r>
    </w:p>
    <w:p>
      <w:pPr>
        <w:spacing w:after="0" w:line="6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Prior to our initial public offering, there was no public trading market for shares of our common stock. Although our common stock is listed on The Nasdaq Global Select Market, an active trading market for our shares may not be sustained. You may not be able to sell your shares quickly or at the market price if trading in shares of our common stock is not active. Further, an inactive market may also impair our ability to raise capital by selling shares of our common stock and may impair our ability to enter into strategic partnerships or acquire companies or products by using our shares of common stock as consideration.</w:t>
      </w:r>
    </w:p>
    <w:p>
      <w:pPr>
        <w:spacing w:after="0" w:line="81" w:lineRule="exact"/>
        <w:rPr>
          <w:sz w:val="20"/>
          <w:szCs w:val="20"/>
          <w:color w:val="auto"/>
        </w:rPr>
      </w:pPr>
    </w:p>
    <w:p>
      <w:pPr>
        <w:ind w:right="300"/>
        <w:spacing w:after="0" w:line="276" w:lineRule="auto"/>
        <w:rPr>
          <w:sz w:val="20"/>
          <w:szCs w:val="20"/>
          <w:color w:val="auto"/>
        </w:rPr>
      </w:pPr>
      <w:r>
        <w:rPr>
          <w:rFonts w:ascii="Arial" w:cs="Arial" w:eastAsia="Arial" w:hAnsi="Arial"/>
          <w:sz w:val="18"/>
          <w:szCs w:val="18"/>
          <w:b w:val="1"/>
          <w:bCs w:val="1"/>
          <w:i w:val="1"/>
          <w:iCs w:val="1"/>
          <w:color w:val="auto"/>
        </w:rPr>
        <w:t>If securities or industry analysts do not continue to publish research or reports about our business, or if they issue an adverse or misleading opinion regarding our stock, our stock price and trading volume could decline.</w:t>
      </w:r>
    </w:p>
    <w:p>
      <w:pPr>
        <w:spacing w:after="0" w:line="6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trading market for our common stock is and will continue to be influenced by the research and reports that industry or securities analysts publish about us, our business or the targeted protein degradation space. We currently have limited research coverage by securities and industry analysts. If no or few securities or industry analysts cover us, the trading price for our common stock could be impacted negatively. If any of the analysts who cover us were to issue an adverse or misleading opinion regarding us, our business model, our intellectual property or our stock performance, or if our preclinical studies and future clinical trials and results of operations fail to meet the expectations of any of these analysts, our stock price would likely decline. If one or more of these covering analysts were to cease coverage of us or fail to publish reports on us regularly, we could lose visibility in the financial markets, which in turn could cause a decline in our stock price or trading volume.</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price of our common stock may be volatile and fluctuate substantially, which could result in substantial losses for purchasers of our common stock.</w:t>
      </w:r>
    </w:p>
    <w:p>
      <w:pPr>
        <w:spacing w:after="0" w:line="151"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 trading price of shares of our common stock is likely to be volatile and subject to wide fluctuations in response to various factors, some of which we cannot control. The stock market in general, and the market for smaller biopharmaceutical companies in particular, have experienced extreme volatility that has often been unrelated to the operating performance of particular companies. As a result of this volatility, you may not be able to sell your common stock at or above the price at which you acquired it. The market price for our common stock may be influenced by many factors, including:</w:t>
      </w:r>
    </w:p>
    <w:p>
      <w:pPr>
        <w:spacing w:after="0" w:line="154" w:lineRule="exact"/>
        <w:rPr>
          <w:sz w:val="20"/>
          <w:szCs w:val="20"/>
          <w:color w:val="auto"/>
        </w:rPr>
      </w:pPr>
    </w:p>
    <w:p>
      <w:pPr>
        <w:ind w:left="540" w:hanging="263"/>
        <w:spacing w:after="0"/>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degree of success of competitive products or technologies or changes in standard of care regimens;</w:t>
      </w:r>
    </w:p>
    <w:p>
      <w:pPr>
        <w:spacing w:after="0" w:line="223" w:lineRule="exact"/>
        <w:rPr>
          <w:rFonts w:ascii="Arial" w:cs="Arial" w:eastAsia="Arial" w:hAnsi="Arial"/>
          <w:sz w:val="18"/>
          <w:szCs w:val="18"/>
          <w:color w:val="auto"/>
        </w:rPr>
      </w:pPr>
    </w:p>
    <w:p>
      <w:pPr>
        <w:ind w:left="540" w:hanging="263"/>
        <w:spacing w:after="0"/>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results of preclinical studies and clinical trials of our product candidates or those of our competitors;</w:t>
      </w:r>
    </w:p>
    <w:p>
      <w:pPr>
        <w:spacing w:after="0" w:line="223" w:lineRule="exact"/>
        <w:rPr>
          <w:rFonts w:ascii="Arial" w:cs="Arial" w:eastAsia="Arial" w:hAnsi="Arial"/>
          <w:sz w:val="18"/>
          <w:szCs w:val="18"/>
          <w:color w:val="auto"/>
        </w:rPr>
      </w:pPr>
    </w:p>
    <w:p>
      <w:pPr>
        <w:ind w:left="540" w:hanging="263"/>
        <w:spacing w:after="0"/>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timing and progress of our clinical development activities;</w:t>
      </w:r>
    </w:p>
    <w:p>
      <w:pPr>
        <w:spacing w:after="0" w:line="223" w:lineRule="exact"/>
        <w:rPr>
          <w:rFonts w:ascii="Arial" w:cs="Arial" w:eastAsia="Arial" w:hAnsi="Arial"/>
          <w:sz w:val="18"/>
          <w:szCs w:val="18"/>
          <w:color w:val="auto"/>
        </w:rPr>
      </w:pPr>
    </w:p>
    <w:p>
      <w:pPr>
        <w:ind w:left="540" w:hanging="263"/>
        <w:spacing w:after="0"/>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23" w:lineRule="exact"/>
        <w:rPr>
          <w:rFonts w:ascii="Arial" w:cs="Arial" w:eastAsia="Arial" w:hAnsi="Arial"/>
          <w:sz w:val="18"/>
          <w:szCs w:val="18"/>
          <w:color w:val="auto"/>
        </w:rPr>
      </w:pPr>
    </w:p>
    <w:p>
      <w:pPr>
        <w:ind w:left="540" w:hanging="263"/>
        <w:spacing w:after="0"/>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23" w:lineRule="exact"/>
        <w:rPr>
          <w:rFonts w:ascii="Arial" w:cs="Arial" w:eastAsia="Arial" w:hAnsi="Arial"/>
          <w:sz w:val="18"/>
          <w:szCs w:val="18"/>
          <w:color w:val="auto"/>
        </w:rPr>
      </w:pPr>
    </w:p>
    <w:p>
      <w:pPr>
        <w:ind w:left="540" w:hanging="263"/>
        <w:spacing w:after="0"/>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23" w:lineRule="exact"/>
        <w:rPr>
          <w:rFonts w:ascii="Arial" w:cs="Arial" w:eastAsia="Arial" w:hAnsi="Arial"/>
          <w:sz w:val="18"/>
          <w:szCs w:val="18"/>
          <w:color w:val="auto"/>
        </w:rPr>
      </w:pPr>
    </w:p>
    <w:p>
      <w:pPr>
        <w:ind w:left="540" w:hanging="263"/>
        <w:spacing w:after="0"/>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223" w:lineRule="exact"/>
        <w:rPr>
          <w:rFonts w:ascii="Arial" w:cs="Arial" w:eastAsia="Arial" w:hAnsi="Arial"/>
          <w:sz w:val="18"/>
          <w:szCs w:val="18"/>
          <w:color w:val="auto"/>
        </w:rPr>
      </w:pPr>
    </w:p>
    <w:p>
      <w:pPr>
        <w:ind w:left="540" w:hanging="263"/>
        <w:spacing w:after="0"/>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additional technologies or product candidates;</w:t>
      </w:r>
    </w:p>
    <w:p>
      <w:pPr>
        <w:spacing w:after="0" w:line="223" w:lineRule="exact"/>
        <w:rPr>
          <w:rFonts w:ascii="Arial" w:cs="Arial" w:eastAsia="Arial" w:hAnsi="Arial"/>
          <w:sz w:val="18"/>
          <w:szCs w:val="18"/>
          <w:color w:val="auto"/>
        </w:rPr>
      </w:pPr>
    </w:p>
    <w:p>
      <w:pPr>
        <w:ind w:left="540" w:hanging="263"/>
        <w:spacing w:after="0"/>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223" w:lineRule="exact"/>
        <w:rPr>
          <w:rFonts w:ascii="Arial" w:cs="Arial" w:eastAsia="Arial" w:hAnsi="Arial"/>
          <w:sz w:val="18"/>
          <w:szCs w:val="18"/>
          <w:color w:val="auto"/>
        </w:rPr>
      </w:pPr>
    </w:p>
    <w:p>
      <w:pPr>
        <w:ind w:left="540" w:hanging="263"/>
        <w:spacing w:after="0"/>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23" w:lineRule="exact"/>
        <w:rPr>
          <w:rFonts w:ascii="Arial" w:cs="Arial" w:eastAsia="Arial" w:hAnsi="Arial"/>
          <w:sz w:val="18"/>
          <w:szCs w:val="18"/>
          <w:color w:val="auto"/>
        </w:rPr>
      </w:pPr>
    </w:p>
    <w:p>
      <w:pPr>
        <w:ind w:left="540" w:hanging="263"/>
        <w:spacing w:after="0"/>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23" w:lineRule="exact"/>
        <w:rPr>
          <w:rFonts w:ascii="Arial" w:cs="Arial" w:eastAsia="Arial" w:hAnsi="Arial"/>
          <w:sz w:val="18"/>
          <w:szCs w:val="18"/>
          <w:color w:val="auto"/>
        </w:rPr>
      </w:pPr>
    </w:p>
    <w:p>
      <w:pPr>
        <w:ind w:left="540" w:hanging="263"/>
        <w:spacing w:after="0"/>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23" w:lineRule="exact"/>
        <w:rPr>
          <w:rFonts w:ascii="Arial" w:cs="Arial" w:eastAsia="Arial" w:hAnsi="Arial"/>
          <w:sz w:val="18"/>
          <w:szCs w:val="18"/>
          <w:color w:val="auto"/>
        </w:rPr>
      </w:pPr>
    </w:p>
    <w:p>
      <w:pPr>
        <w:ind w:left="540" w:hanging="263"/>
        <w:spacing w:after="0"/>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effects of public health crises, pandemics and epidemics, such as COVID-19;</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83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1" w:name="page72"/>
    <w:bookmarkEnd w:id="71"/>
    <w:p>
      <w:pPr>
        <w:ind w:left="540" w:hanging="263"/>
        <w:spacing w:after="0"/>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224" w:lineRule="exact"/>
        <w:rPr>
          <w:rFonts w:ascii="Arial" w:cs="Arial" w:eastAsia="Arial" w:hAnsi="Arial"/>
          <w:sz w:val="18"/>
          <w:szCs w:val="18"/>
          <w:color w:val="auto"/>
        </w:rPr>
      </w:pPr>
    </w:p>
    <w:p>
      <w:pPr>
        <w:ind w:left="540" w:hanging="263"/>
        <w:spacing w:after="0"/>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If any of the foregoing matters were to occur or if our operating results fall below the expectations of investors or securities analysts, the price of our common stock could decline substantially. In the past, following periods of volatility in the market price of a company’s securities, securities class-action litigation often has been instituted against that company. Litigation of this nature, if instituted against us, could cause us to incur substantial costs to defend these claims and divert management’s attention and resources, which could seriously harm our business, financial condition, results of operations and prospects. Further, our director and officer liability insurance cost may increase as a result of litigation of this nature and our insurance deductible may be significant before our insurers are required to provide any coverage to us.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in the use of the capital we have raised and may not use them effectively.</w:t>
      </w:r>
    </w:p>
    <w:p>
      <w:pPr>
        <w:spacing w:after="0" w:line="1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Our management has broad discretion in the application of the net proceeds from our prior financings, including our initial public offering and follow-on offering, and could spend the proceeds in ways that do not improve our results of operations or enhance the value of our common stock. The failure by our management to apply these funds effectively could result in financial losses that could have an adverse effect on our business, cause the price of our common stock to decline and delay the development of our product candidates. Pending their use, we may invest the net proceeds from our prior financing activities in a manner that does not produce income or that loses value.</w:t>
      </w:r>
    </w:p>
    <w:p>
      <w:pPr>
        <w:spacing w:after="0" w:line="81" w:lineRule="exact"/>
        <w:rPr>
          <w:sz w:val="20"/>
          <w:szCs w:val="20"/>
          <w:color w:val="auto"/>
        </w:rPr>
      </w:pPr>
    </w:p>
    <w:p>
      <w:pPr>
        <w:ind w:right="160"/>
        <w:spacing w:after="0" w:line="276" w:lineRule="auto"/>
        <w:rPr>
          <w:sz w:val="20"/>
          <w:szCs w:val="20"/>
          <w:color w:val="auto"/>
        </w:rPr>
      </w:pPr>
      <w:r>
        <w:rPr>
          <w:rFonts w:ascii="Arial" w:cs="Arial" w:eastAsia="Arial" w:hAnsi="Arial"/>
          <w:sz w:val="18"/>
          <w:szCs w:val="18"/>
          <w:b w:val="1"/>
          <w:bCs w:val="1"/>
          <w:i w:val="1"/>
          <w:iCs w:val="1"/>
          <w:color w:val="auto"/>
        </w:rPr>
        <w:t>Our executive officers, directors and principal stockholders will have the ability to control or significantly influence matters submitted to stockholders for approval.</w:t>
      </w:r>
    </w:p>
    <w:p>
      <w:pPr>
        <w:spacing w:after="0" w:line="6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Our executive officers and directors, combined with our stockholders who have reported through filings made with the Securities and Exchange Commission that they own more than 5% of our outstanding common stock, in the aggregate, beneficially own a significant percentage of our shares. As a result, our executive officers and directors, combined with our greater than 5% stockholders, have the ability to control us through this ownership position. These stockholders, if acting together, will consequently continue to control matters submitted to our stockholders for approval, as well as our management and affairs. For example, these persons, if they choose to act together, would control the election of directors and approval of any merger, consolidation or sale of all or substantially all of our assets. This concentration of ownership control may:</w:t>
      </w:r>
    </w:p>
    <w:p>
      <w:pPr>
        <w:spacing w:after="0" w:line="174" w:lineRule="exact"/>
        <w:rPr>
          <w:sz w:val="20"/>
          <w:szCs w:val="20"/>
          <w:color w:val="auto"/>
        </w:rPr>
      </w:pPr>
    </w:p>
    <w:p>
      <w:pPr>
        <w:ind w:left="540" w:hanging="263"/>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delay, defer or prevent a change in control;</w:t>
      </w:r>
    </w:p>
    <w:p>
      <w:pPr>
        <w:spacing w:after="0" w:line="223" w:lineRule="exact"/>
        <w:rPr>
          <w:rFonts w:ascii="Arial" w:cs="Arial" w:eastAsia="Arial" w:hAnsi="Arial"/>
          <w:sz w:val="18"/>
          <w:szCs w:val="18"/>
          <w:color w:val="auto"/>
        </w:rPr>
      </w:pPr>
    </w:p>
    <w:p>
      <w:pPr>
        <w:ind w:left="540" w:hanging="263"/>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entrench our management and the board of directors; or</w:t>
      </w:r>
    </w:p>
    <w:p>
      <w:pPr>
        <w:spacing w:after="0" w:line="223" w:lineRule="exact"/>
        <w:rPr>
          <w:rFonts w:ascii="Arial" w:cs="Arial" w:eastAsia="Arial" w:hAnsi="Arial"/>
          <w:sz w:val="18"/>
          <w:szCs w:val="18"/>
          <w:color w:val="auto"/>
        </w:rPr>
      </w:pPr>
    </w:p>
    <w:p>
      <w:pPr>
        <w:ind w:left="540" w:hanging="263"/>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impede a merger, consolidation, takeover or other business combination involving us that other stockholders may desire.</w:t>
      </w:r>
    </w:p>
    <w:p>
      <w:pPr>
        <w:spacing w:after="0" w:line="224" w:lineRule="exact"/>
        <w:rPr>
          <w:sz w:val="20"/>
          <w:szCs w:val="20"/>
          <w:color w:val="auto"/>
        </w:rPr>
      </w:pPr>
    </w:p>
    <w:p>
      <w:pPr>
        <w:spacing w:after="0" w:line="341" w:lineRule="auto"/>
        <w:rPr>
          <w:sz w:val="20"/>
          <w:szCs w:val="20"/>
          <w:color w:val="auto"/>
        </w:rPr>
      </w:pPr>
      <w:r>
        <w:rPr>
          <w:rFonts w:ascii="Arial" w:cs="Arial" w:eastAsia="Arial" w:hAnsi="Arial"/>
          <w:sz w:val="16"/>
          <w:szCs w:val="16"/>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16" w:lineRule="exact"/>
        <w:rPr>
          <w:sz w:val="20"/>
          <w:szCs w:val="20"/>
          <w:color w:val="auto"/>
        </w:rPr>
      </w:pPr>
    </w:p>
    <w:p>
      <w:pPr>
        <w:ind w:right="140"/>
        <w:spacing w:after="0" w:line="306" w:lineRule="auto"/>
        <w:rPr>
          <w:sz w:val="20"/>
          <w:szCs w:val="20"/>
          <w:color w:val="auto"/>
        </w:rPr>
      </w:pPr>
      <w:r>
        <w:rPr>
          <w:rFonts w:ascii="Arial" w:cs="Arial" w:eastAsia="Arial" w:hAnsi="Arial"/>
          <w:sz w:val="17"/>
          <w:szCs w:val="17"/>
          <w:color w:val="auto"/>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spacing w:after="0" w:line="148" w:lineRule="exact"/>
        <w:rPr>
          <w:sz w:val="20"/>
          <w:szCs w:val="20"/>
          <w:color w:val="auto"/>
        </w:rPr>
      </w:pPr>
    </w:p>
    <w:p>
      <w:pPr>
        <w:ind w:left="540" w:right="340" w:hanging="263"/>
        <w:spacing w:after="0" w:line="276" w:lineRule="auto"/>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board of directors divided into three classes serving staggered three-year terms, the result of which is that not all members of the board will be elected at one time;</w:t>
      </w:r>
    </w:p>
    <w:p>
      <w:pPr>
        <w:spacing w:after="0" w:line="170" w:lineRule="exact"/>
        <w:rPr>
          <w:rFonts w:ascii="Arial" w:cs="Arial" w:eastAsia="Arial" w:hAnsi="Arial"/>
          <w:sz w:val="18"/>
          <w:szCs w:val="18"/>
          <w:color w:val="auto"/>
        </w:rPr>
      </w:pPr>
    </w:p>
    <w:p>
      <w:pPr>
        <w:ind w:left="540" w:right="180" w:hanging="263"/>
        <w:spacing w:after="0" w:line="276" w:lineRule="auto"/>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prohibition on stockholder action through written consent, the result of which is that all stockholder actions will have to be taken at a meeting of our stockholders;</w:t>
      </w:r>
    </w:p>
    <w:p>
      <w:pPr>
        <w:spacing w:after="0" w:line="170" w:lineRule="exact"/>
        <w:rPr>
          <w:rFonts w:ascii="Arial" w:cs="Arial" w:eastAsia="Arial" w:hAnsi="Arial"/>
          <w:sz w:val="18"/>
          <w:szCs w:val="18"/>
          <w:color w:val="auto"/>
        </w:rPr>
      </w:pPr>
    </w:p>
    <w:p>
      <w:pPr>
        <w:ind w:left="540" w:right="700" w:hanging="263"/>
        <w:spacing w:after="0" w:line="276" w:lineRule="auto"/>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requirement that special meetings of stockholders be called only by the board of directors acting pursuant to a resolution approved by the affirmative vote of a majority of the directors then in office;</w:t>
      </w:r>
    </w:p>
    <w:p>
      <w:pPr>
        <w:spacing w:after="0" w:line="170" w:lineRule="exact"/>
        <w:rPr>
          <w:rFonts w:ascii="Arial" w:cs="Arial" w:eastAsia="Arial" w:hAnsi="Arial"/>
          <w:sz w:val="18"/>
          <w:szCs w:val="18"/>
          <w:color w:val="auto"/>
        </w:rPr>
      </w:pPr>
    </w:p>
    <w:p>
      <w:pPr>
        <w:ind w:left="540" w:hanging="263"/>
        <w:spacing w:after="0"/>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 for election to our board of directors;</w:t>
      </w:r>
    </w:p>
    <w:p>
      <w:pPr>
        <w:spacing w:after="0" w:line="223" w:lineRule="exact"/>
        <w:rPr>
          <w:rFonts w:ascii="Arial" w:cs="Arial" w:eastAsia="Arial" w:hAnsi="Arial"/>
          <w:sz w:val="18"/>
          <w:szCs w:val="18"/>
          <w:color w:val="auto"/>
        </w:rPr>
      </w:pPr>
    </w:p>
    <w:p>
      <w:pPr>
        <w:ind w:left="540" w:right="280" w:hanging="263"/>
        <w:spacing w:after="0" w:line="263" w:lineRule="auto"/>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181" w:lineRule="exact"/>
        <w:rPr>
          <w:rFonts w:ascii="Arial" w:cs="Arial" w:eastAsia="Arial" w:hAnsi="Arial"/>
          <w:sz w:val="18"/>
          <w:szCs w:val="18"/>
          <w:color w:val="auto"/>
        </w:rPr>
      </w:pPr>
    </w:p>
    <w:p>
      <w:pPr>
        <w:ind w:left="540" w:right="160" w:hanging="263"/>
        <w:spacing w:after="0" w:line="276" w:lineRule="auto"/>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requirement of approval of not less than two-thirds of all outstanding shares of our voting stock to amend any bylaws by stockholder action or to amend specific provisions of our certificate of incorporation; and</w:t>
      </w:r>
    </w:p>
    <w:p>
      <w:pPr>
        <w:spacing w:after="0" w:line="170" w:lineRule="exact"/>
        <w:rPr>
          <w:rFonts w:ascii="Arial" w:cs="Arial" w:eastAsia="Arial" w:hAnsi="Arial"/>
          <w:sz w:val="18"/>
          <w:szCs w:val="18"/>
          <w:color w:val="auto"/>
        </w:rPr>
      </w:pPr>
    </w:p>
    <w:p>
      <w:pPr>
        <w:ind w:left="540" w:hanging="263"/>
        <w:spacing w:after="0" w:line="276" w:lineRule="auto"/>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170" w:lineRule="exact"/>
        <w:rPr>
          <w:sz w:val="20"/>
          <w:szCs w:val="20"/>
          <w:color w:val="auto"/>
        </w:rPr>
      </w:pPr>
    </w:p>
    <w:p>
      <w:pPr>
        <w:ind w:right="280"/>
        <w:spacing w:after="0" w:line="276" w:lineRule="auto"/>
        <w:rPr>
          <w:sz w:val="20"/>
          <w:szCs w:val="20"/>
          <w:color w:val="auto"/>
        </w:rPr>
      </w:pPr>
      <w:r>
        <w:rPr>
          <w:rFonts w:ascii="Arial" w:cs="Arial" w:eastAsia="Arial" w:hAnsi="Arial"/>
          <w:sz w:val="18"/>
          <w:szCs w:val="18"/>
          <w:color w:val="auto"/>
        </w:rPr>
        <w:t>In addition, because we are incorporated in Delaware, we are governed by the provisions of Section 203 of the Delaware General Corporate Law, which may prohibit certain business combinations with stockholders owning 15% or more of our outstanding voting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83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448" w:right="359" w:bottom="1440" w:gutter="0" w:footer="0" w:header="0"/>
        </w:sectPr>
      </w:pPr>
    </w:p>
    <w:bookmarkStart w:id="72" w:name="page73"/>
    <w:bookmarkEnd w:id="72"/>
    <w:p>
      <w:pPr>
        <w:ind w:right="160"/>
        <w:spacing w:after="0" w:line="255" w:lineRule="auto"/>
        <w:rPr>
          <w:sz w:val="20"/>
          <w:szCs w:val="20"/>
          <w:color w:val="auto"/>
        </w:rPr>
      </w:pPr>
      <w:r>
        <w:rPr>
          <w:rFonts w:ascii="Arial" w:cs="Arial" w:eastAsia="Arial" w:hAnsi="Arial"/>
          <w:sz w:val="18"/>
          <w:szCs w:val="18"/>
          <w:color w:val="auto"/>
        </w:rPr>
        <w:t>stock. These antitakeover provisions and other provisions in our amended and restated certificate of incorporation and amended and restated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81" w:lineRule="exact"/>
        <w:rPr>
          <w:sz w:val="20"/>
          <w:szCs w:val="20"/>
          <w:color w:val="auto"/>
        </w:rPr>
      </w:pPr>
    </w:p>
    <w:p>
      <w:pPr>
        <w:ind w:right="140"/>
        <w:spacing w:after="0" w:line="341" w:lineRule="auto"/>
        <w:rPr>
          <w:sz w:val="20"/>
          <w:szCs w:val="20"/>
          <w:color w:val="auto"/>
        </w:rPr>
      </w:pPr>
      <w:r>
        <w:rPr>
          <w:rFonts w:ascii="Arial" w:cs="Arial" w:eastAsia="Arial" w:hAnsi="Arial"/>
          <w:sz w:val="16"/>
          <w:szCs w:val="16"/>
          <w:b w:val="1"/>
          <w:bCs w:val="1"/>
          <w:i w:val="1"/>
          <w:iCs w:val="1"/>
          <w:color w:val="auto"/>
        </w:rPr>
        <w:t>We are presently an “emerging growth company” and a “smaller reporting company,” and we cannot be certain if the reduced reporting requirements applicable to emerging growth companies or smaller reporting companies will make our common stock less attractive to investors.</w:t>
      </w:r>
    </w:p>
    <w:p>
      <w:pPr>
        <w:spacing w:after="0" w:line="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are presently an “emerging growth company,” or EGC, as defined in the Jumpstart Our Business Startups Act of 2012, or the JOBS Act. We will remain an EGC until the earlier of: (1) the last day of the fiscal year in which we have total annual gross revenue of $1.07 billion or more; (2) the last day of 2025;</w:t>
      </w:r>
    </w:p>
    <w:p>
      <w:pPr>
        <w:spacing w:after="0" w:line="1" w:lineRule="exact"/>
        <w:rPr>
          <w:sz w:val="20"/>
          <w:szCs w:val="20"/>
          <w:color w:val="auto"/>
        </w:rPr>
      </w:pPr>
    </w:p>
    <w:p>
      <w:pPr>
        <w:ind w:right="80" w:firstLine="8"/>
        <w:spacing w:after="0" w:line="251" w:lineRule="auto"/>
        <w:tabs>
          <w:tab w:leader="none" w:pos="254"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date on which we have issued more than $1.0 billion in nonconvertible debt during the previous three years; and (4) the date on which we are deemed to be a large accelerated filer under the rules of the SEC, which means the last day of the first year in which the market value of our common stock that is held by non-affiliates exceeds $700 million as of June 30 of such year. On this basis, we will cease to be an emerging growth company on January 1, 2022 as we will be deemed to be a large accelerated filer under the rules of the Securities and Exchange Commission on that date. While we remain an EGC, we are permitted and intend to rely on exemptions from certain disclosure requirements that are applicable to other public companies that are not EGCs. These exemptions include:</w:t>
      </w:r>
    </w:p>
    <w:p>
      <w:pPr>
        <w:spacing w:after="0" w:line="195" w:lineRule="exact"/>
        <w:rPr>
          <w:rFonts w:ascii="Arial" w:cs="Arial" w:eastAsia="Arial" w:hAnsi="Arial"/>
          <w:sz w:val="18"/>
          <w:szCs w:val="18"/>
          <w:color w:val="auto"/>
        </w:rPr>
      </w:pPr>
    </w:p>
    <w:p>
      <w:pPr>
        <w:ind w:left="540" w:right="240" w:hanging="263"/>
        <w:spacing w:after="0" w:line="341" w:lineRule="auto"/>
        <w:tabs>
          <w:tab w:leader="none" w:pos="540" w:val="left"/>
        </w:tabs>
        <w:numPr>
          <w:ilvl w:val="1"/>
          <w:numId w:val="52"/>
        </w:numPr>
        <w:rPr>
          <w:rFonts w:ascii="Arial" w:cs="Arial" w:eastAsia="Arial" w:hAnsi="Arial"/>
          <w:sz w:val="16"/>
          <w:szCs w:val="16"/>
          <w:color w:val="auto"/>
        </w:rPr>
      </w:pPr>
      <w:r>
        <w:rPr>
          <w:rFonts w:ascii="Arial" w:cs="Arial" w:eastAsia="Arial" w:hAnsi="Arial"/>
          <w:sz w:val="16"/>
          <w:szCs w:val="16"/>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 in this report;</w:t>
      </w:r>
    </w:p>
    <w:p>
      <w:pPr>
        <w:spacing w:after="0" w:line="123" w:lineRule="exact"/>
        <w:rPr>
          <w:rFonts w:ascii="Arial" w:cs="Arial" w:eastAsia="Arial" w:hAnsi="Arial"/>
          <w:sz w:val="16"/>
          <w:szCs w:val="16"/>
          <w:color w:val="auto"/>
        </w:rPr>
      </w:pPr>
    </w:p>
    <w:p>
      <w:pPr>
        <w:ind w:left="540" w:hanging="263"/>
        <w:spacing w:after="0"/>
        <w:tabs>
          <w:tab w:leader="none" w:pos="5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in the assessment of our internal control over financial reporting;</w:t>
      </w:r>
    </w:p>
    <w:p>
      <w:pPr>
        <w:spacing w:after="0" w:line="224" w:lineRule="exact"/>
        <w:rPr>
          <w:rFonts w:ascii="Arial" w:cs="Arial" w:eastAsia="Arial" w:hAnsi="Arial"/>
          <w:sz w:val="18"/>
          <w:szCs w:val="18"/>
          <w:color w:val="auto"/>
        </w:rPr>
      </w:pPr>
    </w:p>
    <w:p>
      <w:pPr>
        <w:ind w:left="540" w:hanging="263"/>
        <w:spacing w:after="0"/>
        <w:tabs>
          <w:tab w:leader="none" w:pos="5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w:t>
      </w:r>
    </w:p>
    <w:p>
      <w:pPr>
        <w:spacing w:after="0" w:line="223" w:lineRule="exact"/>
        <w:rPr>
          <w:rFonts w:ascii="Arial" w:cs="Arial" w:eastAsia="Arial" w:hAnsi="Arial"/>
          <w:sz w:val="18"/>
          <w:szCs w:val="18"/>
          <w:color w:val="auto"/>
        </w:rPr>
      </w:pPr>
    </w:p>
    <w:p>
      <w:pPr>
        <w:ind w:left="540" w:right="540" w:hanging="263"/>
        <w:spacing w:after="0" w:line="276" w:lineRule="auto"/>
        <w:tabs>
          <w:tab w:leader="none" w:pos="5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 and</w:t>
      </w:r>
    </w:p>
    <w:p>
      <w:pPr>
        <w:spacing w:after="0" w:line="170" w:lineRule="exact"/>
        <w:rPr>
          <w:rFonts w:ascii="Arial" w:cs="Arial" w:eastAsia="Arial" w:hAnsi="Arial"/>
          <w:sz w:val="18"/>
          <w:szCs w:val="18"/>
          <w:color w:val="auto"/>
        </w:rPr>
      </w:pPr>
    </w:p>
    <w:p>
      <w:pPr>
        <w:ind w:left="540" w:right="200" w:hanging="263"/>
        <w:spacing w:after="0" w:line="276" w:lineRule="auto"/>
        <w:tabs>
          <w:tab w:leader="none" w:pos="5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 exemption from compliance with the requirement of the Public Company Accounting Oversight Board regarding the communication of critical audit matters in the auditor’s report on the financial statements.</w:t>
      </w:r>
    </w:p>
    <w:p>
      <w:pPr>
        <w:spacing w:after="0" w:line="17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may choose to take advantage of some, but not all, of these available exemptions. We have taken advantage of reduced reporting requirements in this report. In particular, we have presented only two years of audited financial statements and correspondingly reduced “Management’s Discussion and Analysis of Financial Condition and Results of Operations” disclosure. We cannot predict whether investors will find our common stock less attractive if we rely on certain or all of these exemptions. If some investors find our common stock less attractive as a result, there may be a less active trading market for our common stock and our stock price may be more volatile.</w:t>
      </w:r>
    </w:p>
    <w:p>
      <w:pPr>
        <w:spacing w:after="0" w:line="81"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In addition, the JOBS Act provides that an EGC may take advantage of an extended transition period for complying with new or revised accounting standards. This allows an EGC to delay the adoption of certain accounting standards until those standards would otherwise apply to private companies. We have elected to avail ourselves of this exemption until the earlier of the date that we (i) are no longer an emerging growth company or (ii) affirmatively and irrevocably opt out of the extended transition period provided in the JOBS Act.</w:t>
      </w:r>
    </w:p>
    <w:p>
      <w:pPr>
        <w:spacing w:after="0" w:line="8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also are a “smaller reporting company,” meaning that either (i) the market value of our stock held by non-affiliates is less than $250 million as of the prior June 30 or (ii) our annual revenue is less than $100 million during the most recently completed fiscal year and the market value of our stock held by non-affiliates is less than $700 million as of the prior June 30. If we are a smaller reporting company when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We will cease to be a smaller reporting company on January 1, 2022.</w:t>
      </w:r>
    </w:p>
    <w:p>
      <w:pPr>
        <w:spacing w:after="0" w:line="71"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b w:val="1"/>
          <w:bCs w:val="1"/>
          <w:i w:val="1"/>
          <w:iCs w:val="1"/>
          <w:color w:val="auto"/>
        </w:rPr>
        <w:t>We will continue to incur additional costs as a result of operating as a public company and our management will be required to devote substantial time to new compliance initiatives and corporate governance practices.</w:t>
      </w:r>
    </w:p>
    <w:p>
      <w:pPr>
        <w:spacing w:after="0" w:line="63"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As a public company, and particularly after 2021 when we will no longer be an EGC, we will continue to incur significant legal, accounting and other expenses that we did not incur as a private company. The Sarbanes-Oxley Act of 2002, or Sarbanes-Oxley, the Dodd-Frank Wall Street Reform and Consumer Protection Act, the listing requirements of The Nasdaq Stock Market LLC and other applicable securities rules and regulations impose various requirements on public companies, including establishment and maintenance of effective disclosure and financial controls and corporate governance practices. Our management and other personnel</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83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3" w:name="page74"/>
    <w:bookmarkEnd w:id="73"/>
    <w:p>
      <w:pPr>
        <w:ind w:right="160"/>
        <w:spacing w:after="0" w:line="258" w:lineRule="auto"/>
        <w:rPr>
          <w:sz w:val="20"/>
          <w:szCs w:val="20"/>
          <w:color w:val="auto"/>
        </w:rPr>
      </w:pPr>
      <w:r>
        <w:rPr>
          <w:rFonts w:ascii="Arial" w:cs="Arial" w:eastAsia="Arial" w:hAnsi="Arial"/>
          <w:sz w:val="18"/>
          <w:szCs w:val="18"/>
          <w:color w:val="auto"/>
        </w:rPr>
        <w:t>will need to devote a substantial amount of time to these compliance initiatives. Moreover, these rules and regulations will increase our legal and financial compliance and insurance costs and will make some activities more time-consuming and costly. For example, these rules and regulations make it more difficult and more expensive for us to obtain director and officer liability insurance, which in turn could make it more difficult for us to attract and retain qualified members of our board of directors.</w:t>
      </w:r>
    </w:p>
    <w:p>
      <w:pPr>
        <w:spacing w:after="0" w:line="80"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We continually evaluate these rules and regulations and cannot always predict or estimate the amount of additional costs we may incur or the timing of these costs. These rules and regulations are also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47"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Pursuant to Section 404 of Sarbanes-Oxley, or Section 404, we will be required to furnish a report by our management on our internal control over financial reporting. However, while we remain an EGC, we will not be required to include an attestation report on internal control over financial reporting issued by our independent registered public accounting firm. To achieve compliance with Section 404 within the prescribed period, we have started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Further, we cannot assure you that the measures we have taken in the past or will take in the future will prevent the occurrence of future material weaknesses or significant deficiencies in our internal control over financial reporting. If we identify one or more material weaknesses in the future, it could result in an adverse reaction in the financial markets and restrict our future access to the capital markets due to a loss of confidence in the reliability of our condensed consolidated financial statements.</w:t>
      </w:r>
    </w:p>
    <w:p>
      <w:pPr>
        <w:spacing w:after="0" w:line="74"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b w:val="1"/>
          <w:bCs w:val="1"/>
          <w:i w:val="1"/>
          <w:iCs w:val="1"/>
          <w:color w:val="auto"/>
        </w:rPr>
        <w:t>Our amended and restated bylaws designate specific courts as the exclusive forum for certain litigation that may be initiated by our stockholders, which could limit our stockholders’ ability to obtain a favorable judicial forum for disputes with us.</w:t>
      </w:r>
    </w:p>
    <w:p>
      <w:pPr>
        <w:spacing w:after="0" w:line="63"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Pursuant to our amended and restated bylaws, unless we consent in writing to the selection of an alternative forum, the Court of Chancery of the State of Delaware is the sole and exclusive forum for state law claims for (1) any derivative action or proceeding brought on our behalf; (2) any action asserting a claim of breach of a fiduciary duty owed by any of our directors, officers, or other employees to us or our stockholders; (3) any action asserting a claim arising pursuant to any provision of the Delaware General Corporation Law or our certificate of incorporation or bylaws; (4) any action to interpret, apply, enforce or determine the validity of our certificate of incorporation or bylaws; or (5) any action asserting a claim governed by the internal affairs doctrine. We refer to this provision in our bylaws as the Delaware Forum Provision. The Delaware Forum Provision will not apply to any causes of action arising under the Securities Act of 1933, as amended, the Securities Act, or the Exchange Act of 1934, as amended, or the Exchange Act. Our amended and restated bylaws further provide that unless we consent in writing to the selection of an alternative forum, the United States District Court for the District of Massachusetts shall be the sole and exclusive forum for resolving any complaint asserting a cause of action arising under the Securities Act, as our headquarters are located in Watertown, Massachusetts. We refer to this provision in our bylaws as the Federal Forum Provision. 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spacing w:after="0" w:line="5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Delaware Forum Provision and the Federal Forum Provision in our bylaws may impose additional litigation costs on stockholders in pursuing any such claims. Additionally, these forum selection clauses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63" w:lineRule="exact"/>
        <w:rPr>
          <w:sz w:val="20"/>
          <w:szCs w:val="20"/>
          <w:color w:val="auto"/>
        </w:rPr>
      </w:pPr>
    </w:p>
    <w:p>
      <w:pPr>
        <w:ind w:right="380"/>
        <w:spacing w:after="0" w:line="276"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63"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In addition, the terms of our Credit Agreement with Perceptive Credit also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83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4" w:name="page75"/>
    <w:bookmarkEnd w:id="74"/>
    <w:p>
      <w:pPr>
        <w:spacing w:after="0"/>
        <w:rPr>
          <w:sz w:val="20"/>
          <w:szCs w:val="20"/>
          <w:color w:val="auto"/>
        </w:rPr>
      </w:pPr>
      <w:r>
        <w:rPr>
          <w:rFonts w:ascii="Arial" w:cs="Arial" w:eastAsia="Arial" w:hAnsi="Arial"/>
          <w:sz w:val="16"/>
          <w:szCs w:val="16"/>
          <w:color w:val="auto"/>
        </w:rPr>
        <w:t>preclude us from paying dividends. As a result, capital appreciation, if any, of our common stock will be your sole source of gain for the foreseeable future.</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Unstable market and economic conditions may have serious adverse consequences on our business, financial condition and stock price.</w:t>
      </w:r>
    </w:p>
    <w:p>
      <w:pPr>
        <w:spacing w:after="0" w:line="12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For example, the global financial crisis caused extreme volatility and disruptions in the capital and credit markets. Similarly, the recent significant volatility associated with the ongoing COVID-19 pandemic has caused significant instability and disruptions in the capital and credit markets. A severe or prolonged economic downturn could result in a variety of risks to our business, including weakened demand for our product candidates, and could also impact our ability to raise additional capital when needed on acceptable terms, if at all. Our general business strategy may be adversely affected by any economic downturn of this nature, volatile business environment or continued unpredictable and unstable market conditions. If the current equity and credit markets deteriorate, or do not improve, it may make any necessary debt or equity financing more difficult, costly and dilutive.</w:t>
      </w:r>
    </w:p>
    <w:p>
      <w:pPr>
        <w:spacing w:after="0" w:line="71"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Failure to secure any necessary financing in a timely manner and on favorable terms could have an adverse effect on our growth strategy, financial performance and stock price and could require us to delay or abandon clinical development plans. In addition, there is a risk that one or more of our current service providers, manufacturers and other partners may not survive these difficult economic times, which could directly affect our ability to attain our operating goals on schedule and on budget.</w:t>
      </w:r>
    </w:p>
    <w:p>
      <w:pPr>
        <w:spacing w:after="0" w:line="80"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Historically, securities class action litigation has often been brought against a company following a decline in the market price of its securities. This risk is especially relevant for us because biotechnology and pharmaceutical companies have experienced significant stock price volatility in recent years. If we were to be sued, it could result in substantial costs and a diversion of management’s attention and resources, which could adversely affect our business prospects, financial condition and results of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our Initial Public Offering of Common Stock</w:t>
      </w:r>
    </w:p>
    <w:p>
      <w:pPr>
        <w:spacing w:after="0" w:line="116" w:lineRule="exact"/>
        <w:rPr>
          <w:sz w:val="20"/>
          <w:szCs w:val="20"/>
          <w:color w:val="auto"/>
        </w:rPr>
      </w:pPr>
    </w:p>
    <w:p>
      <w:pPr>
        <w:ind w:right="280"/>
        <w:spacing w:after="0" w:line="275" w:lineRule="auto"/>
        <w:rPr>
          <w:sz w:val="20"/>
          <w:szCs w:val="20"/>
          <w:color w:val="auto"/>
        </w:rPr>
      </w:pPr>
      <w:r>
        <w:rPr>
          <w:rFonts w:ascii="Arial" w:cs="Arial" w:eastAsia="Arial" w:hAnsi="Arial"/>
          <w:sz w:val="17"/>
          <w:szCs w:val="17"/>
          <w:color w:val="auto"/>
        </w:rPr>
        <w:t>In October 2020, our Registration Statement on Form S-1 (No. 333-248719) was declared effective by the SEC pursuant to which we issued and sold an aggregate of 11,040,000 shares of common stock (inclusive of shares of sold pursuant to the underwriters’ exercise of their over-allotment option) at a public offering price of $19.00 per share for aggregate net cash proceeds of $191.2 million, after deducting underwriting discounts, commissions and offering costs. No payments for such expenses were made directly or indirectly to (i) any of our officers or directors or their associates, (ii) any persons owning 10% or more of any class of our equity securities or (iii) any of our affiliates.</w:t>
      </w:r>
    </w:p>
    <w:p>
      <w:pPr>
        <w:spacing w:after="0" w:line="65" w:lineRule="exact"/>
        <w:rPr>
          <w:sz w:val="20"/>
          <w:szCs w:val="20"/>
          <w:color w:val="auto"/>
        </w:rPr>
      </w:pPr>
    </w:p>
    <w:p>
      <w:pPr>
        <w:ind w:right="500"/>
        <w:spacing w:after="0" w:line="276" w:lineRule="auto"/>
        <w:rPr>
          <w:sz w:val="20"/>
          <w:szCs w:val="20"/>
          <w:color w:val="auto"/>
        </w:rPr>
      </w:pPr>
      <w:r>
        <w:rPr>
          <w:rFonts w:ascii="Arial" w:cs="Arial" w:eastAsia="Arial" w:hAnsi="Arial"/>
          <w:sz w:val="18"/>
          <w:szCs w:val="18"/>
          <w:color w:val="auto"/>
        </w:rPr>
        <w:t>The sale and issuance of 11,040,000 shares closed on October 6, 2020. Jefferies LLC, Evercore Group L.L.C., BMO Capital Markets Corp. and UBS Securities LLC acted as joint book-running managers for the offering.</w:t>
      </w:r>
    </w:p>
    <w:p>
      <w:pPr>
        <w:spacing w:after="0" w:line="63" w:lineRule="exact"/>
        <w:rPr>
          <w:sz w:val="20"/>
          <w:szCs w:val="20"/>
          <w:color w:val="auto"/>
        </w:rPr>
      </w:pPr>
    </w:p>
    <w:p>
      <w:pPr>
        <w:ind w:right="160"/>
        <w:spacing w:after="0" w:line="276" w:lineRule="auto"/>
        <w:rPr>
          <w:sz w:val="20"/>
          <w:szCs w:val="20"/>
          <w:color w:val="auto"/>
        </w:rPr>
      </w:pPr>
      <w:r>
        <w:rPr>
          <w:rFonts w:ascii="Arial" w:cs="Arial" w:eastAsia="Arial" w:hAnsi="Arial"/>
          <w:sz w:val="18"/>
          <w:szCs w:val="18"/>
          <w:color w:val="auto"/>
        </w:rPr>
        <w:t>There has been no material change in the planned use of proceeds from our initial public offering from that described in the final prospectus filed with the SEC pursuant to Rule 424(b) relating to our Registration Statement on Form S-1.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of Shares of Company Equity Securities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0"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In accordance with Section 21.2.5 of the Roche Agreement, the Company and Roche mutually agreed to terminate the Roche Agreement as to the target BRAF, thereby converting BRAF into a proprietary program for the Company. To document this mutual agreement, the Company and Roche entered into a Mutual Target Termination Agreement on November 9, 2021, which formally terminated the Roche Agreement with respect to the BRAF target, leaving the Roche Agreement operational and effective as to four targets.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83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34"/>
        </w:trPr>
        <w:tc>
          <w:tcPr>
            <w:tcW w:w="6440" w:type="dxa"/>
            <w:vAlign w:val="bottom"/>
            <w:gridSpan w:val="15"/>
          </w:tcPr>
          <w:p>
            <w:pPr>
              <w:spacing w:after="0"/>
              <w:rPr>
                <w:sz w:val="20"/>
                <w:szCs w:val="20"/>
                <w:color w:val="auto"/>
              </w:rPr>
            </w:pPr>
            <w:r>
              <w:rPr>
                <w:rFonts w:ascii="Arial" w:cs="Arial" w:eastAsia="Arial" w:hAnsi="Arial"/>
                <w:sz w:val="18"/>
                <w:szCs w:val="18"/>
                <w:b w:val="1"/>
                <w:bCs w:val="1"/>
                <w:color w:val="auto"/>
              </w:rPr>
              <w:t>Item 6. Exhibits.</w:t>
            </w:r>
          </w:p>
        </w:tc>
        <w:tc>
          <w:tcPr>
            <w:tcW w:w="7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13"/>
        </w:trPr>
        <w:tc>
          <w:tcPr>
            <w:tcW w:w="1040" w:type="dxa"/>
            <w:vAlign w:val="bottom"/>
          </w:tcPr>
          <w:p>
            <w:pPr>
              <w:ind w:left="240"/>
              <w:spacing w:after="0"/>
              <w:rPr>
                <w:sz w:val="20"/>
                <w:szCs w:val="20"/>
                <w:color w:val="auto"/>
              </w:rPr>
            </w:pPr>
            <w:r>
              <w:rPr>
                <w:rFonts w:ascii="Arial" w:cs="Arial" w:eastAsia="Arial" w:hAnsi="Arial"/>
                <w:sz w:val="18"/>
                <w:szCs w:val="18"/>
                <w:b w:val="1"/>
                <w:bCs w:val="1"/>
                <w:color w:val="auto"/>
              </w:rPr>
              <w:t>Exhibit</w:t>
            </w: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File</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8"/>
              </w:rPr>
              <w:t>Date of</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0"/>
              </w:rPr>
              <w:t>Filed</w:t>
            </w:r>
          </w:p>
        </w:tc>
      </w:tr>
      <w:tr>
        <w:trPr>
          <w:trHeight w:val="234"/>
        </w:trPr>
        <w:tc>
          <w:tcPr>
            <w:tcW w:w="10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Number</w:t>
            </w:r>
          </w:p>
        </w:tc>
        <w:tc>
          <w:tcPr>
            <w:tcW w:w="6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960" w:type="dxa"/>
            <w:vAlign w:val="bottom"/>
            <w:tcBorders>
              <w:bottom w:val="single" w:sz="8" w:color="auto"/>
            </w:tcBorders>
            <w:gridSpan w:val="11"/>
          </w:tcPr>
          <w:p>
            <w:pPr>
              <w:ind w:left="780"/>
              <w:spacing w:after="0"/>
              <w:rPr>
                <w:sz w:val="20"/>
                <w:szCs w:val="20"/>
                <w:color w:val="auto"/>
              </w:rPr>
            </w:pPr>
            <w:r>
              <w:rPr>
                <w:rFonts w:ascii="Arial" w:cs="Arial" w:eastAsia="Arial" w:hAnsi="Arial"/>
                <w:sz w:val="18"/>
                <w:szCs w:val="18"/>
                <w:b w:val="1"/>
                <w:bCs w:val="1"/>
                <w:color w:val="auto"/>
              </w:rPr>
              <w:t>Description</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Form</w:t>
            </w:r>
          </w:p>
        </w:tc>
        <w:tc>
          <w:tcPr>
            <w:tcW w:w="114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4"/>
              </w:rPr>
              <w:t>Number</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Filing</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Herewith</w:t>
            </w:r>
          </w:p>
        </w:tc>
      </w:tr>
      <w:tr>
        <w:trPr>
          <w:trHeight w:val="384"/>
        </w:trPr>
        <w:tc>
          <w:tcPr>
            <w:tcW w:w="1040" w:type="dxa"/>
            <w:vAlign w:val="bottom"/>
          </w:tcPr>
          <w:p>
            <w:pPr>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24"/>
                <w:szCs w:val="24"/>
                <w:color w:val="auto"/>
              </w:rPr>
            </w:pPr>
          </w:p>
        </w:tc>
        <w:tc>
          <w:tcPr>
            <w:tcW w:w="4540" w:type="dxa"/>
            <w:vAlign w:val="bottom"/>
            <w:tcBorders>
              <w:bottom w:val="single" w:sz="8" w:color="0000EE"/>
            </w:tcBorders>
            <w:gridSpan w:val="4"/>
          </w:tcPr>
          <w:p>
            <w:pPr>
              <w:spacing w:after="0"/>
              <w:rPr>
                <w:rFonts w:ascii="Arial" w:cs="Arial" w:eastAsia="Arial" w:hAnsi="Arial"/>
                <w:sz w:val="18"/>
                <w:szCs w:val="18"/>
                <w:color w:val="0000EE"/>
                <w:w w:val="91"/>
              </w:rPr>
            </w:pPr>
            <w:hyperlink r:id="rId95">
              <w:r>
                <w:rPr>
                  <w:rFonts w:ascii="Arial" w:cs="Arial" w:eastAsia="Arial" w:hAnsi="Arial"/>
                  <w:sz w:val="18"/>
                  <w:szCs w:val="18"/>
                  <w:color w:val="0000EE"/>
                  <w:w w:val="91"/>
                </w:rPr>
                <w:t>Fifth Amended and Restated Certificate of Incorporation of the</w:t>
              </w:r>
            </w:hyperlink>
          </w:p>
        </w:tc>
        <w:tc>
          <w:tcPr>
            <w:tcW w:w="800" w:type="dxa"/>
            <w:vAlign w:val="bottom"/>
            <w:gridSpan w:val="9"/>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ind w:left="10"/>
              <w:spacing w:after="0"/>
              <w:rPr>
                <w:sz w:val="20"/>
                <w:szCs w:val="20"/>
                <w:color w:val="auto"/>
              </w:rPr>
            </w:pPr>
            <w:r>
              <w:rPr>
                <w:rFonts w:ascii="Arial" w:cs="Arial" w:eastAsia="Arial" w:hAnsi="Arial"/>
                <w:sz w:val="18"/>
                <w:szCs w:val="18"/>
                <w:color w:val="auto"/>
                <w:w w:val="88"/>
              </w:rPr>
              <w:t>001-39567</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10/06/2020</w:t>
            </w:r>
          </w:p>
        </w:tc>
        <w:tc>
          <w:tcPr>
            <w:tcW w:w="940" w:type="dxa"/>
            <w:vAlign w:val="bottom"/>
          </w:tcPr>
          <w:p>
            <w:pPr>
              <w:jc w:val="center"/>
              <w:spacing w:after="0"/>
              <w:rPr>
                <w:sz w:val="20"/>
                <w:szCs w:val="20"/>
                <w:color w:val="auto"/>
              </w:rPr>
            </w:pPr>
            <w:r>
              <w:rPr>
                <w:rFonts w:ascii="Arial" w:cs="Arial" w:eastAsia="Arial" w:hAnsi="Arial"/>
                <w:sz w:val="18"/>
                <w:szCs w:val="18"/>
                <w:color w:val="auto"/>
                <w:w w:val="95"/>
              </w:rPr>
              <w:t>3.3</w:t>
            </w:r>
          </w:p>
        </w:tc>
        <w:tc>
          <w:tcPr>
            <w:tcW w:w="1000" w:type="dxa"/>
            <w:vAlign w:val="bottom"/>
          </w:tcPr>
          <w:p>
            <w:pPr>
              <w:spacing w:after="0"/>
              <w:rPr>
                <w:sz w:val="24"/>
                <w:szCs w:val="24"/>
                <w:color w:val="auto"/>
              </w:rPr>
            </w:pPr>
          </w:p>
        </w:tc>
      </w:tr>
      <w:tr>
        <w:trPr>
          <w:trHeight w:val="195"/>
        </w:trPr>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Borders>
              <w:bottom w:val="single" w:sz="8" w:color="0000EE"/>
            </w:tcBorders>
          </w:tcPr>
          <w:p>
            <w:pPr>
              <w:spacing w:after="0" w:line="195" w:lineRule="exact"/>
              <w:rPr>
                <w:rFonts w:ascii="Arial" w:cs="Arial" w:eastAsia="Arial" w:hAnsi="Arial"/>
                <w:sz w:val="18"/>
                <w:szCs w:val="18"/>
                <w:color w:val="0000EE"/>
                <w:w w:val="87"/>
              </w:rPr>
            </w:pPr>
            <w:hyperlink r:id="rId95">
              <w:r>
                <w:rPr>
                  <w:rFonts w:ascii="Arial" w:cs="Arial" w:eastAsia="Arial" w:hAnsi="Arial"/>
                  <w:sz w:val="18"/>
                  <w:szCs w:val="18"/>
                  <w:color w:val="0000EE"/>
                  <w:w w:val="87"/>
                </w:rPr>
                <w:t>Registrant</w:t>
              </w:r>
            </w:hyperlink>
          </w:p>
        </w:tc>
        <w:tc>
          <w:tcPr>
            <w:tcW w:w="4600" w:type="dxa"/>
            <w:vAlign w:val="bottom"/>
            <w:gridSpan w:val="12"/>
          </w:tcPr>
          <w:p>
            <w:pPr>
              <w:spacing w:after="0"/>
              <w:rPr>
                <w:sz w:val="17"/>
                <w:szCs w:val="17"/>
                <w:color w:val="auto"/>
              </w:rPr>
            </w:pPr>
          </w:p>
        </w:tc>
        <w:tc>
          <w:tcPr>
            <w:tcW w:w="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11"/>
        </w:trPr>
        <w:tc>
          <w:tcPr>
            <w:tcW w:w="1040" w:type="dxa"/>
            <w:vAlign w:val="bottom"/>
          </w:tcPr>
          <w:p>
            <w:pPr>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24"/>
                <w:szCs w:val="24"/>
                <w:color w:val="auto"/>
              </w:rPr>
            </w:pPr>
          </w:p>
        </w:tc>
        <w:tc>
          <w:tcPr>
            <w:tcW w:w="4700" w:type="dxa"/>
            <w:vAlign w:val="bottom"/>
            <w:tcBorders>
              <w:bottom w:val="single" w:sz="8" w:color="0000EE"/>
            </w:tcBorders>
            <w:gridSpan w:val="7"/>
          </w:tcPr>
          <w:p>
            <w:pPr>
              <w:spacing w:after="0"/>
              <w:rPr>
                <w:rFonts w:ascii="Arial" w:cs="Arial" w:eastAsia="Arial" w:hAnsi="Arial"/>
                <w:sz w:val="18"/>
                <w:szCs w:val="18"/>
                <w:color w:val="0000EE"/>
                <w:w w:val="89"/>
              </w:rPr>
            </w:pPr>
            <w:hyperlink r:id="rId96">
              <w:r>
                <w:rPr>
                  <w:rFonts w:ascii="Arial" w:cs="Arial" w:eastAsia="Arial" w:hAnsi="Arial"/>
                  <w:sz w:val="18"/>
                  <w:szCs w:val="18"/>
                  <w:color w:val="0000EE"/>
                  <w:w w:val="89"/>
                </w:rPr>
                <w:t>Form of Second Amended and Restated Bylaws of the Registrant</w:t>
              </w:r>
            </w:hyperlink>
          </w:p>
        </w:tc>
        <w:tc>
          <w:tcPr>
            <w:tcW w:w="640" w:type="dxa"/>
            <w:vAlign w:val="bottom"/>
            <w:gridSpan w:val="6"/>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140" w:type="dxa"/>
            <w:vAlign w:val="bottom"/>
          </w:tcPr>
          <w:p>
            <w:pPr>
              <w:jc w:val="center"/>
              <w:ind w:left="10"/>
              <w:spacing w:after="0"/>
              <w:rPr>
                <w:sz w:val="20"/>
                <w:szCs w:val="20"/>
                <w:color w:val="auto"/>
              </w:rPr>
            </w:pPr>
            <w:r>
              <w:rPr>
                <w:rFonts w:ascii="Arial" w:cs="Arial" w:eastAsia="Arial" w:hAnsi="Arial"/>
                <w:sz w:val="18"/>
                <w:szCs w:val="18"/>
                <w:color w:val="auto"/>
                <w:w w:val="91"/>
              </w:rPr>
              <w:t>333-248719</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09/10/2020</w:t>
            </w:r>
          </w:p>
        </w:tc>
        <w:tc>
          <w:tcPr>
            <w:tcW w:w="940" w:type="dxa"/>
            <w:vAlign w:val="bottom"/>
          </w:tcPr>
          <w:p>
            <w:pPr>
              <w:jc w:val="center"/>
              <w:spacing w:after="0"/>
              <w:rPr>
                <w:sz w:val="20"/>
                <w:szCs w:val="20"/>
                <w:color w:val="auto"/>
              </w:rPr>
            </w:pPr>
            <w:r>
              <w:rPr>
                <w:rFonts w:ascii="Arial" w:cs="Arial" w:eastAsia="Arial" w:hAnsi="Arial"/>
                <w:sz w:val="18"/>
                <w:szCs w:val="18"/>
                <w:color w:val="auto"/>
                <w:w w:val="95"/>
              </w:rPr>
              <w:t>3.5</w:t>
            </w:r>
          </w:p>
        </w:tc>
        <w:tc>
          <w:tcPr>
            <w:tcW w:w="1000" w:type="dxa"/>
            <w:vAlign w:val="bottom"/>
          </w:tcPr>
          <w:p>
            <w:pPr>
              <w:spacing w:after="0"/>
              <w:rPr>
                <w:sz w:val="24"/>
                <w:szCs w:val="24"/>
                <w:color w:val="auto"/>
              </w:rPr>
            </w:pPr>
          </w:p>
        </w:tc>
      </w:tr>
      <w:tr>
        <w:trPr>
          <w:trHeight w:val="411"/>
        </w:trPr>
        <w:tc>
          <w:tcPr>
            <w:tcW w:w="1040" w:type="dxa"/>
            <w:vAlign w:val="bottom"/>
          </w:tcPr>
          <w:p>
            <w:pPr>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24"/>
                <w:szCs w:val="24"/>
                <w:color w:val="auto"/>
              </w:rPr>
            </w:pPr>
          </w:p>
        </w:tc>
        <w:tc>
          <w:tcPr>
            <w:tcW w:w="4580" w:type="dxa"/>
            <w:vAlign w:val="bottom"/>
            <w:tcBorders>
              <w:bottom w:val="single" w:sz="8" w:color="0000EE"/>
            </w:tcBorders>
            <w:gridSpan w:val="5"/>
          </w:tcPr>
          <w:p>
            <w:pPr>
              <w:spacing w:after="0"/>
              <w:rPr>
                <w:rFonts w:ascii="Arial" w:cs="Arial" w:eastAsia="Arial" w:hAnsi="Arial"/>
                <w:sz w:val="18"/>
                <w:szCs w:val="18"/>
                <w:color w:val="0000EE"/>
                <w:w w:val="89"/>
              </w:rPr>
            </w:pPr>
            <w:hyperlink r:id="rId97">
              <w:r>
                <w:rPr>
                  <w:rFonts w:ascii="Arial" w:cs="Arial" w:eastAsia="Arial" w:hAnsi="Arial"/>
                  <w:sz w:val="18"/>
                  <w:szCs w:val="18"/>
                  <w:color w:val="0000EE"/>
                  <w:w w:val="89"/>
                </w:rPr>
                <w:t>Amended and Restated Investors’ Rights Agreement among the</w:t>
              </w:r>
            </w:hyperlink>
          </w:p>
        </w:tc>
        <w:tc>
          <w:tcPr>
            <w:tcW w:w="760" w:type="dxa"/>
            <w:vAlign w:val="bottom"/>
            <w:gridSpan w:val="8"/>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140" w:type="dxa"/>
            <w:vAlign w:val="bottom"/>
          </w:tcPr>
          <w:p>
            <w:pPr>
              <w:jc w:val="center"/>
              <w:ind w:left="10"/>
              <w:spacing w:after="0"/>
              <w:rPr>
                <w:sz w:val="20"/>
                <w:szCs w:val="20"/>
                <w:color w:val="auto"/>
              </w:rPr>
            </w:pPr>
            <w:r>
              <w:rPr>
                <w:rFonts w:ascii="Arial" w:cs="Arial" w:eastAsia="Arial" w:hAnsi="Arial"/>
                <w:sz w:val="18"/>
                <w:szCs w:val="18"/>
                <w:color w:val="auto"/>
                <w:w w:val="91"/>
              </w:rPr>
              <w:t>333-248719</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09/10/2020</w:t>
            </w:r>
          </w:p>
        </w:tc>
        <w:tc>
          <w:tcPr>
            <w:tcW w:w="94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000" w:type="dxa"/>
            <w:vAlign w:val="bottom"/>
          </w:tcPr>
          <w:p>
            <w:pPr>
              <w:spacing w:after="0"/>
              <w:rPr>
                <w:sz w:val="24"/>
                <w:szCs w:val="24"/>
                <w:color w:val="auto"/>
              </w:rPr>
            </w:pPr>
          </w:p>
        </w:tc>
      </w:tr>
      <w:tr>
        <w:trPr>
          <w:trHeight w:val="195"/>
        </w:trPr>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300" w:type="dxa"/>
            <w:vAlign w:val="bottom"/>
            <w:tcBorders>
              <w:bottom w:val="single" w:sz="8" w:color="0000EE"/>
            </w:tcBorders>
            <w:gridSpan w:val="3"/>
          </w:tcPr>
          <w:p>
            <w:pPr>
              <w:spacing w:after="0" w:line="195" w:lineRule="exact"/>
              <w:rPr>
                <w:rFonts w:ascii="Arial" w:cs="Arial" w:eastAsia="Arial" w:hAnsi="Arial"/>
                <w:sz w:val="18"/>
                <w:szCs w:val="18"/>
                <w:color w:val="0000EE"/>
                <w:w w:val="90"/>
              </w:rPr>
            </w:pPr>
            <w:hyperlink r:id="rId97">
              <w:r>
                <w:rPr>
                  <w:rFonts w:ascii="Arial" w:cs="Arial" w:eastAsia="Arial" w:hAnsi="Arial"/>
                  <w:sz w:val="18"/>
                  <w:szCs w:val="18"/>
                  <w:color w:val="0000EE"/>
                  <w:w w:val="90"/>
                </w:rPr>
                <w:t>Registrant, its warrant holder and certain of its stockholders</w:t>
              </w:r>
            </w:hyperlink>
          </w:p>
        </w:tc>
        <w:tc>
          <w:tcPr>
            <w:tcW w:w="1040" w:type="dxa"/>
            <w:vAlign w:val="bottom"/>
            <w:gridSpan w:val="10"/>
          </w:tcPr>
          <w:p>
            <w:pPr>
              <w:spacing w:after="0"/>
              <w:rPr>
                <w:sz w:val="17"/>
                <w:szCs w:val="17"/>
                <w:color w:val="auto"/>
              </w:rPr>
            </w:pPr>
          </w:p>
        </w:tc>
        <w:tc>
          <w:tcPr>
            <w:tcW w:w="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11"/>
        </w:trPr>
        <w:tc>
          <w:tcPr>
            <w:tcW w:w="1040" w:type="dxa"/>
            <w:vAlign w:val="bottom"/>
          </w:tcPr>
          <w:p>
            <w:pPr>
              <w:spacing w:after="0"/>
              <w:rPr>
                <w:sz w:val="20"/>
                <w:szCs w:val="20"/>
                <w:color w:val="auto"/>
              </w:rPr>
            </w:pPr>
            <w:r>
              <w:rPr>
                <w:rFonts w:ascii="Arial" w:cs="Arial" w:eastAsia="Arial" w:hAnsi="Arial"/>
                <w:sz w:val="18"/>
                <w:szCs w:val="18"/>
                <w:color w:val="auto"/>
              </w:rPr>
              <w:t>31.1</w:t>
            </w:r>
          </w:p>
        </w:tc>
        <w:tc>
          <w:tcPr>
            <w:tcW w:w="60" w:type="dxa"/>
            <w:vAlign w:val="bottom"/>
          </w:tcPr>
          <w:p>
            <w:pPr>
              <w:spacing w:after="0"/>
              <w:rPr>
                <w:sz w:val="24"/>
                <w:szCs w:val="24"/>
                <w:color w:val="auto"/>
              </w:rPr>
            </w:pPr>
          </w:p>
        </w:tc>
        <w:tc>
          <w:tcPr>
            <w:tcW w:w="5340" w:type="dxa"/>
            <w:vAlign w:val="bottom"/>
            <w:gridSpan w:val="13"/>
          </w:tcPr>
          <w:p>
            <w:pPr>
              <w:spacing w:after="0"/>
              <w:rPr>
                <w:rFonts w:ascii="Arial" w:cs="Arial" w:eastAsia="Arial" w:hAnsi="Arial"/>
                <w:sz w:val="18"/>
                <w:szCs w:val="18"/>
                <w:color w:val="0000EE"/>
                <w:w w:val="94"/>
              </w:rPr>
            </w:pPr>
            <w:hyperlink w:anchor="page78">
              <w:r>
                <w:rPr>
                  <w:rFonts w:ascii="Arial" w:cs="Arial" w:eastAsia="Arial" w:hAnsi="Arial"/>
                  <w:sz w:val="18"/>
                  <w:szCs w:val="18"/>
                  <w:color w:val="0000EE"/>
                  <w:w w:val="94"/>
                </w:rPr>
                <w:t>Certification of Principal Executive Officer Pursuant to Rules 13a-14(a)</w:t>
              </w:r>
            </w:hyperlink>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195"/>
        </w:trPr>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40" w:type="dxa"/>
            <w:vAlign w:val="bottom"/>
            <w:tcBorders>
              <w:top w:val="single" w:sz="8" w:color="0000EE"/>
              <w:bottom w:val="single" w:sz="8" w:color="0000EE"/>
            </w:tcBorders>
            <w:gridSpan w:val="10"/>
          </w:tcPr>
          <w:p>
            <w:pPr>
              <w:spacing w:after="0" w:line="195" w:lineRule="exact"/>
              <w:rPr>
                <w:rFonts w:ascii="Arial" w:cs="Arial" w:eastAsia="Arial" w:hAnsi="Arial"/>
                <w:sz w:val="18"/>
                <w:szCs w:val="18"/>
                <w:color w:val="0000EE"/>
                <w:w w:val="89"/>
              </w:rPr>
            </w:pPr>
            <w:hyperlink w:anchor="page78">
              <w:r>
                <w:rPr>
                  <w:rFonts w:ascii="Arial" w:cs="Arial" w:eastAsia="Arial" w:hAnsi="Arial"/>
                  <w:sz w:val="18"/>
                  <w:szCs w:val="18"/>
                  <w:color w:val="0000EE"/>
                  <w:w w:val="89"/>
                </w:rPr>
                <w:t>and 15d-14(a) under the Securities Exchange Act of 1934, as Adopted</w:t>
              </w:r>
            </w:hyperlink>
          </w:p>
        </w:tc>
        <w:tc>
          <w:tcPr>
            <w:tcW w:w="120" w:type="dxa"/>
            <w:vAlign w:val="bottom"/>
            <w:tcBorders>
              <w:top w:val="single" w:sz="8" w:color="0000EE"/>
            </w:tcBorders>
            <w:gridSpan w:val="2"/>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5"/>
        </w:trPr>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40" w:type="dxa"/>
            <w:vAlign w:val="bottom"/>
            <w:gridSpan w:val="13"/>
          </w:tcPr>
          <w:p>
            <w:pPr>
              <w:spacing w:after="0" w:line="195" w:lineRule="exact"/>
              <w:rPr>
                <w:rFonts w:ascii="Arial" w:cs="Arial" w:eastAsia="Arial" w:hAnsi="Arial"/>
                <w:sz w:val="18"/>
                <w:szCs w:val="18"/>
                <w:color w:val="0000EE"/>
              </w:rPr>
            </w:pPr>
            <w:hyperlink w:anchor="page78">
              <w:r>
                <w:rPr>
                  <w:rFonts w:ascii="Arial" w:cs="Arial" w:eastAsia="Arial" w:hAnsi="Arial"/>
                  <w:sz w:val="18"/>
                  <w:szCs w:val="18"/>
                  <w:color w:val="0000EE"/>
                </w:rPr>
                <w:t>Pursuant to Section 302 of the Sarbanes-Oxley Act of 2002.</w:t>
              </w:r>
            </w:hyperlink>
          </w:p>
        </w:tc>
        <w:tc>
          <w:tcPr>
            <w:tcW w:w="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2920" w:type="dxa"/>
            <w:vAlign w:val="bottom"/>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11"/>
        </w:trPr>
        <w:tc>
          <w:tcPr>
            <w:tcW w:w="1040" w:type="dxa"/>
            <w:vAlign w:val="bottom"/>
          </w:tcPr>
          <w:p>
            <w:pPr>
              <w:spacing w:after="0"/>
              <w:rPr>
                <w:sz w:val="20"/>
                <w:szCs w:val="20"/>
                <w:color w:val="auto"/>
              </w:rPr>
            </w:pPr>
            <w:r>
              <w:rPr>
                <w:rFonts w:ascii="Arial" w:cs="Arial" w:eastAsia="Arial" w:hAnsi="Arial"/>
                <w:sz w:val="18"/>
                <w:szCs w:val="18"/>
                <w:color w:val="auto"/>
              </w:rPr>
              <w:t>31.2</w:t>
            </w:r>
          </w:p>
        </w:tc>
        <w:tc>
          <w:tcPr>
            <w:tcW w:w="60" w:type="dxa"/>
            <w:vAlign w:val="bottom"/>
          </w:tcPr>
          <w:p>
            <w:pPr>
              <w:spacing w:after="0"/>
              <w:rPr>
                <w:sz w:val="24"/>
                <w:szCs w:val="24"/>
                <w:color w:val="auto"/>
              </w:rPr>
            </w:pPr>
          </w:p>
        </w:tc>
        <w:tc>
          <w:tcPr>
            <w:tcW w:w="5120" w:type="dxa"/>
            <w:vAlign w:val="bottom"/>
            <w:tcBorders>
              <w:bottom w:val="single" w:sz="8" w:color="0000EE"/>
            </w:tcBorders>
            <w:gridSpan w:val="11"/>
          </w:tcPr>
          <w:p>
            <w:pPr>
              <w:spacing w:after="0"/>
              <w:rPr>
                <w:rFonts w:ascii="Arial" w:cs="Arial" w:eastAsia="Arial" w:hAnsi="Arial"/>
                <w:sz w:val="18"/>
                <w:szCs w:val="18"/>
                <w:color w:val="0000EE"/>
                <w:w w:val="91"/>
              </w:rPr>
            </w:pPr>
            <w:hyperlink w:anchor="page79">
              <w:r>
                <w:rPr>
                  <w:rFonts w:ascii="Arial" w:cs="Arial" w:eastAsia="Arial" w:hAnsi="Arial"/>
                  <w:sz w:val="18"/>
                  <w:szCs w:val="18"/>
                  <w:color w:val="0000EE"/>
                  <w:w w:val="91"/>
                </w:rPr>
                <w:t>Certification of Principal Financial Officer Pursuant to Rules 13a-14(a)</w:t>
              </w:r>
            </w:hyperlink>
          </w:p>
        </w:tc>
        <w:tc>
          <w:tcPr>
            <w:tcW w:w="220" w:type="dxa"/>
            <w:vAlign w:val="bottom"/>
            <w:gridSpan w:val="2"/>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195"/>
        </w:trPr>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40" w:type="dxa"/>
            <w:vAlign w:val="bottom"/>
            <w:tcBorders>
              <w:bottom w:val="single" w:sz="8" w:color="0000EE"/>
            </w:tcBorders>
            <w:gridSpan w:val="10"/>
          </w:tcPr>
          <w:p>
            <w:pPr>
              <w:spacing w:after="0" w:line="195" w:lineRule="exact"/>
              <w:rPr>
                <w:rFonts w:ascii="Arial" w:cs="Arial" w:eastAsia="Arial" w:hAnsi="Arial"/>
                <w:sz w:val="18"/>
                <w:szCs w:val="18"/>
                <w:color w:val="0000EE"/>
                <w:w w:val="89"/>
              </w:rPr>
            </w:pPr>
            <w:hyperlink w:anchor="page79">
              <w:r>
                <w:rPr>
                  <w:rFonts w:ascii="Arial" w:cs="Arial" w:eastAsia="Arial" w:hAnsi="Arial"/>
                  <w:sz w:val="18"/>
                  <w:szCs w:val="18"/>
                  <w:color w:val="0000EE"/>
                  <w:w w:val="89"/>
                </w:rPr>
                <w:t>and 15d-14(a) under the Securities Exchange Act of 1934, as Adopted</w:t>
              </w:r>
            </w:hyperlink>
          </w:p>
        </w:tc>
        <w:tc>
          <w:tcPr>
            <w:tcW w:w="300" w:type="dxa"/>
            <w:vAlign w:val="bottom"/>
            <w:gridSpan w:val="3"/>
          </w:tcPr>
          <w:p>
            <w:pPr>
              <w:spacing w:after="0"/>
              <w:rPr>
                <w:sz w:val="17"/>
                <w:szCs w:val="17"/>
                <w:color w:val="auto"/>
              </w:rPr>
            </w:pPr>
          </w:p>
        </w:tc>
        <w:tc>
          <w:tcPr>
            <w:tcW w:w="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5"/>
        </w:trPr>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40" w:type="dxa"/>
            <w:vAlign w:val="bottom"/>
            <w:gridSpan w:val="13"/>
          </w:tcPr>
          <w:p>
            <w:pPr>
              <w:spacing w:after="0" w:line="195" w:lineRule="exact"/>
              <w:rPr>
                <w:rFonts w:ascii="Arial" w:cs="Arial" w:eastAsia="Arial" w:hAnsi="Arial"/>
                <w:sz w:val="18"/>
                <w:szCs w:val="18"/>
                <w:color w:val="0000EE"/>
              </w:rPr>
            </w:pPr>
            <w:hyperlink w:anchor="page79">
              <w:r>
                <w:rPr>
                  <w:rFonts w:ascii="Arial" w:cs="Arial" w:eastAsia="Arial" w:hAnsi="Arial"/>
                  <w:sz w:val="18"/>
                  <w:szCs w:val="18"/>
                  <w:color w:val="0000EE"/>
                </w:rPr>
                <w:t>Pursuant to Section 302 of the Sarbanes-Oxley Act of 2002.</w:t>
              </w:r>
            </w:hyperlink>
          </w:p>
        </w:tc>
        <w:tc>
          <w:tcPr>
            <w:tcW w:w="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2920" w:type="dxa"/>
            <w:vAlign w:val="bottom"/>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11"/>
        </w:trPr>
        <w:tc>
          <w:tcPr>
            <w:tcW w:w="1040" w:type="dxa"/>
            <w:vAlign w:val="bottom"/>
          </w:tcPr>
          <w:p>
            <w:pPr>
              <w:spacing w:after="0"/>
              <w:rPr>
                <w:sz w:val="20"/>
                <w:szCs w:val="20"/>
                <w:color w:val="auto"/>
              </w:rPr>
            </w:pPr>
            <w:r>
              <w:rPr>
                <w:rFonts w:ascii="Arial" w:cs="Arial" w:eastAsia="Arial" w:hAnsi="Arial"/>
                <w:sz w:val="18"/>
                <w:szCs w:val="18"/>
                <w:color w:val="auto"/>
              </w:rPr>
              <w:t>32.1*</w:t>
            </w:r>
          </w:p>
        </w:tc>
        <w:tc>
          <w:tcPr>
            <w:tcW w:w="60" w:type="dxa"/>
            <w:vAlign w:val="bottom"/>
          </w:tcPr>
          <w:p>
            <w:pPr>
              <w:spacing w:after="0"/>
              <w:rPr>
                <w:sz w:val="24"/>
                <w:szCs w:val="24"/>
                <w:color w:val="auto"/>
              </w:rPr>
            </w:pPr>
          </w:p>
        </w:tc>
        <w:tc>
          <w:tcPr>
            <w:tcW w:w="5340" w:type="dxa"/>
            <w:vAlign w:val="bottom"/>
            <w:gridSpan w:val="13"/>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Certification of Principal Executive Officer Pursuant to 18 U.S.C.</w:t>
              </w:r>
            </w:hyperlink>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20"/>
        </w:trPr>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3300" w:type="dxa"/>
            <w:vAlign w:val="bottom"/>
            <w:gridSpan w:val="4"/>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5"/>
        </w:trPr>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40" w:type="dxa"/>
            <w:vAlign w:val="bottom"/>
            <w:gridSpan w:val="13"/>
          </w:tcPr>
          <w:p>
            <w:pPr>
              <w:spacing w:after="0" w:line="195" w:lineRule="exact"/>
              <w:rPr>
                <w:rFonts w:ascii="Arial" w:cs="Arial" w:eastAsia="Arial" w:hAnsi="Arial"/>
                <w:sz w:val="18"/>
                <w:szCs w:val="18"/>
                <w:color w:val="0000EE"/>
                <w:w w:val="98"/>
              </w:rPr>
            </w:pPr>
            <w:hyperlink w:anchor="page80">
              <w:r>
                <w:rPr>
                  <w:rFonts w:ascii="Arial" w:cs="Arial" w:eastAsia="Arial" w:hAnsi="Arial"/>
                  <w:sz w:val="18"/>
                  <w:szCs w:val="18"/>
                  <w:color w:val="0000EE"/>
                  <w:w w:val="98"/>
                </w:rPr>
                <w:t>Section 1350, as Adopted Pursuant to Section 906 of the Sarbanes-</w:t>
              </w:r>
            </w:hyperlink>
          </w:p>
        </w:tc>
        <w:tc>
          <w:tcPr>
            <w:tcW w:w="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5"/>
        </w:trPr>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0" w:type="dxa"/>
            <w:vAlign w:val="bottom"/>
            <w:tcBorders>
              <w:top w:val="single" w:sz="8" w:color="0000EE"/>
            </w:tcBorders>
            <w:gridSpan w:val="9"/>
          </w:tcPr>
          <w:p>
            <w:pPr>
              <w:spacing w:after="0" w:line="195" w:lineRule="exact"/>
              <w:rPr>
                <w:rFonts w:ascii="Arial" w:cs="Arial" w:eastAsia="Arial" w:hAnsi="Arial"/>
                <w:sz w:val="18"/>
                <w:szCs w:val="18"/>
                <w:color w:val="0000EE"/>
              </w:rPr>
            </w:pPr>
            <w:hyperlink w:anchor="page80">
              <w:r>
                <w:rPr>
                  <w:rFonts w:ascii="Arial" w:cs="Arial" w:eastAsia="Arial" w:hAnsi="Arial"/>
                  <w:sz w:val="18"/>
                  <w:szCs w:val="18"/>
                  <w:color w:val="0000EE"/>
                </w:rPr>
                <w:t>Oxley Act of 2002.</w:t>
              </w:r>
            </w:hyperlink>
          </w:p>
        </w:tc>
        <w:tc>
          <w:tcPr>
            <w:tcW w:w="540" w:type="dxa"/>
            <w:vAlign w:val="bottom"/>
            <w:gridSpan w:val="4"/>
          </w:tcPr>
          <w:p>
            <w:pPr>
              <w:spacing w:after="0"/>
              <w:rPr>
                <w:sz w:val="17"/>
                <w:szCs w:val="17"/>
                <w:color w:val="auto"/>
              </w:rPr>
            </w:pPr>
          </w:p>
        </w:tc>
        <w:tc>
          <w:tcPr>
            <w:tcW w:w="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3300" w:type="dxa"/>
            <w:vAlign w:val="bottom"/>
            <w:gridSpan w:val="4"/>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11"/>
        </w:trPr>
        <w:tc>
          <w:tcPr>
            <w:tcW w:w="1040" w:type="dxa"/>
            <w:vAlign w:val="bottom"/>
          </w:tcPr>
          <w:p>
            <w:pPr>
              <w:spacing w:after="0"/>
              <w:rPr>
                <w:sz w:val="20"/>
                <w:szCs w:val="20"/>
                <w:color w:val="auto"/>
              </w:rPr>
            </w:pPr>
            <w:r>
              <w:rPr>
                <w:rFonts w:ascii="Arial" w:cs="Arial" w:eastAsia="Arial" w:hAnsi="Arial"/>
                <w:sz w:val="18"/>
                <w:szCs w:val="18"/>
                <w:color w:val="auto"/>
              </w:rPr>
              <w:t>32.2*</w:t>
            </w:r>
          </w:p>
        </w:tc>
        <w:tc>
          <w:tcPr>
            <w:tcW w:w="60" w:type="dxa"/>
            <w:vAlign w:val="bottom"/>
          </w:tcPr>
          <w:p>
            <w:pPr>
              <w:spacing w:after="0"/>
              <w:rPr>
                <w:sz w:val="24"/>
                <w:szCs w:val="24"/>
                <w:color w:val="auto"/>
              </w:rPr>
            </w:pPr>
          </w:p>
        </w:tc>
        <w:tc>
          <w:tcPr>
            <w:tcW w:w="468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81">
              <w:r>
                <w:rPr>
                  <w:rFonts w:ascii="Arial" w:cs="Arial" w:eastAsia="Arial" w:hAnsi="Arial"/>
                  <w:sz w:val="18"/>
                  <w:szCs w:val="18"/>
                  <w:color w:val="0000EE"/>
                  <w:w w:val="92"/>
                </w:rPr>
                <w:t>Certification of Principal Financial Officer Pursuant to 18 U.S.C.</w:t>
              </w:r>
            </w:hyperlink>
          </w:p>
        </w:tc>
        <w:tc>
          <w:tcPr>
            <w:tcW w:w="660" w:type="dxa"/>
            <w:vAlign w:val="bottom"/>
            <w:gridSpan w:val="7"/>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195"/>
        </w:trPr>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40" w:type="dxa"/>
            <w:vAlign w:val="bottom"/>
            <w:gridSpan w:val="13"/>
          </w:tcPr>
          <w:p>
            <w:pPr>
              <w:spacing w:after="0" w:line="195" w:lineRule="exact"/>
              <w:rPr>
                <w:rFonts w:ascii="Arial" w:cs="Arial" w:eastAsia="Arial" w:hAnsi="Arial"/>
                <w:sz w:val="18"/>
                <w:szCs w:val="18"/>
                <w:color w:val="0000EE"/>
                <w:w w:val="98"/>
              </w:rPr>
            </w:pPr>
            <w:hyperlink w:anchor="page81">
              <w:r>
                <w:rPr>
                  <w:rFonts w:ascii="Arial" w:cs="Arial" w:eastAsia="Arial" w:hAnsi="Arial"/>
                  <w:sz w:val="18"/>
                  <w:szCs w:val="18"/>
                  <w:color w:val="0000EE"/>
                  <w:w w:val="98"/>
                </w:rPr>
                <w:t>Section 1350, as Adopted Pursuant to Section 906 of the Sarbanes-</w:t>
              </w:r>
            </w:hyperlink>
          </w:p>
        </w:tc>
        <w:tc>
          <w:tcPr>
            <w:tcW w:w="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5"/>
        </w:trPr>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0" w:type="dxa"/>
            <w:vAlign w:val="bottom"/>
            <w:tcBorders>
              <w:top w:val="single" w:sz="8" w:color="0000EE"/>
            </w:tcBorders>
            <w:gridSpan w:val="9"/>
          </w:tcPr>
          <w:p>
            <w:pPr>
              <w:spacing w:after="0" w:line="195" w:lineRule="exact"/>
              <w:rPr>
                <w:rFonts w:ascii="Arial" w:cs="Arial" w:eastAsia="Arial" w:hAnsi="Arial"/>
                <w:sz w:val="18"/>
                <w:szCs w:val="18"/>
                <w:color w:val="0000EE"/>
              </w:rPr>
            </w:pPr>
            <w:hyperlink w:anchor="page81">
              <w:r>
                <w:rPr>
                  <w:rFonts w:ascii="Arial" w:cs="Arial" w:eastAsia="Arial" w:hAnsi="Arial"/>
                  <w:sz w:val="18"/>
                  <w:szCs w:val="18"/>
                  <w:color w:val="0000EE"/>
                </w:rPr>
                <w:t>Oxley Act of 2002.</w:t>
              </w:r>
            </w:hyperlink>
          </w:p>
        </w:tc>
        <w:tc>
          <w:tcPr>
            <w:tcW w:w="540" w:type="dxa"/>
            <w:vAlign w:val="bottom"/>
            <w:gridSpan w:val="4"/>
          </w:tcPr>
          <w:p>
            <w:pPr>
              <w:spacing w:after="0"/>
              <w:rPr>
                <w:sz w:val="17"/>
                <w:szCs w:val="17"/>
                <w:color w:val="auto"/>
              </w:rPr>
            </w:pPr>
          </w:p>
        </w:tc>
        <w:tc>
          <w:tcPr>
            <w:tcW w:w="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3960" w:type="dxa"/>
            <w:vAlign w:val="bottom"/>
            <w:gridSpan w:val="1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37"/>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60" w:type="dxa"/>
            <w:vAlign w:val="bottom"/>
          </w:tcPr>
          <w:p>
            <w:pPr>
              <w:spacing w:after="0"/>
              <w:rPr>
                <w:sz w:val="24"/>
                <w:szCs w:val="24"/>
                <w:color w:val="auto"/>
              </w:rPr>
            </w:pPr>
          </w:p>
        </w:tc>
        <w:tc>
          <w:tcPr>
            <w:tcW w:w="5340" w:type="dxa"/>
            <w:vAlign w:val="bottom"/>
            <w:gridSpan w:val="13"/>
          </w:tcPr>
          <w:p>
            <w:pPr>
              <w:spacing w:after="0"/>
              <w:rPr>
                <w:sz w:val="20"/>
                <w:szCs w:val="20"/>
                <w:color w:val="auto"/>
              </w:rPr>
            </w:pPr>
            <w:r>
              <w:rPr>
                <w:rFonts w:ascii="Arial" w:cs="Arial" w:eastAsia="Arial" w:hAnsi="Arial"/>
                <w:sz w:val="18"/>
                <w:szCs w:val="18"/>
                <w:color w:val="auto"/>
                <w:w w:val="95"/>
              </w:rPr>
              <w:t>XBRL Instance Document - the instance document does not appear in</w:t>
            </w: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5"/>
        </w:trPr>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340" w:type="dxa"/>
            <w:vAlign w:val="bottom"/>
            <w:gridSpan w:val="13"/>
          </w:tcPr>
          <w:p>
            <w:pPr>
              <w:spacing w:after="0"/>
              <w:rPr>
                <w:sz w:val="20"/>
                <w:szCs w:val="20"/>
                <w:color w:val="auto"/>
              </w:rPr>
            </w:pPr>
            <w:r>
              <w:rPr>
                <w:rFonts w:ascii="Arial" w:cs="Arial" w:eastAsia="Arial" w:hAnsi="Arial"/>
                <w:sz w:val="18"/>
                <w:szCs w:val="18"/>
                <w:color w:val="auto"/>
                <w:w w:val="96"/>
              </w:rPr>
              <w:t>the Interactive Data File because its XBRL tags are embedded within</w:t>
            </w: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340" w:type="dxa"/>
            <w:vAlign w:val="bottom"/>
            <w:gridSpan w:val="13"/>
          </w:tcPr>
          <w:p>
            <w:pPr>
              <w:spacing w:after="0"/>
              <w:rPr>
                <w:sz w:val="20"/>
                <w:szCs w:val="20"/>
                <w:color w:val="auto"/>
              </w:rPr>
            </w:pPr>
            <w:r>
              <w:rPr>
                <w:rFonts w:ascii="Arial" w:cs="Arial" w:eastAsia="Arial" w:hAnsi="Arial"/>
                <w:sz w:val="18"/>
                <w:szCs w:val="18"/>
                <w:color w:val="auto"/>
              </w:rPr>
              <w:t>the Inline XBRL document</w:t>
            </w: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431"/>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60" w:type="dxa"/>
            <w:vAlign w:val="bottom"/>
          </w:tcPr>
          <w:p>
            <w:pPr>
              <w:spacing w:after="0"/>
              <w:rPr>
                <w:sz w:val="24"/>
                <w:szCs w:val="24"/>
                <w:color w:val="auto"/>
              </w:rPr>
            </w:pPr>
          </w:p>
        </w:tc>
        <w:tc>
          <w:tcPr>
            <w:tcW w:w="5340" w:type="dxa"/>
            <w:vAlign w:val="bottom"/>
            <w:gridSpan w:val="13"/>
          </w:tcPr>
          <w:p>
            <w:pPr>
              <w:spacing w:after="0"/>
              <w:rPr>
                <w:sz w:val="20"/>
                <w:szCs w:val="20"/>
                <w:color w:val="auto"/>
              </w:rPr>
            </w:pPr>
            <w:r>
              <w:rPr>
                <w:rFonts w:ascii="Arial" w:cs="Arial" w:eastAsia="Arial" w:hAnsi="Arial"/>
                <w:sz w:val="18"/>
                <w:szCs w:val="18"/>
                <w:color w:val="auto"/>
              </w:rPr>
              <w:t>Inline XBRL Taxonomy Extension Schema Document</w:t>
            </w: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31"/>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60" w:type="dxa"/>
            <w:vAlign w:val="bottom"/>
          </w:tcPr>
          <w:p>
            <w:pPr>
              <w:spacing w:after="0"/>
              <w:rPr>
                <w:sz w:val="24"/>
                <w:szCs w:val="24"/>
                <w:color w:val="auto"/>
              </w:rPr>
            </w:pPr>
          </w:p>
        </w:tc>
        <w:tc>
          <w:tcPr>
            <w:tcW w:w="5340" w:type="dxa"/>
            <w:vAlign w:val="bottom"/>
            <w:gridSpan w:val="13"/>
          </w:tcPr>
          <w:p>
            <w:pPr>
              <w:spacing w:after="0"/>
              <w:rPr>
                <w:sz w:val="20"/>
                <w:szCs w:val="20"/>
                <w:color w:val="auto"/>
              </w:rPr>
            </w:pPr>
            <w:r>
              <w:rPr>
                <w:rFonts w:ascii="Arial" w:cs="Arial" w:eastAsia="Arial" w:hAnsi="Arial"/>
                <w:sz w:val="18"/>
                <w:szCs w:val="18"/>
                <w:color w:val="auto"/>
              </w:rPr>
              <w:t>Inline XBRL Taxonomy Calculation Linkbase Document</w:t>
            </w: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31"/>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60" w:type="dxa"/>
            <w:vAlign w:val="bottom"/>
          </w:tcPr>
          <w:p>
            <w:pPr>
              <w:spacing w:after="0"/>
              <w:rPr>
                <w:sz w:val="24"/>
                <w:szCs w:val="24"/>
                <w:color w:val="auto"/>
              </w:rPr>
            </w:pPr>
          </w:p>
        </w:tc>
        <w:tc>
          <w:tcPr>
            <w:tcW w:w="5340" w:type="dxa"/>
            <w:vAlign w:val="bottom"/>
            <w:gridSpan w:val="13"/>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31"/>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60" w:type="dxa"/>
            <w:vAlign w:val="bottom"/>
          </w:tcPr>
          <w:p>
            <w:pPr>
              <w:spacing w:after="0"/>
              <w:rPr>
                <w:sz w:val="24"/>
                <w:szCs w:val="24"/>
                <w:color w:val="auto"/>
              </w:rPr>
            </w:pPr>
          </w:p>
        </w:tc>
        <w:tc>
          <w:tcPr>
            <w:tcW w:w="5340" w:type="dxa"/>
            <w:vAlign w:val="bottom"/>
            <w:gridSpan w:val="13"/>
          </w:tcPr>
          <w:p>
            <w:pPr>
              <w:spacing w:after="0"/>
              <w:rPr>
                <w:sz w:val="20"/>
                <w:szCs w:val="20"/>
                <w:color w:val="auto"/>
              </w:rPr>
            </w:pPr>
            <w:r>
              <w:rPr>
                <w:rFonts w:ascii="Arial" w:cs="Arial" w:eastAsia="Arial" w:hAnsi="Arial"/>
                <w:sz w:val="18"/>
                <w:szCs w:val="18"/>
                <w:color w:val="auto"/>
              </w:rPr>
              <w:t>Inline XBRL Taxonomy Label Linkbase Document</w:t>
            </w: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31"/>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60" w:type="dxa"/>
            <w:vAlign w:val="bottom"/>
          </w:tcPr>
          <w:p>
            <w:pPr>
              <w:spacing w:after="0"/>
              <w:rPr>
                <w:sz w:val="24"/>
                <w:szCs w:val="24"/>
                <w:color w:val="auto"/>
              </w:rPr>
            </w:pPr>
          </w:p>
        </w:tc>
        <w:tc>
          <w:tcPr>
            <w:tcW w:w="5340" w:type="dxa"/>
            <w:vAlign w:val="bottom"/>
            <w:gridSpan w:val="13"/>
          </w:tcPr>
          <w:p>
            <w:pPr>
              <w:spacing w:after="0"/>
              <w:rPr>
                <w:sz w:val="20"/>
                <w:szCs w:val="20"/>
                <w:color w:val="auto"/>
              </w:rPr>
            </w:pPr>
            <w:r>
              <w:rPr>
                <w:rFonts w:ascii="Arial" w:cs="Arial" w:eastAsia="Arial" w:hAnsi="Arial"/>
                <w:sz w:val="18"/>
                <w:szCs w:val="18"/>
                <w:color w:val="auto"/>
              </w:rPr>
              <w:t>Inline XBRL Taxonomy Presentation Linkbase Document</w:t>
            </w: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pacing w:after="0" w:line="201" w:lineRule="exact"/>
        <w:rPr>
          <w:sz w:val="20"/>
          <w:szCs w:val="20"/>
          <w:color w:val="auto"/>
        </w:rPr>
      </w:pPr>
    </w:p>
    <w:p>
      <w:pPr>
        <w:ind w:left="1100" w:right="5300" w:hanging="1092"/>
        <w:spacing w:after="0" w:line="276" w:lineRule="auto"/>
        <w:tabs>
          <w:tab w:leader="none" w:pos="11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249745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2497455" cy="8255"/>
                    </a:xfrm>
                    <a:prstGeom prst="rect">
                      <a:avLst/>
                    </a:prstGeom>
                    <a:noFill/>
                  </pic:spPr>
                </pic:pic>
              </a:graphicData>
            </a:graphic>
          </wp:anchor>
        </w:drawing>
      </w:r>
    </w:p>
    <w:p>
      <w:pPr>
        <w:spacing w:after="0" w:line="218" w:lineRule="exact"/>
        <w:rPr>
          <w:sz w:val="20"/>
          <w:szCs w:val="20"/>
          <w:color w:val="auto"/>
        </w:rPr>
      </w:pPr>
    </w:p>
    <w:p>
      <w:pPr>
        <w:jc w:val="both"/>
        <w:ind w:left="300" w:right="120" w:hanging="292"/>
        <w:spacing w:after="0" w:line="263" w:lineRule="auto"/>
        <w:tabs>
          <w:tab w:leader="none" w:pos="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Exhibits 32.1 and 32.2 are being furnished and shall not be deemed to be “filed” for purposes of Section 18 of the Exchange Act, or otherwise subject to the liability of that section, nor shall such exhibit be deemed to be incorporated by reference in any registration statement or other document filed under the Securities Act, or the Exchange Act, except as otherwise stated in such filing</w:t>
      </w:r>
      <w:r>
        <w:rPr>
          <w:rFonts w:ascii="Arial" w:cs="Arial" w:eastAsia="Arial" w:hAnsi="Arial"/>
          <w:sz w:val="17"/>
          <w:szCs w:val="17"/>
          <w:color w:val="auto"/>
        </w:rPr>
        <w:t>.</w:t>
      </w:r>
    </w:p>
    <w:p>
      <w:pPr>
        <w:spacing w:after="0" w:line="18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83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76" w:name="page77"/>
    <w:bookmarkEnd w:id="76"/>
    <w:p>
      <w:pPr>
        <w:jc w:val="center"/>
        <w:ind w:right="60"/>
        <w:spacing w:after="0"/>
        <w:rPr>
          <w:sz w:val="20"/>
          <w:szCs w:val="20"/>
          <w:color w:val="auto"/>
        </w:rPr>
      </w:pPr>
      <w:r>
        <w:rPr>
          <w:rFonts w:ascii="Arial" w:cs="Arial" w:eastAsia="Arial" w:hAnsi="Arial"/>
          <w:sz w:val="18"/>
          <w:szCs w:val="18"/>
          <w:b w:val="1"/>
          <w:bCs w:val="1"/>
          <w:color w:val="auto"/>
        </w:rPr>
        <w:t>SIGNATURES</w:t>
      </w:r>
    </w:p>
    <w:p>
      <w:pPr>
        <w:spacing w:after="0" w:line="228"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C4 THERAPEUTICS, INC.</w:t>
      </w:r>
    </w:p>
    <w:p>
      <w:pPr>
        <w:spacing w:after="0" w:line="255" w:lineRule="exact"/>
        <w:rPr>
          <w:sz w:val="20"/>
          <w:szCs w:val="20"/>
          <w:color w:val="auto"/>
        </w:rPr>
      </w:pPr>
    </w:p>
    <w:p>
      <w:pPr>
        <w:spacing w:after="0"/>
        <w:tabs>
          <w:tab w:leader="none" w:pos="5560" w:val="left"/>
          <w:tab w:leader="none" w:pos="8540" w:val="left"/>
        </w:tabs>
        <w:rPr>
          <w:sz w:val="20"/>
          <w:szCs w:val="20"/>
          <w:color w:val="auto"/>
        </w:rPr>
      </w:pPr>
      <w:r>
        <w:rPr>
          <w:rFonts w:ascii="Arial" w:cs="Arial" w:eastAsia="Arial" w:hAnsi="Arial"/>
          <w:sz w:val="18"/>
          <w:szCs w:val="18"/>
          <w:color w:val="auto"/>
        </w:rPr>
        <w:t>Date: November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Andrew J. Hirsch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5427345</wp:posOffset>
            </wp:positionH>
            <wp:positionV relativeFrom="paragraph">
              <wp:posOffset>14605</wp:posOffset>
            </wp:positionV>
            <wp:extent cx="17703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1770380" cy="8255"/>
                    </a:xfrm>
                    <a:prstGeom prst="rect">
                      <a:avLst/>
                    </a:prstGeom>
                    <a:noFill/>
                  </pic:spPr>
                </pic:pic>
              </a:graphicData>
            </a:graphic>
          </wp:anchor>
        </w:drawing>
      </w:r>
    </w:p>
    <w:p>
      <w:pPr>
        <w:spacing w:after="0" w:line="11" w:lineRule="exact"/>
        <w:rPr>
          <w:sz w:val="20"/>
          <w:szCs w:val="20"/>
          <w:color w:val="auto"/>
        </w:rPr>
      </w:pPr>
    </w:p>
    <w:p>
      <w:pPr>
        <w:ind w:left="8560"/>
        <w:spacing w:after="0"/>
        <w:rPr>
          <w:sz w:val="20"/>
          <w:szCs w:val="20"/>
          <w:color w:val="auto"/>
        </w:rPr>
      </w:pPr>
      <w:r>
        <w:rPr>
          <w:rFonts w:ascii="Arial" w:cs="Arial" w:eastAsia="Arial" w:hAnsi="Arial"/>
          <w:sz w:val="18"/>
          <w:szCs w:val="18"/>
          <w:b w:val="1"/>
          <w:bCs w:val="1"/>
          <w:color w:val="auto"/>
        </w:rPr>
        <w:t>Andrew J. Hirsch</w:t>
      </w:r>
    </w:p>
    <w:p>
      <w:pPr>
        <w:spacing w:after="0" w:line="27" w:lineRule="exact"/>
        <w:rPr>
          <w:sz w:val="20"/>
          <w:szCs w:val="20"/>
          <w:color w:val="auto"/>
        </w:rPr>
      </w:pPr>
    </w:p>
    <w:p>
      <w:pPr>
        <w:ind w:left="8560"/>
        <w:spacing w:after="0"/>
        <w:rPr>
          <w:sz w:val="20"/>
          <w:szCs w:val="20"/>
          <w:color w:val="auto"/>
        </w:rPr>
      </w:pPr>
      <w:r>
        <w:rPr>
          <w:rFonts w:ascii="Arial" w:cs="Arial" w:eastAsia="Arial" w:hAnsi="Arial"/>
          <w:sz w:val="16"/>
          <w:szCs w:val="16"/>
          <w:i w:val="1"/>
          <w:iCs w:val="1"/>
          <w:color w:val="auto"/>
        </w:rPr>
        <w:t>President and Chief Executive Officer</w:t>
      </w:r>
    </w:p>
    <w:p>
      <w:pPr>
        <w:spacing w:after="0" w:line="273" w:lineRule="exact"/>
        <w:rPr>
          <w:sz w:val="20"/>
          <w:szCs w:val="20"/>
          <w:color w:val="auto"/>
        </w:rPr>
      </w:pPr>
    </w:p>
    <w:p>
      <w:pPr>
        <w:spacing w:after="0"/>
        <w:tabs>
          <w:tab w:leader="none" w:pos="5560" w:val="left"/>
          <w:tab w:leader="none" w:pos="8540" w:val="left"/>
        </w:tabs>
        <w:rPr>
          <w:sz w:val="20"/>
          <w:szCs w:val="20"/>
          <w:color w:val="auto"/>
        </w:rPr>
      </w:pPr>
      <w:r>
        <w:rPr>
          <w:rFonts w:ascii="Arial" w:cs="Arial" w:eastAsia="Arial" w:hAnsi="Arial"/>
          <w:sz w:val="18"/>
          <w:szCs w:val="18"/>
          <w:color w:val="auto"/>
        </w:rPr>
        <w:t>Date: November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Lauren A.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5427345</wp:posOffset>
            </wp:positionH>
            <wp:positionV relativeFrom="paragraph">
              <wp:posOffset>14605</wp:posOffset>
            </wp:positionV>
            <wp:extent cx="17703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1770380" cy="8255"/>
                    </a:xfrm>
                    <a:prstGeom prst="rect">
                      <a:avLst/>
                    </a:prstGeom>
                    <a:noFill/>
                  </pic:spPr>
                </pic:pic>
              </a:graphicData>
            </a:graphic>
          </wp:anchor>
        </w:drawing>
      </w:r>
    </w:p>
    <w:p>
      <w:pPr>
        <w:spacing w:after="0" w:line="11" w:lineRule="exact"/>
        <w:rPr>
          <w:sz w:val="20"/>
          <w:szCs w:val="20"/>
          <w:color w:val="auto"/>
        </w:rPr>
      </w:pPr>
    </w:p>
    <w:p>
      <w:pPr>
        <w:ind w:left="8560"/>
        <w:spacing w:after="0"/>
        <w:rPr>
          <w:sz w:val="20"/>
          <w:szCs w:val="20"/>
          <w:color w:val="auto"/>
        </w:rPr>
      </w:pPr>
      <w:r>
        <w:rPr>
          <w:rFonts w:ascii="Arial" w:cs="Arial" w:eastAsia="Arial" w:hAnsi="Arial"/>
          <w:sz w:val="18"/>
          <w:szCs w:val="18"/>
          <w:b w:val="1"/>
          <w:bCs w:val="1"/>
          <w:color w:val="auto"/>
        </w:rPr>
        <w:t>Lauren A. White</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Chief Financial Officer and Treasurer</w:t>
      </w:r>
    </w:p>
    <w:p>
      <w:pPr>
        <w:spacing w:after="0" w:line="22" w:lineRule="exact"/>
        <w:rPr>
          <w:sz w:val="20"/>
          <w:szCs w:val="20"/>
          <w:color w:val="auto"/>
        </w:rPr>
      </w:pPr>
    </w:p>
    <w:p>
      <w:pPr>
        <w:ind w:left="8560"/>
        <w:spacing w:after="0"/>
        <w:rPr>
          <w:sz w:val="20"/>
          <w:szCs w:val="20"/>
          <w:color w:val="auto"/>
        </w:rPr>
      </w:pPr>
      <w:r>
        <w:rPr>
          <w:rFonts w:ascii="Arial" w:cs="Arial" w:eastAsia="Arial" w:hAnsi="Arial"/>
          <w:sz w:val="18"/>
          <w:szCs w:val="18"/>
          <w:i w:val="1"/>
          <w:iCs w:val="1"/>
          <w:color w:val="auto"/>
        </w:rPr>
        <w:t>(Principal Financial and Principal</w:t>
      </w:r>
    </w:p>
    <w:p>
      <w:pPr>
        <w:spacing w:after="0" w:line="9" w:lineRule="exact"/>
        <w:rPr>
          <w:sz w:val="20"/>
          <w:szCs w:val="20"/>
          <w:color w:val="auto"/>
        </w:rPr>
      </w:pPr>
    </w:p>
    <w:p>
      <w:pPr>
        <w:ind w:left="8560"/>
        <w:spacing w:after="0"/>
        <w:rPr>
          <w:sz w:val="20"/>
          <w:szCs w:val="20"/>
          <w:color w:val="auto"/>
        </w:rPr>
      </w:pPr>
      <w:r>
        <w:rPr>
          <w:rFonts w:ascii="Arial" w:cs="Arial" w:eastAsia="Arial" w:hAnsi="Arial"/>
          <w:sz w:val="18"/>
          <w:szCs w:val="18"/>
          <w:i w:val="1"/>
          <w:iCs w:val="1"/>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00"/>
          </w:cols>
          <w:pgMar w:left="320" w:top="121" w:right="27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31.1</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I, Andrew J. Hirsch, certify that:</w:t>
      </w:r>
    </w:p>
    <w:p>
      <w:pPr>
        <w:spacing w:after="0" w:line="197" w:lineRule="exact"/>
        <w:rPr>
          <w:sz w:val="20"/>
          <w:szCs w:val="20"/>
          <w:color w:val="auto"/>
        </w:rPr>
      </w:pPr>
    </w:p>
    <w:p>
      <w:pPr>
        <w:ind w:left="540" w:hanging="532"/>
        <w:spacing w:after="0"/>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C4 Therapeutics, Inc.;</w:t>
      </w:r>
    </w:p>
    <w:p>
      <w:pPr>
        <w:spacing w:after="0" w:line="183" w:lineRule="exact"/>
        <w:rPr>
          <w:rFonts w:ascii="Arial" w:cs="Arial" w:eastAsia="Arial" w:hAnsi="Arial"/>
          <w:sz w:val="18"/>
          <w:szCs w:val="18"/>
          <w:color w:val="auto"/>
        </w:rPr>
      </w:pPr>
    </w:p>
    <w:p>
      <w:pPr>
        <w:jc w:val="both"/>
        <w:ind w:left="540" w:right="260" w:hanging="532"/>
        <w:spacing w:after="0" w:line="263" w:lineRule="auto"/>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Arial" w:cs="Arial" w:eastAsia="Arial" w:hAnsi="Arial"/>
          <w:sz w:val="18"/>
          <w:szCs w:val="18"/>
          <w:color w:val="auto"/>
        </w:rPr>
      </w:pPr>
    </w:p>
    <w:p>
      <w:pPr>
        <w:ind w:left="540" w:right="220" w:hanging="532"/>
        <w:spacing w:after="0" w:line="306" w:lineRule="auto"/>
        <w:tabs>
          <w:tab w:leader="none" w:pos="5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Arial" w:cs="Arial" w:eastAsia="Arial" w:hAnsi="Arial"/>
          <w:sz w:val="17"/>
          <w:szCs w:val="17"/>
          <w:color w:val="auto"/>
        </w:rPr>
      </w:pPr>
    </w:p>
    <w:p>
      <w:pPr>
        <w:jc w:val="both"/>
        <w:ind w:left="540" w:right="260" w:hanging="532"/>
        <w:spacing w:after="0" w:line="263" w:lineRule="auto"/>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1" w:lineRule="exact"/>
        <w:rPr>
          <w:rFonts w:ascii="Arial" w:cs="Arial" w:eastAsia="Arial" w:hAnsi="Arial"/>
          <w:sz w:val="18"/>
          <w:szCs w:val="18"/>
          <w:color w:val="auto"/>
        </w:rPr>
      </w:pPr>
    </w:p>
    <w:p>
      <w:pPr>
        <w:ind w:left="1060" w:right="180" w:hanging="527"/>
        <w:spacing w:after="0" w:line="263" w:lineRule="auto"/>
        <w:tabs>
          <w:tab w:leader="none" w:pos="10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1" w:lineRule="exact"/>
        <w:rPr>
          <w:rFonts w:ascii="Arial" w:cs="Arial" w:eastAsia="Arial" w:hAnsi="Arial"/>
          <w:sz w:val="18"/>
          <w:szCs w:val="18"/>
          <w:color w:val="auto"/>
        </w:rPr>
      </w:pPr>
    </w:p>
    <w:p>
      <w:pPr>
        <w:ind w:left="1060" w:right="320" w:hanging="527"/>
        <w:spacing w:after="0" w:line="263" w:lineRule="auto"/>
        <w:tabs>
          <w:tab w:leader="none" w:pos="10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1" w:lineRule="exact"/>
        <w:rPr>
          <w:rFonts w:ascii="Arial" w:cs="Arial" w:eastAsia="Arial" w:hAnsi="Arial"/>
          <w:sz w:val="18"/>
          <w:szCs w:val="18"/>
          <w:color w:val="auto"/>
        </w:rPr>
      </w:pPr>
    </w:p>
    <w:p>
      <w:pPr>
        <w:jc w:val="both"/>
        <w:ind w:left="1060" w:right="480" w:hanging="527"/>
        <w:spacing w:after="0" w:line="341" w:lineRule="auto"/>
        <w:tabs>
          <w:tab w:leader="none" w:pos="1060" w:val="left"/>
        </w:tabs>
        <w:numPr>
          <w:ilvl w:val="1"/>
          <w:numId w:val="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060" w:right="20" w:hanging="527"/>
        <w:spacing w:after="0" w:line="263" w:lineRule="auto"/>
        <w:tabs>
          <w:tab w:leader="none" w:pos="10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1" w:lineRule="exact"/>
        <w:rPr>
          <w:rFonts w:ascii="Arial" w:cs="Arial" w:eastAsia="Arial" w:hAnsi="Arial"/>
          <w:sz w:val="18"/>
          <w:szCs w:val="18"/>
          <w:color w:val="auto"/>
        </w:rPr>
      </w:pPr>
    </w:p>
    <w:p>
      <w:pPr>
        <w:ind w:left="540" w:right="240" w:hanging="532"/>
        <w:spacing w:after="0" w:line="341" w:lineRule="auto"/>
        <w:tabs>
          <w:tab w:leader="none" w:pos="5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1060" w:right="720" w:hanging="527"/>
        <w:spacing w:after="0" w:line="341" w:lineRule="auto"/>
        <w:tabs>
          <w:tab w:leader="none" w:pos="1060" w:val="left"/>
        </w:tabs>
        <w:numPr>
          <w:ilvl w:val="1"/>
          <w:numId w:val="5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060" w:right="420" w:hanging="527"/>
        <w:spacing w:after="0" w:line="276" w:lineRule="auto"/>
        <w:tabs>
          <w:tab w:leader="none" w:pos="10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November 10, 2021</w:t>
      </w:r>
      <w:r>
        <w:rPr>
          <w:sz w:val="20"/>
          <w:szCs w:val="20"/>
          <w:color w:val="auto"/>
        </w:rPr>
        <w:tab/>
      </w:r>
      <w:r>
        <w:rPr>
          <w:rFonts w:ascii="Arial" w:cs="Arial" w:eastAsia="Arial" w:hAnsi="Arial"/>
          <w:sz w:val="16"/>
          <w:szCs w:val="16"/>
          <w:color w:val="auto"/>
        </w:rPr>
        <w:t>By: /s/ Andrew J. Hirsch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3793490</wp:posOffset>
            </wp:positionH>
            <wp:positionV relativeFrom="paragraph">
              <wp:posOffset>14605</wp:posOffset>
            </wp:positionV>
            <wp:extent cx="334391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3343910" cy="8255"/>
                    </a:xfrm>
                    <a:prstGeom prst="rect">
                      <a:avLst/>
                    </a:prstGeom>
                    <a:noFill/>
                  </pic:spPr>
                </pic:pic>
              </a:graphicData>
            </a:graphic>
          </wp:anchor>
        </w:drawing>
      </w:r>
    </w:p>
    <w:p>
      <w:pPr>
        <w:spacing w:after="0" w:line="11" w:lineRule="exact"/>
        <w:rPr>
          <w:sz w:val="20"/>
          <w:szCs w:val="20"/>
          <w:color w:val="auto"/>
        </w:rPr>
      </w:pPr>
    </w:p>
    <w:p>
      <w:pPr>
        <w:ind w:left="5980"/>
        <w:spacing w:after="0"/>
        <w:rPr>
          <w:sz w:val="20"/>
          <w:szCs w:val="20"/>
          <w:color w:val="auto"/>
        </w:rPr>
      </w:pPr>
      <w:r>
        <w:rPr>
          <w:rFonts w:ascii="Arial" w:cs="Arial" w:eastAsia="Arial" w:hAnsi="Arial"/>
          <w:sz w:val="18"/>
          <w:szCs w:val="18"/>
          <w:b w:val="1"/>
          <w:bCs w:val="1"/>
          <w:color w:val="auto"/>
        </w:rPr>
        <w:t>Andrew J. Hirsch</w:t>
      </w:r>
    </w:p>
    <w:p>
      <w:pPr>
        <w:spacing w:after="0" w:line="27" w:lineRule="exact"/>
        <w:rPr>
          <w:sz w:val="20"/>
          <w:szCs w:val="20"/>
          <w:color w:val="auto"/>
        </w:rPr>
      </w:pPr>
    </w:p>
    <w:p>
      <w:pPr>
        <w:ind w:left="598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350"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31.2</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I, Lauren A. White, certify that:</w:t>
      </w:r>
    </w:p>
    <w:p>
      <w:pPr>
        <w:spacing w:after="0" w:line="197" w:lineRule="exact"/>
        <w:rPr>
          <w:sz w:val="20"/>
          <w:szCs w:val="20"/>
          <w:color w:val="auto"/>
        </w:rPr>
      </w:pPr>
    </w:p>
    <w:p>
      <w:pPr>
        <w:ind w:left="540" w:hanging="532"/>
        <w:spacing w:after="0"/>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C4 Therapeutics, Inc.;</w:t>
      </w:r>
    </w:p>
    <w:p>
      <w:pPr>
        <w:spacing w:after="0" w:line="183" w:lineRule="exact"/>
        <w:rPr>
          <w:rFonts w:ascii="Arial" w:cs="Arial" w:eastAsia="Arial" w:hAnsi="Arial"/>
          <w:sz w:val="18"/>
          <w:szCs w:val="18"/>
          <w:color w:val="auto"/>
        </w:rPr>
      </w:pPr>
    </w:p>
    <w:p>
      <w:pPr>
        <w:jc w:val="both"/>
        <w:ind w:left="540" w:right="260" w:hanging="532"/>
        <w:spacing w:after="0" w:line="263" w:lineRule="auto"/>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Arial" w:cs="Arial" w:eastAsia="Arial" w:hAnsi="Arial"/>
          <w:sz w:val="18"/>
          <w:szCs w:val="18"/>
          <w:color w:val="auto"/>
        </w:rPr>
      </w:pPr>
    </w:p>
    <w:p>
      <w:pPr>
        <w:ind w:left="540" w:right="220" w:hanging="532"/>
        <w:spacing w:after="0" w:line="306" w:lineRule="auto"/>
        <w:tabs>
          <w:tab w:leader="none" w:pos="5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Arial" w:cs="Arial" w:eastAsia="Arial" w:hAnsi="Arial"/>
          <w:sz w:val="17"/>
          <w:szCs w:val="17"/>
          <w:color w:val="auto"/>
        </w:rPr>
      </w:pPr>
    </w:p>
    <w:p>
      <w:pPr>
        <w:jc w:val="both"/>
        <w:ind w:left="540" w:right="260" w:hanging="532"/>
        <w:spacing w:after="0" w:line="263" w:lineRule="auto"/>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1" w:lineRule="exact"/>
        <w:rPr>
          <w:rFonts w:ascii="Arial" w:cs="Arial" w:eastAsia="Arial" w:hAnsi="Arial"/>
          <w:sz w:val="18"/>
          <w:szCs w:val="18"/>
          <w:color w:val="auto"/>
        </w:rPr>
      </w:pPr>
    </w:p>
    <w:p>
      <w:pPr>
        <w:ind w:left="1060" w:right="180" w:hanging="527"/>
        <w:spacing w:after="0" w:line="263" w:lineRule="auto"/>
        <w:tabs>
          <w:tab w:leader="none" w:pos="10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1" w:lineRule="exact"/>
        <w:rPr>
          <w:rFonts w:ascii="Arial" w:cs="Arial" w:eastAsia="Arial" w:hAnsi="Arial"/>
          <w:sz w:val="18"/>
          <w:szCs w:val="18"/>
          <w:color w:val="auto"/>
        </w:rPr>
      </w:pPr>
    </w:p>
    <w:p>
      <w:pPr>
        <w:ind w:left="1060" w:right="320" w:hanging="527"/>
        <w:spacing w:after="0" w:line="263" w:lineRule="auto"/>
        <w:tabs>
          <w:tab w:leader="none" w:pos="10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1" w:lineRule="exact"/>
        <w:rPr>
          <w:rFonts w:ascii="Arial" w:cs="Arial" w:eastAsia="Arial" w:hAnsi="Arial"/>
          <w:sz w:val="18"/>
          <w:szCs w:val="18"/>
          <w:color w:val="auto"/>
        </w:rPr>
      </w:pPr>
    </w:p>
    <w:p>
      <w:pPr>
        <w:jc w:val="both"/>
        <w:ind w:left="1060" w:right="480" w:hanging="527"/>
        <w:spacing w:after="0" w:line="341" w:lineRule="auto"/>
        <w:tabs>
          <w:tab w:leader="none" w:pos="1060" w:val="left"/>
        </w:tabs>
        <w:numPr>
          <w:ilvl w:val="1"/>
          <w:numId w:val="5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060" w:right="20" w:hanging="527"/>
        <w:spacing w:after="0" w:line="263" w:lineRule="auto"/>
        <w:tabs>
          <w:tab w:leader="none" w:pos="10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1" w:lineRule="exact"/>
        <w:rPr>
          <w:rFonts w:ascii="Arial" w:cs="Arial" w:eastAsia="Arial" w:hAnsi="Arial"/>
          <w:sz w:val="18"/>
          <w:szCs w:val="18"/>
          <w:color w:val="auto"/>
        </w:rPr>
      </w:pPr>
    </w:p>
    <w:p>
      <w:pPr>
        <w:ind w:left="540" w:right="240" w:hanging="532"/>
        <w:spacing w:after="0" w:line="341" w:lineRule="auto"/>
        <w:tabs>
          <w:tab w:leader="none" w:pos="5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1060" w:right="720" w:hanging="527"/>
        <w:spacing w:after="0" w:line="341" w:lineRule="auto"/>
        <w:tabs>
          <w:tab w:leader="none" w:pos="1060" w:val="left"/>
        </w:tabs>
        <w:numPr>
          <w:ilvl w:val="1"/>
          <w:numId w:val="5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060" w:right="420" w:hanging="527"/>
        <w:spacing w:after="0" w:line="276" w:lineRule="auto"/>
        <w:tabs>
          <w:tab w:leader="none" w:pos="10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November 10, 2021</w:t>
      </w:r>
      <w:r>
        <w:rPr>
          <w:sz w:val="20"/>
          <w:szCs w:val="20"/>
          <w:color w:val="auto"/>
        </w:rPr>
        <w:tab/>
      </w:r>
      <w:r>
        <w:rPr>
          <w:rFonts w:ascii="Arial" w:cs="Arial" w:eastAsia="Arial" w:hAnsi="Arial"/>
          <w:sz w:val="17"/>
          <w:szCs w:val="17"/>
          <w:color w:val="auto"/>
        </w:rPr>
        <w:t>By: /s/ Lauren A.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3793490</wp:posOffset>
            </wp:positionH>
            <wp:positionV relativeFrom="paragraph">
              <wp:posOffset>14605</wp:posOffset>
            </wp:positionV>
            <wp:extent cx="334391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3343910" cy="8255"/>
                    </a:xfrm>
                    <a:prstGeom prst="rect">
                      <a:avLst/>
                    </a:prstGeom>
                    <a:noFill/>
                  </pic:spPr>
                </pic:pic>
              </a:graphicData>
            </a:graphic>
          </wp:anchor>
        </w:drawing>
      </w:r>
    </w:p>
    <w:p>
      <w:pPr>
        <w:spacing w:after="0" w:line="11" w:lineRule="exact"/>
        <w:rPr>
          <w:sz w:val="20"/>
          <w:szCs w:val="20"/>
          <w:color w:val="auto"/>
        </w:rPr>
      </w:pPr>
    </w:p>
    <w:p>
      <w:pPr>
        <w:ind w:left="5980"/>
        <w:spacing w:after="0"/>
        <w:rPr>
          <w:sz w:val="20"/>
          <w:szCs w:val="20"/>
          <w:color w:val="auto"/>
        </w:rPr>
      </w:pPr>
      <w:r>
        <w:rPr>
          <w:rFonts w:ascii="Arial" w:cs="Arial" w:eastAsia="Arial" w:hAnsi="Arial"/>
          <w:sz w:val="18"/>
          <w:szCs w:val="18"/>
          <w:b w:val="1"/>
          <w:bCs w:val="1"/>
          <w:color w:val="auto"/>
        </w:rPr>
        <w:t>Lauren A. White</w:t>
      </w:r>
    </w:p>
    <w:p>
      <w:pPr>
        <w:spacing w:after="0" w:line="27" w:lineRule="exact"/>
        <w:rPr>
          <w:sz w:val="20"/>
          <w:szCs w:val="20"/>
          <w:color w:val="auto"/>
        </w:rPr>
      </w:pPr>
    </w:p>
    <w:p>
      <w:pPr>
        <w:ind w:left="5980"/>
        <w:spacing w:after="0"/>
        <w:rPr>
          <w:sz w:val="20"/>
          <w:szCs w:val="20"/>
          <w:color w:val="auto"/>
        </w:rPr>
      </w:pPr>
      <w:r>
        <w:rPr>
          <w:rFonts w:ascii="Arial" w:cs="Arial" w:eastAsia="Arial" w:hAnsi="Arial"/>
          <w:sz w:val="18"/>
          <w:szCs w:val="18"/>
          <w:b w:val="1"/>
          <w:bCs w:val="1"/>
          <w:color w:val="auto"/>
        </w:rPr>
        <w:t>Chief Financial Officer and Treasurer</w:t>
      </w:r>
    </w:p>
    <w:p>
      <w:pPr>
        <w:sectPr>
          <w:pgSz w:w="11900" w:h="16838" w:orient="portrait"/>
          <w:cols w:equalWidth="0" w:num="1">
            <w:col w:w="11240"/>
          </w:cols>
          <w:pgMar w:left="320" w:top="350"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32.1</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0" w:lineRule="exact"/>
        <w:rPr>
          <w:sz w:val="20"/>
          <w:szCs w:val="20"/>
          <w:color w:val="auto"/>
        </w:rPr>
      </w:pPr>
    </w:p>
    <w:p>
      <w:pPr>
        <w:jc w:val="both"/>
        <w:ind w:right="40" w:firstLine="510"/>
        <w:spacing w:after="0" w:line="263" w:lineRule="auto"/>
        <w:rPr>
          <w:sz w:val="20"/>
          <w:szCs w:val="20"/>
          <w:color w:val="auto"/>
        </w:rPr>
      </w:pPr>
      <w:r>
        <w:rPr>
          <w:rFonts w:ascii="Arial" w:cs="Arial" w:eastAsia="Arial" w:hAnsi="Arial"/>
          <w:sz w:val="18"/>
          <w:szCs w:val="18"/>
          <w:color w:val="auto"/>
        </w:rPr>
        <w:t>In connection with the Quarterly Report of C4 Therapeutics, Inc. (the “Company”) on Form 10-Q for the period ending September 30, 2021, as filed with the Securities and Exchange Commission on the date hereof (the “Report”), I certify, pursuant to 18 U.S.C. § 1350, as adopted pursuant to § 906 of the Sarbanes-Oxley Act of 2002, that:</w:t>
      </w:r>
    </w:p>
    <w:p>
      <w:pPr>
        <w:spacing w:after="0" w:line="182" w:lineRule="exact"/>
        <w:rPr>
          <w:sz w:val="20"/>
          <w:szCs w:val="20"/>
          <w:color w:val="auto"/>
        </w:rPr>
      </w:pPr>
    </w:p>
    <w:p>
      <w:pPr>
        <w:ind w:left="1000" w:hanging="494"/>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3" w:lineRule="exact"/>
        <w:rPr>
          <w:rFonts w:ascii="Arial" w:cs="Arial" w:eastAsia="Arial" w:hAnsi="Arial"/>
          <w:sz w:val="18"/>
          <w:szCs w:val="18"/>
          <w:color w:val="auto"/>
        </w:rPr>
      </w:pPr>
    </w:p>
    <w:p>
      <w:pPr>
        <w:ind w:left="1000" w:right="660" w:hanging="494"/>
        <w:spacing w:after="0" w:line="276" w:lineRule="auto"/>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97"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color w:val="auto"/>
        </w:rPr>
        <w:t>Date: November 10, 2021</w:t>
      </w:r>
      <w:r>
        <w:rPr>
          <w:sz w:val="20"/>
          <w:szCs w:val="20"/>
          <w:color w:val="auto"/>
        </w:rPr>
        <w:tab/>
      </w:r>
      <w:r>
        <w:rPr>
          <w:rFonts w:ascii="Arial" w:cs="Arial" w:eastAsia="Arial" w:hAnsi="Arial"/>
          <w:sz w:val="16"/>
          <w:szCs w:val="16"/>
          <w:color w:val="auto"/>
        </w:rPr>
        <w:t>By: /s/ Andrew J. Hirsch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3827780</wp:posOffset>
            </wp:positionH>
            <wp:positionV relativeFrom="paragraph">
              <wp:posOffset>14605</wp:posOffset>
            </wp:positionV>
            <wp:extent cx="33096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3309620" cy="8255"/>
                    </a:xfrm>
                    <a:prstGeom prst="rect">
                      <a:avLst/>
                    </a:prstGeom>
                    <a:noFill/>
                  </pic:spPr>
                </pic:pic>
              </a:graphicData>
            </a:graphic>
          </wp:anchor>
        </w:drawing>
      </w:r>
    </w:p>
    <w:p>
      <w:pPr>
        <w:spacing w:after="0" w:line="11"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Andrew J. Hirsch</w:t>
      </w:r>
    </w:p>
    <w:p>
      <w:pPr>
        <w:spacing w:after="0" w:line="27"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350"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32.2</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0" w:lineRule="exact"/>
        <w:rPr>
          <w:sz w:val="20"/>
          <w:szCs w:val="20"/>
          <w:color w:val="auto"/>
        </w:rPr>
      </w:pPr>
    </w:p>
    <w:p>
      <w:pPr>
        <w:jc w:val="both"/>
        <w:ind w:right="40" w:firstLine="510"/>
        <w:spacing w:after="0" w:line="263" w:lineRule="auto"/>
        <w:rPr>
          <w:sz w:val="20"/>
          <w:szCs w:val="20"/>
          <w:color w:val="auto"/>
        </w:rPr>
      </w:pPr>
      <w:r>
        <w:rPr>
          <w:rFonts w:ascii="Arial" w:cs="Arial" w:eastAsia="Arial" w:hAnsi="Arial"/>
          <w:sz w:val="18"/>
          <w:szCs w:val="18"/>
          <w:color w:val="auto"/>
        </w:rPr>
        <w:t>In connection with the Quarterly Report of C4 Therapeutics, Inc. (the “Company”) on Form 10-Q for the period ending September 30, 2021, as filed with the Securities and Exchange Commission on the date hereof (the “Report”), I certify, pursuant to 18 U.S.C. § 1350, as adopted pursuant to § 906 of the Sarbanes-Oxley Act of 2002, that:</w:t>
      </w:r>
    </w:p>
    <w:p>
      <w:pPr>
        <w:spacing w:after="0" w:line="182" w:lineRule="exact"/>
        <w:rPr>
          <w:sz w:val="20"/>
          <w:szCs w:val="20"/>
          <w:color w:val="auto"/>
        </w:rPr>
      </w:pPr>
    </w:p>
    <w:p>
      <w:pPr>
        <w:ind w:left="1000" w:hanging="494"/>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4" w:lineRule="exact"/>
        <w:rPr>
          <w:rFonts w:ascii="Arial" w:cs="Arial" w:eastAsia="Arial" w:hAnsi="Arial"/>
          <w:sz w:val="18"/>
          <w:szCs w:val="18"/>
          <w:color w:val="auto"/>
        </w:rPr>
      </w:pPr>
    </w:p>
    <w:p>
      <w:pPr>
        <w:ind w:left="1000" w:right="660" w:hanging="494"/>
        <w:spacing w:after="0" w:line="276" w:lineRule="auto"/>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97"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color w:val="auto"/>
        </w:rPr>
        <w:t>Date: November 10, 2021</w:t>
      </w:r>
      <w:r>
        <w:rPr>
          <w:sz w:val="20"/>
          <w:szCs w:val="20"/>
          <w:color w:val="auto"/>
        </w:rPr>
        <w:tab/>
      </w:r>
      <w:r>
        <w:rPr>
          <w:rFonts w:ascii="Arial" w:cs="Arial" w:eastAsia="Arial" w:hAnsi="Arial"/>
          <w:sz w:val="17"/>
          <w:szCs w:val="17"/>
          <w:color w:val="auto"/>
        </w:rPr>
        <w:t>By: /s/ Lauren A.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3827780</wp:posOffset>
            </wp:positionH>
            <wp:positionV relativeFrom="paragraph">
              <wp:posOffset>14605</wp:posOffset>
            </wp:positionV>
            <wp:extent cx="33096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3309620" cy="8255"/>
                    </a:xfrm>
                    <a:prstGeom prst="rect">
                      <a:avLst/>
                    </a:prstGeom>
                    <a:noFill/>
                  </pic:spPr>
                </pic:pic>
              </a:graphicData>
            </a:graphic>
          </wp:anchor>
        </w:drawing>
      </w:r>
    </w:p>
    <w:p>
      <w:pPr>
        <w:spacing w:after="0" w:line="11"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Lauren A. White</w:t>
      </w:r>
    </w:p>
    <w:p>
      <w:pPr>
        <w:spacing w:after="0" w:line="27"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Chief Financial Officer and Treasurer</w:t>
      </w:r>
    </w:p>
    <w:sectPr>
      <w:pgSz w:w="11900" w:h="16838" w:orient="portrait"/>
      <w:cols w:equalWidth="0" w:num="1">
        <w:col w:w="11240"/>
      </w:cols>
      <w:pgMar w:left="320" w:top="35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1)"/>
      <w:numFmt w:val="lowerRoman"/>
      <w:start w:val="2"/>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
      <w:numFmt w:val="bullet"/>
      <w:start w:val="1"/>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
      <w:numFmt w:val="bullet"/>
      <w:start w:val="1"/>
    </w:lvl>
  </w:abstractNum>
  <w:abstractNum w:abstractNumId="39">
    <w:nsid w:val="684A481A"/>
    <w:multiLevelType w:val="hybridMultilevel"/>
    <w:lvl w:ilvl="0">
      <w:lvlJc w:val="left"/>
      <w:lvlText w:val="•"/>
      <w:numFmt w:val="bullet"/>
      <w:start w:val="1"/>
    </w:lvl>
  </w:abstractNum>
  <w:abstractNum w:abstractNumId="40">
    <w:nsid w:val="579478FE"/>
    <w:multiLevelType w:val="hybridMultilevel"/>
    <w:lvl w:ilvl="0">
      <w:lvlJc w:val="left"/>
      <w:lvlText w:val="•"/>
      <w:numFmt w:val="bullet"/>
      <w:start w:val="1"/>
    </w:lvl>
  </w:abstractNum>
  <w:abstractNum w:abstractNumId="41">
    <w:nsid w:val="749ABB43"/>
    <w:multiLevelType w:val="hybridMultilevel"/>
    <w:lvl w:ilvl="0">
      <w:lvlJc w:val="left"/>
      <w:lvlText w:val="•"/>
      <w:numFmt w:val="bullet"/>
      <w:start w:val="1"/>
    </w:lvl>
  </w:abstractNum>
  <w:abstractNum w:abstractNumId="42">
    <w:nsid w:val="3DC240FB"/>
    <w:multiLevelType w:val="hybridMultilevel"/>
    <w:lvl w:ilvl="0">
      <w:lvlJc w:val="left"/>
      <w:lvlText w:val="•"/>
      <w:numFmt w:val="bullet"/>
      <w:start w:val="1"/>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
      <w:numFmt w:val="bullet"/>
      <w:start w:val="1"/>
    </w:lvl>
  </w:abstractNum>
  <w:abstractNum w:abstractNumId="45">
    <w:nsid w:val="75C6C33A"/>
    <w:multiLevelType w:val="hybridMultilevel"/>
    <w:lvl w:ilvl="0">
      <w:lvlJc w:val="left"/>
      <w:lvlText w:val="•"/>
      <w:numFmt w:val="bullet"/>
      <w:start w:val="1"/>
    </w:lvl>
  </w:abstractNum>
  <w:abstractNum w:abstractNumId="46">
    <w:nsid w:val="12E685FB"/>
    <w:multiLevelType w:val="hybridMultilevel"/>
    <w:lvl w:ilvl="0">
      <w:lvlJc w:val="left"/>
      <w:lvlText w:val="•"/>
      <w:numFmt w:val="bullet"/>
      <w:start w:val="1"/>
    </w:lvl>
  </w:abstractNum>
  <w:abstractNum w:abstractNumId="47">
    <w:nsid w:val="70C6A529"/>
    <w:multiLevelType w:val="hybridMultilevel"/>
    <w:lvl w:ilvl="0">
      <w:lvlJc w:val="left"/>
      <w:lvlText w:val="•"/>
      <w:numFmt w:val="bullet"/>
      <w:start w:val="1"/>
    </w:lvl>
  </w:abstractNum>
  <w:abstractNum w:abstractNumId="48">
    <w:nsid w:val="520EEDD1"/>
    <w:multiLevelType w:val="hybridMultilevel"/>
    <w:lvl w:ilvl="0">
      <w:lvlJc w:val="left"/>
      <w:lvlText w:val="•"/>
      <w:numFmt w:val="bullet"/>
      <w:start w:val="1"/>
    </w:lvl>
  </w:abstractNum>
  <w:abstractNum w:abstractNumId="49">
    <w:nsid w:val="374A3FE6"/>
    <w:multiLevelType w:val="hybridMultilevel"/>
    <w:lvl w:ilvl="0">
      <w:lvlJc w:val="left"/>
      <w:lvlText w:val="•"/>
      <w:numFmt w:val="bullet"/>
      <w:start w:val="1"/>
    </w:lvl>
  </w:abstractNum>
  <w:abstractNum w:abstractNumId="50">
    <w:nsid w:val="4F4EF005"/>
    <w:multiLevelType w:val="hybridMultilevel"/>
    <w:lvl w:ilvl="0">
      <w:lvlJc w:val="left"/>
      <w:lvlText w:val="•"/>
      <w:numFmt w:val="bullet"/>
      <w:start w:val="1"/>
    </w:lvl>
  </w:abstractNum>
  <w:abstractNum w:abstractNumId="51">
    <w:nsid w:val="23F9C13C"/>
    <w:multiLevelType w:val="hybridMultilevel"/>
    <w:lvl w:ilvl="0">
      <w:lvlJc w:val="left"/>
      <w:lvlText w:val="(%1)"/>
      <w:numFmt w:val="decimal"/>
      <w:start w:val="3"/>
    </w:lvl>
    <w:lvl w:ilvl="1">
      <w:lvlJc w:val="left"/>
      <w:lvlText w:val="•"/>
      <w:numFmt w:val="bullet"/>
      <w:start w:val="1"/>
    </w:lvl>
  </w:abstractNum>
  <w:abstractNum w:abstractNumId="52">
    <w:nsid w:val="649BB77C"/>
    <w:multiLevelType w:val="hybridMultilevel"/>
    <w:lvl w:ilvl="0">
      <w:lvlJc w:val="left"/>
      <w:lvlText w:val="%1"/>
      <w:numFmt w:val="decimal"/>
      <w:start w:val="104"/>
    </w:lvl>
  </w:abstractNum>
  <w:abstractNum w:abstractNumId="53">
    <w:nsid w:val="275AC794"/>
    <w:multiLevelType w:val="hybridMultilevel"/>
    <w:lvl w:ilvl="0">
      <w:lvlJc w:val="left"/>
      <w:lvlText w:val="*"/>
      <w:numFmt w:val="bullet"/>
      <w:start w:val="1"/>
    </w:lvl>
  </w:abstractNum>
  <w:abstractNum w:abstractNumId="54">
    <w:nsid w:val="39386575"/>
    <w:multiLevelType w:val="hybridMultilevel"/>
    <w:lvl w:ilvl="0">
      <w:lvlJc w:val="left"/>
      <w:lvlText w:val="%1."/>
      <w:numFmt w:val="decimal"/>
      <w:start w:val="1"/>
    </w:lvl>
    <w:lvl w:ilvl="1">
      <w:lvlJc w:val="left"/>
      <w:lvlText w:val="(%2)"/>
      <w:numFmt w:val="lowerLetter"/>
      <w:start w:val="1"/>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decimal"/>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95" Type="http://schemas.openxmlformats.org/officeDocument/2006/relationships/hyperlink" Target="http://www.sec.gov/Archives/edgar/data/0001662579/000119312520243234/d772024dex33.htm" TargetMode="External"/><Relationship Id="rId96" Type="http://schemas.openxmlformats.org/officeDocument/2006/relationships/hyperlink" Target="http://www.sec.gov/Archives/edgar/data/0001662579/000119312520243234/d772024dex35.htm" TargetMode="External"/><Relationship Id="rId97" Type="http://schemas.openxmlformats.org/officeDocument/2006/relationships/hyperlink" Target="http://www.sec.gov/Archives/edgar/data/0001662579/000119312520243234/d772024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2021-11-10T15:42:42Z</dcterms:created>
  <dcterms:modified xsi:type="dcterms:W3CDTF">2021-11-10T15:42:42Z</dcterms:modified>
</cp:coreProperties>
</file>