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28, 2020.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333–248719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98425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104775</wp:posOffset>
            </wp:positionV>
            <wp:extent cx="2275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Amendment No. 1</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to</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S-1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111125</wp:posOffset>
            </wp:positionV>
            <wp:extent cx="2275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C4 Therapeutics,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jc w:val="center"/>
              <w:ind w:left="609"/>
              <w:spacing w:after="0"/>
              <w:rPr>
                <w:sz w:val="20"/>
                <w:szCs w:val="20"/>
                <w:color w:val="auto"/>
              </w:rPr>
            </w:pPr>
            <w:r>
              <w:rPr>
                <w:rFonts w:ascii="Arial" w:cs="Arial" w:eastAsia="Arial" w:hAnsi="Arial"/>
                <w:sz w:val="14"/>
                <w:szCs w:val="14"/>
                <w:b w:val="1"/>
                <w:bCs w:val="1"/>
                <w:color w:val="auto"/>
              </w:rPr>
              <w:t>DELAWARE</w:t>
            </w:r>
          </w:p>
        </w:tc>
        <w:tc>
          <w:tcPr>
            <w:tcW w:w="4400" w:type="dxa"/>
            <w:vAlign w:val="bottom"/>
            <w:gridSpan w:val="3"/>
          </w:tcPr>
          <w:p>
            <w:pPr>
              <w:jc w:val="center"/>
              <w:ind w:left="769"/>
              <w:spacing w:after="0"/>
              <w:rPr>
                <w:sz w:val="20"/>
                <w:szCs w:val="20"/>
                <w:color w:val="auto"/>
              </w:rPr>
            </w:pPr>
            <w:r>
              <w:rPr>
                <w:rFonts w:ascii="Arial" w:cs="Arial" w:eastAsia="Arial" w:hAnsi="Arial"/>
                <w:sz w:val="14"/>
                <w:szCs w:val="14"/>
                <w:b w:val="1"/>
                <w:bCs w:val="1"/>
                <w:color w:val="auto"/>
              </w:rPr>
              <w:t>2836</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20" w:type="dxa"/>
            <w:vAlign w:val="bottom"/>
          </w:tcPr>
          <w:p>
            <w:pPr>
              <w:jc w:val="center"/>
              <w:ind w:right="709"/>
              <w:spacing w:after="0"/>
              <w:rPr>
                <w:sz w:val="20"/>
                <w:szCs w:val="20"/>
                <w:color w:val="auto"/>
              </w:rPr>
            </w:pPr>
            <w:r>
              <w:rPr>
                <w:rFonts w:ascii="Arial" w:cs="Arial" w:eastAsia="Arial" w:hAnsi="Arial"/>
                <w:sz w:val="14"/>
                <w:szCs w:val="14"/>
                <w:b w:val="1"/>
                <w:bCs w:val="1"/>
                <w:color w:val="auto"/>
              </w:rPr>
              <w:t>47-5617627</w:t>
            </w:r>
          </w:p>
        </w:tc>
      </w:tr>
      <w:tr>
        <w:trPr>
          <w:trHeight w:val="141"/>
        </w:trPr>
        <w:tc>
          <w:tcPr>
            <w:tcW w:w="3140" w:type="dxa"/>
            <w:vAlign w:val="bottom"/>
            <w:tcBorders>
              <w:top w:val="single" w:sz="8" w:color="auto"/>
            </w:tcBorders>
          </w:tcPr>
          <w:p>
            <w:pPr>
              <w:jc w:val="center"/>
              <w:ind w:left="609"/>
              <w:spacing w:after="0" w:line="141" w:lineRule="exact"/>
              <w:rPr>
                <w:sz w:val="20"/>
                <w:szCs w:val="20"/>
                <w:color w:val="auto"/>
              </w:rPr>
            </w:pPr>
            <w:r>
              <w:rPr>
                <w:rFonts w:ascii="Arial" w:cs="Arial" w:eastAsia="Arial" w:hAnsi="Arial"/>
                <w:sz w:val="14"/>
                <w:szCs w:val="14"/>
                <w:color w:val="auto"/>
              </w:rPr>
              <w:t>(State or other jurisdiction of</w:t>
            </w: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5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rPr>
              <w:t>(Primary Standard Industrial</w:t>
            </w: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jc w:val="center"/>
              <w:ind w:right="689"/>
              <w:spacing w:after="0" w:line="141" w:lineRule="exact"/>
              <w:rPr>
                <w:sz w:val="20"/>
                <w:szCs w:val="20"/>
                <w:color w:val="auto"/>
              </w:rPr>
            </w:pPr>
            <w:r>
              <w:rPr>
                <w:rFonts w:ascii="Arial" w:cs="Arial" w:eastAsia="Arial" w:hAnsi="Arial"/>
                <w:sz w:val="14"/>
                <w:szCs w:val="14"/>
                <w:color w:val="auto"/>
              </w:rPr>
              <w:t>(I.R.S. Employer</w:t>
            </w:r>
          </w:p>
        </w:tc>
      </w:tr>
      <w:tr>
        <w:trPr>
          <w:trHeight w:val="193"/>
        </w:trPr>
        <w:tc>
          <w:tcPr>
            <w:tcW w:w="3140" w:type="dxa"/>
            <w:vAlign w:val="bottom"/>
          </w:tcPr>
          <w:p>
            <w:pPr>
              <w:ind w:left="1120"/>
              <w:spacing w:after="0"/>
              <w:rPr>
                <w:sz w:val="20"/>
                <w:szCs w:val="20"/>
                <w:color w:val="auto"/>
              </w:rPr>
            </w:pPr>
            <w:r>
              <w:rPr>
                <w:rFonts w:ascii="Arial" w:cs="Arial" w:eastAsia="Arial" w:hAnsi="Arial"/>
                <w:sz w:val="14"/>
                <w:szCs w:val="14"/>
                <w:color w:val="auto"/>
              </w:rPr>
              <w:t>incorporation or organization)</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60" w:type="dxa"/>
            <w:vAlign w:val="bottom"/>
            <w:gridSpan w:val="3"/>
          </w:tcPr>
          <w:p>
            <w:pPr>
              <w:jc w:val="center"/>
              <w:ind w:right="860"/>
              <w:spacing w:after="0"/>
              <w:rPr>
                <w:sz w:val="20"/>
                <w:szCs w:val="20"/>
                <w:color w:val="auto"/>
              </w:rPr>
            </w:pPr>
            <w:r>
              <w:rPr>
                <w:rFonts w:ascii="Arial" w:cs="Arial" w:eastAsia="Arial" w:hAnsi="Arial"/>
                <w:sz w:val="14"/>
                <w:szCs w:val="14"/>
                <w:color w:val="auto"/>
              </w:rPr>
              <w:t>Classification Code Number)</w:t>
            </w:r>
          </w:p>
        </w:tc>
        <w:tc>
          <w:tcPr>
            <w:tcW w:w="2820" w:type="dxa"/>
            <w:vAlign w:val="bottom"/>
          </w:tcPr>
          <w:p>
            <w:pPr>
              <w:jc w:val="center"/>
              <w:ind w:right="689"/>
              <w:spacing w:after="0"/>
              <w:rPr>
                <w:sz w:val="20"/>
                <w:szCs w:val="20"/>
                <w:color w:val="auto"/>
              </w:rPr>
            </w:pPr>
            <w:r>
              <w:rPr>
                <w:rFonts w:ascii="Arial" w:cs="Arial" w:eastAsia="Arial" w:hAnsi="Arial"/>
                <w:sz w:val="14"/>
                <w:szCs w:val="14"/>
                <w:color w:val="auto"/>
              </w:rPr>
              <w:t>Identification No.)</w:t>
            </w:r>
          </w:p>
        </w:tc>
      </w:tr>
      <w:tr>
        <w:trPr>
          <w:trHeight w:val="179"/>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6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rPr>
              <w:t>C4 Therapeutics, Inc.</w:t>
            </w:r>
          </w:p>
        </w:tc>
        <w:tc>
          <w:tcPr>
            <w:tcW w:w="2820" w:type="dxa"/>
            <w:vAlign w:val="bottom"/>
          </w:tcPr>
          <w:p>
            <w:pPr>
              <w:spacing w:after="0"/>
              <w:rPr>
                <w:sz w:val="15"/>
                <w:szCs w:val="15"/>
                <w:color w:val="auto"/>
              </w:rPr>
            </w:pPr>
          </w:p>
        </w:tc>
      </w:tr>
      <w:tr>
        <w:trPr>
          <w:trHeight w:val="160"/>
        </w:trPr>
        <w:tc>
          <w:tcPr>
            <w:tcW w:w="3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6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rPr>
              <w:t>490 Arsenal Way, Suite 200</w:t>
            </w:r>
          </w:p>
        </w:tc>
        <w:tc>
          <w:tcPr>
            <w:tcW w:w="2820" w:type="dxa"/>
            <w:vAlign w:val="bottom"/>
          </w:tcPr>
          <w:p>
            <w:pPr>
              <w:spacing w:after="0"/>
              <w:rPr>
                <w:sz w:val="13"/>
                <w:szCs w:val="13"/>
                <w:color w:val="auto"/>
              </w:rPr>
            </w:pPr>
          </w:p>
        </w:tc>
      </w:tr>
      <w:tr>
        <w:trPr>
          <w:trHeight w:val="160"/>
        </w:trPr>
        <w:tc>
          <w:tcPr>
            <w:tcW w:w="3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6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rPr>
              <w:t>Watertown, MA 02472</w:t>
            </w:r>
          </w:p>
        </w:tc>
        <w:tc>
          <w:tcPr>
            <w:tcW w:w="2820" w:type="dxa"/>
            <w:vAlign w:val="bottom"/>
          </w:tcPr>
          <w:p>
            <w:pPr>
              <w:spacing w:after="0"/>
              <w:rPr>
                <w:sz w:val="13"/>
                <w:szCs w:val="13"/>
                <w:color w:val="auto"/>
              </w:rPr>
            </w:pPr>
          </w:p>
        </w:tc>
      </w:tr>
      <w:tr>
        <w:trPr>
          <w:trHeight w:val="162"/>
        </w:trPr>
        <w:tc>
          <w:tcPr>
            <w:tcW w:w="3140" w:type="dxa"/>
            <w:vAlign w:val="bottom"/>
          </w:tcPr>
          <w:p>
            <w:pPr>
              <w:spacing w:after="0"/>
              <w:rPr>
                <w:sz w:val="14"/>
                <w:szCs w:val="14"/>
                <w:color w:val="auto"/>
              </w:rPr>
            </w:pPr>
          </w:p>
        </w:tc>
        <w:tc>
          <w:tcPr>
            <w:tcW w:w="4400" w:type="dxa"/>
            <w:vAlign w:val="bottom"/>
            <w:gridSpan w:val="3"/>
          </w:tcPr>
          <w:p>
            <w:pPr>
              <w:jc w:val="center"/>
              <w:ind w:left="509"/>
              <w:spacing w:after="0"/>
              <w:rPr>
                <w:sz w:val="20"/>
                <w:szCs w:val="20"/>
                <w:color w:val="auto"/>
              </w:rPr>
            </w:pPr>
            <w:r>
              <w:rPr>
                <w:rFonts w:ascii="Arial" w:cs="Arial" w:eastAsia="Arial" w:hAnsi="Arial"/>
                <w:sz w:val="14"/>
                <w:szCs w:val="14"/>
                <w:b w:val="1"/>
                <w:bCs w:val="1"/>
                <w:color w:val="auto"/>
              </w:rPr>
              <w:t>(617) 231-0700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60"/>
        </w:trPr>
        <w:tc>
          <w:tcPr>
            <w:tcW w:w="3140" w:type="dxa"/>
            <w:vAlign w:val="bottom"/>
          </w:tcPr>
          <w:p>
            <w:pPr>
              <w:spacing w:after="0"/>
              <w:rPr>
                <w:sz w:val="13"/>
                <w:szCs w:val="13"/>
                <w:color w:val="auto"/>
              </w:rPr>
            </w:pPr>
          </w:p>
        </w:tc>
        <w:tc>
          <w:tcPr>
            <w:tcW w:w="5280" w:type="dxa"/>
            <w:vAlign w:val="bottom"/>
            <w:gridSpan w:val="5"/>
          </w:tcPr>
          <w:p>
            <w:pPr>
              <w:jc w:val="center"/>
              <w:ind w:right="320"/>
              <w:spacing w:after="0"/>
              <w:rPr>
                <w:sz w:val="20"/>
                <w:szCs w:val="20"/>
                <w:color w:val="auto"/>
              </w:rPr>
            </w:pPr>
            <w:r>
              <w:rPr>
                <w:rFonts w:ascii="Arial" w:cs="Arial" w:eastAsia="Arial" w:hAnsi="Arial"/>
                <w:sz w:val="14"/>
                <w:szCs w:val="14"/>
                <w:color w:val="auto"/>
              </w:rPr>
              <w:t>(Address, including zip code, and telephone number, including area code,</w:t>
            </w:r>
          </w:p>
        </w:tc>
        <w:tc>
          <w:tcPr>
            <w:tcW w:w="2820" w:type="dxa"/>
            <w:vAlign w:val="bottom"/>
          </w:tcPr>
          <w:p>
            <w:pPr>
              <w:spacing w:after="0"/>
              <w:rPr>
                <w:sz w:val="13"/>
                <w:szCs w:val="13"/>
                <w:color w:val="auto"/>
              </w:rPr>
            </w:pPr>
          </w:p>
        </w:tc>
      </w:tr>
      <w:tr>
        <w:trPr>
          <w:trHeight w:val="193"/>
        </w:trPr>
        <w:tc>
          <w:tcPr>
            <w:tcW w:w="3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60" w:type="dxa"/>
            <w:vAlign w:val="bottom"/>
            <w:gridSpan w:val="3"/>
          </w:tcPr>
          <w:p>
            <w:pPr>
              <w:jc w:val="center"/>
              <w:ind w:right="1140"/>
              <w:spacing w:after="0"/>
              <w:rPr>
                <w:sz w:val="20"/>
                <w:szCs w:val="20"/>
                <w:color w:val="auto"/>
              </w:rPr>
            </w:pPr>
            <w:r>
              <w:rPr>
                <w:rFonts w:ascii="Arial" w:cs="Arial" w:eastAsia="Arial" w:hAnsi="Arial"/>
                <w:sz w:val="14"/>
                <w:szCs w:val="14"/>
                <w:color w:val="auto"/>
              </w:rPr>
              <w:t>of registrant’s principal executive offices)</w:t>
            </w:r>
          </w:p>
        </w:tc>
        <w:tc>
          <w:tcPr>
            <w:tcW w:w="2820" w:type="dxa"/>
            <w:vAlign w:val="bottom"/>
          </w:tcPr>
          <w:p>
            <w:pPr>
              <w:spacing w:after="0"/>
              <w:rPr>
                <w:sz w:val="16"/>
                <w:szCs w:val="16"/>
                <w:color w:val="auto"/>
              </w:rPr>
            </w:pPr>
          </w:p>
        </w:tc>
      </w:tr>
    </w:tbl>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Marc A. Cohen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Co-Founder, Executive Chairman and Chief Executive Officer</w:t>
      </w:r>
    </w:p>
    <w:p>
      <w:pPr>
        <w:jc w:val="center"/>
        <w:spacing w:after="0"/>
        <w:rPr>
          <w:sz w:val="20"/>
          <w:szCs w:val="20"/>
          <w:color w:val="auto"/>
        </w:rPr>
      </w:pPr>
      <w:r>
        <w:rPr>
          <w:rFonts w:ascii="Arial" w:cs="Arial" w:eastAsia="Arial" w:hAnsi="Arial"/>
          <w:sz w:val="14"/>
          <w:szCs w:val="14"/>
          <w:b w:val="1"/>
          <w:bCs w:val="1"/>
          <w:color w:val="auto"/>
        </w:rPr>
        <w:t>C4 Therapeutics, Inc.</w:t>
      </w:r>
    </w:p>
    <w:p>
      <w:pPr>
        <w:jc w:val="center"/>
        <w:spacing w:after="0"/>
        <w:rPr>
          <w:sz w:val="20"/>
          <w:szCs w:val="20"/>
          <w:color w:val="auto"/>
        </w:rPr>
      </w:pPr>
      <w:r>
        <w:rPr>
          <w:rFonts w:ascii="Arial" w:cs="Arial" w:eastAsia="Arial" w:hAnsi="Arial"/>
          <w:sz w:val="14"/>
          <w:szCs w:val="14"/>
          <w:b w:val="1"/>
          <w:bCs w:val="1"/>
          <w:color w:val="auto"/>
        </w:rPr>
        <w:t>490 Arsenal Way, Suite 200</w:t>
      </w:r>
    </w:p>
    <w:p>
      <w:pPr>
        <w:jc w:val="center"/>
        <w:spacing w:after="0"/>
        <w:rPr>
          <w:sz w:val="20"/>
          <w:szCs w:val="20"/>
          <w:color w:val="auto"/>
        </w:rPr>
      </w:pPr>
      <w:r>
        <w:rPr>
          <w:rFonts w:ascii="Arial" w:cs="Arial" w:eastAsia="Arial" w:hAnsi="Arial"/>
          <w:sz w:val="14"/>
          <w:szCs w:val="14"/>
          <w:b w:val="1"/>
          <w:bCs w:val="1"/>
          <w:color w:val="auto"/>
        </w:rPr>
        <w:t>Watertown, MA 02472</w:t>
      </w:r>
    </w:p>
    <w:p>
      <w:pPr>
        <w:jc w:val="center"/>
        <w:spacing w:after="0"/>
        <w:rPr>
          <w:sz w:val="20"/>
          <w:szCs w:val="20"/>
          <w:color w:val="auto"/>
        </w:rPr>
      </w:pPr>
      <w:r>
        <w:rPr>
          <w:rFonts w:ascii="Arial" w:cs="Arial" w:eastAsia="Arial" w:hAnsi="Arial"/>
          <w:sz w:val="14"/>
          <w:szCs w:val="14"/>
          <w:b w:val="1"/>
          <w:bCs w:val="1"/>
          <w:color w:val="auto"/>
        </w:rPr>
        <w:t>(617) 231-0700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191"/>
        </w:trPr>
        <w:tc>
          <w:tcPr>
            <w:tcW w:w="2960" w:type="dxa"/>
            <w:vAlign w:val="bottom"/>
          </w:tcPr>
          <w:p>
            <w:pPr>
              <w:spacing w:after="0"/>
              <w:rPr>
                <w:sz w:val="16"/>
                <w:szCs w:val="16"/>
                <w:color w:val="auto"/>
              </w:rPr>
            </w:pPr>
          </w:p>
        </w:tc>
        <w:tc>
          <w:tcPr>
            <w:tcW w:w="3740" w:type="dxa"/>
            <w:vAlign w:val="bottom"/>
          </w:tcPr>
          <w:p>
            <w:pPr>
              <w:ind w:left="1420"/>
              <w:spacing w:after="0"/>
              <w:rPr>
                <w:sz w:val="20"/>
                <w:szCs w:val="20"/>
                <w:color w:val="auto"/>
              </w:rPr>
            </w:pPr>
            <w:r>
              <w:rPr>
                <w:rFonts w:ascii="Arial" w:cs="Arial" w:eastAsia="Arial" w:hAnsi="Arial"/>
                <w:sz w:val="14"/>
                <w:szCs w:val="14"/>
                <w:i w:val="1"/>
                <w:iCs w:val="1"/>
                <w:color w:val="auto"/>
              </w:rPr>
              <w:t>Copies to:</w:t>
            </w:r>
          </w:p>
        </w:tc>
        <w:tc>
          <w:tcPr>
            <w:tcW w:w="2680" w:type="dxa"/>
            <w:vAlign w:val="bottom"/>
          </w:tcPr>
          <w:p>
            <w:pPr>
              <w:spacing w:after="0"/>
              <w:rPr>
                <w:sz w:val="16"/>
                <w:szCs w:val="16"/>
                <w:color w:val="auto"/>
              </w:rPr>
            </w:pPr>
          </w:p>
        </w:tc>
      </w:tr>
      <w:tr>
        <w:trPr>
          <w:trHeight w:val="193"/>
        </w:trPr>
        <w:tc>
          <w:tcPr>
            <w:tcW w:w="2960" w:type="dxa"/>
            <w:vAlign w:val="bottom"/>
          </w:tcPr>
          <w:p>
            <w:pPr>
              <w:jc w:val="center"/>
              <w:ind w:right="889"/>
              <w:spacing w:after="0"/>
              <w:rPr>
                <w:sz w:val="20"/>
                <w:szCs w:val="20"/>
                <w:color w:val="auto"/>
              </w:rPr>
            </w:pPr>
            <w:r>
              <w:rPr>
                <w:rFonts w:ascii="Arial" w:cs="Arial" w:eastAsia="Arial" w:hAnsi="Arial"/>
                <w:sz w:val="14"/>
                <w:szCs w:val="14"/>
                <w:b w:val="1"/>
                <w:bCs w:val="1"/>
                <w:color w:val="auto"/>
              </w:rPr>
              <w:t>Lawrence S. Wittenberg, Esq.</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Jolie M. Siegel</w:t>
            </w:r>
          </w:p>
        </w:tc>
        <w:tc>
          <w:tcPr>
            <w:tcW w:w="2680" w:type="dxa"/>
            <w:vAlign w:val="bottom"/>
          </w:tcPr>
          <w:p>
            <w:pPr>
              <w:jc w:val="center"/>
              <w:ind w:left="909"/>
              <w:spacing w:after="0"/>
              <w:rPr>
                <w:sz w:val="20"/>
                <w:szCs w:val="20"/>
                <w:color w:val="auto"/>
              </w:rPr>
            </w:pPr>
            <w:r>
              <w:rPr>
                <w:rFonts w:ascii="Arial" w:cs="Arial" w:eastAsia="Arial" w:hAnsi="Arial"/>
                <w:sz w:val="14"/>
                <w:szCs w:val="14"/>
                <w:b w:val="1"/>
                <w:bCs w:val="1"/>
                <w:color w:val="auto"/>
              </w:rPr>
              <w:t>Divakar Gupta</w:t>
            </w:r>
          </w:p>
        </w:tc>
      </w:tr>
      <w:tr>
        <w:trPr>
          <w:trHeight w:val="160"/>
        </w:trPr>
        <w:tc>
          <w:tcPr>
            <w:tcW w:w="2960" w:type="dxa"/>
            <w:vAlign w:val="bottom"/>
          </w:tcPr>
          <w:p>
            <w:pPr>
              <w:jc w:val="center"/>
              <w:ind w:right="909"/>
              <w:spacing w:after="0"/>
              <w:rPr>
                <w:sz w:val="20"/>
                <w:szCs w:val="20"/>
                <w:color w:val="auto"/>
              </w:rPr>
            </w:pPr>
            <w:r>
              <w:rPr>
                <w:rFonts w:ascii="Arial" w:cs="Arial" w:eastAsia="Arial" w:hAnsi="Arial"/>
                <w:sz w:val="14"/>
                <w:szCs w:val="14"/>
                <w:b w:val="1"/>
                <w:bCs w:val="1"/>
                <w:color w:val="auto"/>
              </w:rPr>
              <w:t>Edwin O’Connor, Esq.</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Chief Legal Officer</w:t>
            </w:r>
          </w:p>
        </w:tc>
        <w:tc>
          <w:tcPr>
            <w:tcW w:w="2680" w:type="dxa"/>
            <w:vAlign w:val="bottom"/>
          </w:tcPr>
          <w:p>
            <w:pPr>
              <w:jc w:val="center"/>
              <w:ind w:left="909"/>
              <w:spacing w:after="0"/>
              <w:rPr>
                <w:sz w:val="20"/>
                <w:szCs w:val="20"/>
                <w:color w:val="auto"/>
              </w:rPr>
            </w:pPr>
            <w:r>
              <w:rPr>
                <w:rFonts w:ascii="Arial" w:cs="Arial" w:eastAsia="Arial" w:hAnsi="Arial"/>
                <w:sz w:val="14"/>
                <w:szCs w:val="14"/>
                <w:b w:val="1"/>
                <w:bCs w:val="1"/>
                <w:color w:val="auto"/>
              </w:rPr>
              <w:t>Brent B. Siler</w:t>
            </w:r>
          </w:p>
        </w:tc>
      </w:tr>
      <w:tr>
        <w:trPr>
          <w:trHeight w:val="160"/>
        </w:trPr>
        <w:tc>
          <w:tcPr>
            <w:tcW w:w="2960" w:type="dxa"/>
            <w:vAlign w:val="bottom"/>
          </w:tcPr>
          <w:p>
            <w:pPr>
              <w:jc w:val="center"/>
              <w:ind w:right="909"/>
              <w:spacing w:after="0"/>
              <w:rPr>
                <w:sz w:val="20"/>
                <w:szCs w:val="20"/>
                <w:color w:val="auto"/>
              </w:rPr>
            </w:pPr>
            <w:r>
              <w:rPr>
                <w:rFonts w:ascii="Arial" w:cs="Arial" w:eastAsia="Arial" w:hAnsi="Arial"/>
                <w:sz w:val="14"/>
                <w:szCs w:val="14"/>
                <w:b w:val="1"/>
                <w:bCs w:val="1"/>
                <w:color w:val="auto"/>
              </w:rPr>
              <w:t>Goodwin Procter LLP</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C4 Therapeutics, Inc.</w:t>
            </w:r>
          </w:p>
        </w:tc>
        <w:tc>
          <w:tcPr>
            <w:tcW w:w="2680" w:type="dxa"/>
            <w:vAlign w:val="bottom"/>
          </w:tcPr>
          <w:p>
            <w:pPr>
              <w:jc w:val="center"/>
              <w:ind w:left="909"/>
              <w:spacing w:after="0"/>
              <w:rPr>
                <w:sz w:val="20"/>
                <w:szCs w:val="20"/>
                <w:color w:val="auto"/>
              </w:rPr>
            </w:pPr>
            <w:r>
              <w:rPr>
                <w:rFonts w:ascii="Arial" w:cs="Arial" w:eastAsia="Arial" w:hAnsi="Arial"/>
                <w:sz w:val="14"/>
                <w:szCs w:val="14"/>
                <w:b w:val="1"/>
                <w:bCs w:val="1"/>
                <w:color w:val="auto"/>
              </w:rPr>
              <w:t>Richard Segal</w:t>
            </w:r>
          </w:p>
        </w:tc>
      </w:tr>
      <w:tr>
        <w:trPr>
          <w:trHeight w:val="160"/>
        </w:trPr>
        <w:tc>
          <w:tcPr>
            <w:tcW w:w="2960" w:type="dxa"/>
            <w:vAlign w:val="bottom"/>
          </w:tcPr>
          <w:p>
            <w:pPr>
              <w:jc w:val="center"/>
              <w:ind w:right="909"/>
              <w:spacing w:after="0"/>
              <w:rPr>
                <w:sz w:val="20"/>
                <w:szCs w:val="20"/>
                <w:color w:val="auto"/>
              </w:rPr>
            </w:pPr>
            <w:r>
              <w:rPr>
                <w:rFonts w:ascii="Arial" w:cs="Arial" w:eastAsia="Arial" w:hAnsi="Arial"/>
                <w:sz w:val="14"/>
                <w:szCs w:val="14"/>
                <w:b w:val="1"/>
                <w:bCs w:val="1"/>
                <w:color w:val="auto"/>
              </w:rPr>
              <w:t>100 Northern Avenue</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490 Arsenal Way, Suite 200</w:t>
            </w:r>
          </w:p>
        </w:tc>
        <w:tc>
          <w:tcPr>
            <w:tcW w:w="2680" w:type="dxa"/>
            <w:vAlign w:val="bottom"/>
          </w:tcPr>
          <w:p>
            <w:pPr>
              <w:jc w:val="center"/>
              <w:ind w:left="909"/>
              <w:spacing w:after="0"/>
              <w:rPr>
                <w:sz w:val="20"/>
                <w:szCs w:val="20"/>
                <w:color w:val="auto"/>
              </w:rPr>
            </w:pPr>
            <w:r>
              <w:rPr>
                <w:rFonts w:ascii="Arial" w:cs="Arial" w:eastAsia="Arial" w:hAnsi="Arial"/>
                <w:sz w:val="14"/>
                <w:szCs w:val="14"/>
                <w:b w:val="1"/>
                <w:bCs w:val="1"/>
                <w:color w:val="auto"/>
              </w:rPr>
              <w:t>Cooley LLP</w:t>
            </w:r>
          </w:p>
        </w:tc>
      </w:tr>
      <w:tr>
        <w:trPr>
          <w:trHeight w:val="160"/>
        </w:trPr>
        <w:tc>
          <w:tcPr>
            <w:tcW w:w="2960" w:type="dxa"/>
            <w:vAlign w:val="bottom"/>
          </w:tcPr>
          <w:p>
            <w:pPr>
              <w:jc w:val="center"/>
              <w:ind w:right="909"/>
              <w:spacing w:after="0"/>
              <w:rPr>
                <w:sz w:val="20"/>
                <w:szCs w:val="20"/>
                <w:color w:val="auto"/>
              </w:rPr>
            </w:pPr>
            <w:r>
              <w:rPr>
                <w:rFonts w:ascii="Arial" w:cs="Arial" w:eastAsia="Arial" w:hAnsi="Arial"/>
                <w:sz w:val="14"/>
                <w:szCs w:val="14"/>
                <w:b w:val="1"/>
                <w:bCs w:val="1"/>
                <w:color w:val="auto"/>
              </w:rPr>
              <w:t>Boston, MA 02210</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Watertown, MA 02472</w:t>
            </w:r>
          </w:p>
        </w:tc>
        <w:tc>
          <w:tcPr>
            <w:tcW w:w="2680" w:type="dxa"/>
            <w:vAlign w:val="bottom"/>
          </w:tcPr>
          <w:p>
            <w:pPr>
              <w:jc w:val="center"/>
              <w:ind w:left="909"/>
              <w:spacing w:after="0"/>
              <w:rPr>
                <w:sz w:val="20"/>
                <w:szCs w:val="20"/>
                <w:color w:val="auto"/>
              </w:rPr>
            </w:pPr>
            <w:r>
              <w:rPr>
                <w:rFonts w:ascii="Arial" w:cs="Arial" w:eastAsia="Arial" w:hAnsi="Arial"/>
                <w:sz w:val="14"/>
                <w:szCs w:val="14"/>
                <w:b w:val="1"/>
                <w:bCs w:val="1"/>
                <w:color w:val="auto"/>
                <w:w w:val="99"/>
              </w:rPr>
              <w:t>55 Hudson Yards</w:t>
            </w:r>
          </w:p>
        </w:tc>
      </w:tr>
      <w:tr>
        <w:trPr>
          <w:trHeight w:val="160"/>
        </w:trPr>
        <w:tc>
          <w:tcPr>
            <w:tcW w:w="2960" w:type="dxa"/>
            <w:vAlign w:val="bottom"/>
          </w:tcPr>
          <w:p>
            <w:pPr>
              <w:jc w:val="center"/>
              <w:ind w:right="909"/>
              <w:spacing w:after="0"/>
              <w:rPr>
                <w:sz w:val="20"/>
                <w:szCs w:val="20"/>
                <w:color w:val="auto"/>
              </w:rPr>
            </w:pPr>
            <w:r>
              <w:rPr>
                <w:rFonts w:ascii="Arial" w:cs="Arial" w:eastAsia="Arial" w:hAnsi="Arial"/>
                <w:sz w:val="14"/>
                <w:szCs w:val="14"/>
                <w:b w:val="1"/>
                <w:bCs w:val="1"/>
                <w:color w:val="auto"/>
              </w:rPr>
              <w:t>(617) 570-1000</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(617) 231-0700</w:t>
            </w:r>
          </w:p>
        </w:tc>
        <w:tc>
          <w:tcPr>
            <w:tcW w:w="2680" w:type="dxa"/>
            <w:vAlign w:val="bottom"/>
          </w:tcPr>
          <w:p>
            <w:pPr>
              <w:jc w:val="center"/>
              <w:ind w:left="909"/>
              <w:spacing w:after="0"/>
              <w:rPr>
                <w:sz w:val="20"/>
                <w:szCs w:val="20"/>
                <w:color w:val="auto"/>
              </w:rPr>
            </w:pPr>
            <w:r>
              <w:rPr>
                <w:rFonts w:ascii="Arial" w:cs="Arial" w:eastAsia="Arial" w:hAnsi="Arial"/>
                <w:sz w:val="14"/>
                <w:szCs w:val="14"/>
                <w:b w:val="1"/>
                <w:bCs w:val="1"/>
                <w:color w:val="auto"/>
              </w:rPr>
              <w:t>New York, NY 10001-2157</w:t>
            </w:r>
          </w:p>
        </w:tc>
      </w:tr>
      <w:tr>
        <w:trPr>
          <w:trHeight w:val="201"/>
        </w:trPr>
        <w:tc>
          <w:tcPr>
            <w:tcW w:w="29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80" w:type="dxa"/>
            <w:vAlign w:val="bottom"/>
          </w:tcPr>
          <w:p>
            <w:pPr>
              <w:jc w:val="center"/>
              <w:ind w:left="909"/>
              <w:spacing w:after="0"/>
              <w:rPr>
                <w:sz w:val="20"/>
                <w:szCs w:val="20"/>
                <w:color w:val="auto"/>
              </w:rPr>
            </w:pPr>
            <w:r>
              <w:rPr>
                <w:rFonts w:ascii="Arial" w:cs="Arial" w:eastAsia="Arial" w:hAnsi="Arial"/>
                <w:sz w:val="14"/>
                <w:szCs w:val="14"/>
                <w:b w:val="1"/>
                <w:bCs w:val="1"/>
                <w:color w:val="auto"/>
              </w:rPr>
              <w:t>(212) 479-6000</w:t>
            </w:r>
          </w:p>
        </w:tc>
      </w:tr>
    </w:tbl>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55"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23" w:lineRule="exact"/>
        <w:rPr>
          <w:sz w:val="24"/>
          <w:szCs w:val="24"/>
          <w:color w:val="auto"/>
        </w:rPr>
      </w:pPr>
    </w:p>
    <w:p>
      <w:pPr>
        <w:ind w:right="460"/>
        <w:spacing w:after="0" w:line="183"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3" w:lineRule="exact"/>
        <w:rPr>
          <w:sz w:val="24"/>
          <w:szCs w:val="24"/>
          <w:color w:val="auto"/>
        </w:rPr>
      </w:pPr>
    </w:p>
    <w:p>
      <w:pPr>
        <w:ind w:right="80"/>
        <w:spacing w:after="0" w:line="183"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3" w:lineRule="exact"/>
        <w:rPr>
          <w:sz w:val="24"/>
          <w:szCs w:val="24"/>
          <w:color w:val="auto"/>
        </w:rPr>
      </w:pPr>
    </w:p>
    <w:p>
      <w:pPr>
        <w:ind w:right="60"/>
        <w:spacing w:after="0" w:line="183"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3" w:lineRule="exact"/>
        <w:rPr>
          <w:sz w:val="24"/>
          <w:szCs w:val="24"/>
          <w:color w:val="auto"/>
        </w:rPr>
      </w:pPr>
    </w:p>
    <w:p>
      <w:pPr>
        <w:ind w:right="400"/>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sectPr>
      </w:pPr>
    </w:p>
    <w:p>
      <w:pPr>
        <w:spacing w:after="0" w:line="20" w:lineRule="exact"/>
        <w:rPr>
          <w:sz w:val="24"/>
          <w:szCs w:val="24"/>
          <w:color w:val="auto"/>
        </w:rPr>
      </w:pPr>
    </w:p>
    <w:p>
      <w:pPr>
        <w:jc w:val="center"/>
        <w:ind w:left="2000"/>
        <w:spacing w:after="0"/>
        <w:rPr>
          <w:sz w:val="20"/>
          <w:szCs w:val="20"/>
          <w:color w:val="auto"/>
        </w:rPr>
      </w:pPr>
      <w:r>
        <w:rPr>
          <w:rFonts w:ascii="Arial" w:cs="Arial" w:eastAsia="Arial" w:hAnsi="Arial"/>
          <w:sz w:val="14"/>
          <w:szCs w:val="14"/>
          <w:color w:val="auto"/>
        </w:rPr>
        <w:t>Large Accelerated filer</w:t>
      </w:r>
    </w:p>
    <w:p>
      <w:pPr>
        <w:spacing w:after="0" w:line="31" w:lineRule="exact"/>
        <w:rPr>
          <w:sz w:val="24"/>
          <w:szCs w:val="24"/>
          <w:color w:val="auto"/>
        </w:rPr>
      </w:pPr>
    </w:p>
    <w:p>
      <w:pPr>
        <w:jc w:val="center"/>
        <w:ind w:left="20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ind w:left="40"/>
        <w:spacing w:after="0" w:line="122" w:lineRule="exact"/>
        <w:rPr>
          <w:sz w:val="20"/>
          <w:szCs w:val="20"/>
          <w:color w:val="auto"/>
        </w:rPr>
      </w:pPr>
      <w:r>
        <w:rPr>
          <w:rFonts w:ascii="MS PGothic" w:cs="MS PGothic" w:eastAsia="MS PGothic" w:hAnsi="MS PGothic"/>
          <w:sz w:val="14"/>
          <w:szCs w:val="14"/>
          <w:color w:val="auto"/>
        </w:rPr>
        <w:t>☐</w:t>
      </w:r>
    </w:p>
    <w:p>
      <w:pPr>
        <w:spacing w:after="0" w:line="6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ind w:left="340"/>
        <w:spacing w:after="0" w:line="14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2" w:lineRule="exact"/>
        <w:rPr>
          <w:sz w:val="24"/>
          <w:szCs w:val="24"/>
          <w:color w:val="auto"/>
        </w:rPr>
      </w:pPr>
    </w:p>
    <w:p>
      <w:pPr>
        <w:sectPr>
          <w:pgSz w:w="11900" w:h="16838" w:orient="portrait"/>
          <w:cols w:equalWidth="0" w:num="4">
            <w:col w:w="3420" w:space="40"/>
            <w:col w:w="3360" w:space="720"/>
            <w:col w:w="1700" w:space="80"/>
            <w:col w:w="1920"/>
          </w:cols>
          <w:pgMar w:left="320" w:top="227" w:right="339" w:bottom="1440" w:gutter="0" w:footer="0" w:header="0"/>
          <w:type w:val="continuous"/>
        </w:sectPr>
      </w:pPr>
    </w:p>
    <w:p>
      <w:pPr>
        <w:ind w:right="40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99695</wp:posOffset>
            </wp:positionV>
            <wp:extent cx="2275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5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454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jc w:val="center"/>
              <w:ind w:left="18"/>
              <w:spacing w:after="0" w:line="92" w:lineRule="exact"/>
              <w:rPr>
                <w:sz w:val="20"/>
                <w:szCs w:val="20"/>
                <w:color w:val="auto"/>
              </w:rPr>
            </w:pPr>
            <w:r>
              <w:rPr>
                <w:rFonts w:ascii="Arial" w:cs="Arial" w:eastAsia="Arial" w:hAnsi="Arial"/>
                <w:sz w:val="10"/>
                <w:szCs w:val="10"/>
                <w:b w:val="1"/>
                <w:bCs w:val="1"/>
                <w:color w:val="auto"/>
              </w:rPr>
              <w:t>PROPOSED MAXIMUM</w:t>
            </w:r>
          </w:p>
        </w:tc>
        <w:tc>
          <w:tcPr>
            <w:tcW w:w="1660" w:type="dxa"/>
            <w:vAlign w:val="bottom"/>
            <w:tcBorders>
              <w:right w:val="single" w:sz="8" w:color="auto"/>
            </w:tcBorders>
            <w:vMerge w:val="restart"/>
          </w:tcPr>
          <w:p>
            <w:pPr>
              <w:jc w:val="center"/>
              <w:ind w:left="15"/>
              <w:spacing w:after="0"/>
              <w:rPr>
                <w:sz w:val="20"/>
                <w:szCs w:val="20"/>
                <w:color w:val="auto"/>
              </w:rPr>
            </w:pPr>
            <w:r>
              <w:rPr>
                <w:rFonts w:ascii="Arial" w:cs="Arial" w:eastAsia="Arial" w:hAnsi="Arial"/>
                <w:sz w:val="12"/>
                <w:szCs w:val="12"/>
                <w:b w:val="1"/>
                <w:bCs w:val="1"/>
                <w:color w:val="auto"/>
              </w:rPr>
              <w:t>PROPOSED MAXIMUM</w:t>
            </w:r>
          </w:p>
        </w:tc>
        <w:tc>
          <w:tcPr>
            <w:tcW w:w="1660" w:type="dxa"/>
            <w:vAlign w:val="bottom"/>
            <w:vMerge w:val="restart"/>
          </w:tcPr>
          <w:p>
            <w:pPr>
              <w:jc w:val="center"/>
              <w:ind w:left="35"/>
              <w:spacing w:after="0"/>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34"/>
        </w:trPr>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TITLE OF EACH CLASS OF</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AMOUNT TO BE</w:t>
            </w:r>
          </w:p>
        </w:tc>
        <w:tc>
          <w:tcPr>
            <w:tcW w:w="1680" w:type="dxa"/>
            <w:vAlign w:val="bottom"/>
            <w:tcBorders>
              <w:right w:val="single" w:sz="8" w:color="auto"/>
            </w:tcBorders>
          </w:tcPr>
          <w:p>
            <w:pPr>
              <w:jc w:val="center"/>
              <w:ind w:left="18"/>
              <w:spacing w:after="0" w:line="134" w:lineRule="exact"/>
              <w:rPr>
                <w:sz w:val="20"/>
                <w:szCs w:val="20"/>
                <w:color w:val="auto"/>
              </w:rPr>
            </w:pPr>
            <w:r>
              <w:rPr>
                <w:rFonts w:ascii="Arial" w:cs="Arial" w:eastAsia="Arial" w:hAnsi="Arial"/>
                <w:sz w:val="12"/>
                <w:szCs w:val="12"/>
                <w:b w:val="1"/>
                <w:bCs w:val="1"/>
                <w:color w:val="auto"/>
              </w:rPr>
              <w:t>AGGREGATE</w:t>
            </w:r>
          </w:p>
        </w:tc>
        <w:tc>
          <w:tcPr>
            <w:tcW w:w="1660" w:type="dxa"/>
            <w:vAlign w:val="bottom"/>
            <w:tcBorders>
              <w:right w:val="single" w:sz="8" w:color="auto"/>
            </w:tcBorders>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54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tcPr>
          <w:p>
            <w:pPr>
              <w:jc w:val="center"/>
              <w:ind w:left="18"/>
              <w:spacing w:after="0" w:line="134" w:lineRule="exact"/>
              <w:rPr>
                <w:sz w:val="20"/>
                <w:szCs w:val="20"/>
                <w:color w:val="auto"/>
              </w:rPr>
            </w:pPr>
            <w:r>
              <w:rPr>
                <w:rFonts w:ascii="Arial" w:cs="Arial" w:eastAsia="Arial" w:hAnsi="Arial"/>
                <w:sz w:val="12"/>
                <w:szCs w:val="12"/>
                <w:b w:val="1"/>
                <w:bCs w:val="1"/>
                <w:color w:val="auto"/>
              </w:rPr>
              <w:t>OFFERING PRICE PER</w:t>
            </w:r>
          </w:p>
        </w:tc>
        <w:tc>
          <w:tcPr>
            <w:tcW w:w="16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AGGREGATE</w:t>
            </w:r>
          </w:p>
        </w:tc>
        <w:tc>
          <w:tcPr>
            <w:tcW w:w="1660" w:type="dxa"/>
            <w:vAlign w:val="bottom"/>
          </w:tcPr>
          <w:p>
            <w:pPr>
              <w:jc w:val="center"/>
              <w:ind w:left="35"/>
              <w:spacing w:after="0" w:line="134" w:lineRule="exact"/>
              <w:rPr>
                <w:sz w:val="20"/>
                <w:szCs w:val="20"/>
                <w:color w:val="auto"/>
              </w:rPr>
            </w:pPr>
            <w:r>
              <w:rPr>
                <w:rFonts w:ascii="Arial" w:cs="Arial" w:eastAsia="Arial" w:hAnsi="Arial"/>
                <w:sz w:val="12"/>
                <w:szCs w:val="12"/>
                <w:b w:val="1"/>
                <w:bCs w:val="1"/>
                <w:color w:val="auto"/>
              </w:rPr>
              <w:t>REGISTRATION</w:t>
            </w:r>
          </w:p>
        </w:tc>
        <w:tc>
          <w:tcPr>
            <w:tcW w:w="0" w:type="dxa"/>
            <w:vAlign w:val="bottom"/>
          </w:tcPr>
          <w:p>
            <w:pPr>
              <w:spacing w:after="0"/>
              <w:rPr>
                <w:sz w:val="1"/>
                <w:szCs w:val="1"/>
                <w:color w:val="auto"/>
              </w:rPr>
            </w:pPr>
          </w:p>
        </w:tc>
      </w:tr>
      <w:tr>
        <w:trPr>
          <w:trHeight w:val="156"/>
        </w:trPr>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SECURITIES TO BE REGISTERED</w:t>
            </w:r>
          </w:p>
        </w:tc>
        <w:tc>
          <w:tcPr>
            <w:tcW w:w="17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2"/>
                <w:szCs w:val="12"/>
                <w:b w:val="1"/>
                <w:bCs w:val="1"/>
                <w:color w:val="auto"/>
              </w:rPr>
              <w:t xml:space="preserve">REGISTERED </w:t>
            </w:r>
            <w:r>
              <w:rPr>
                <w:rFonts w:ascii="Arial" w:cs="Arial" w:eastAsia="Arial" w:hAnsi="Arial"/>
                <w:sz w:val="10"/>
                <w:szCs w:val="10"/>
                <w:b w:val="1"/>
                <w:bCs w:val="1"/>
                <w:color w:val="auto"/>
              </w:rPr>
              <w:t>(1)</w:t>
            </w:r>
          </w:p>
        </w:tc>
        <w:tc>
          <w:tcPr>
            <w:tcW w:w="1680" w:type="dxa"/>
            <w:vAlign w:val="bottom"/>
            <w:tcBorders>
              <w:bottom w:val="single" w:sz="8" w:color="auto"/>
              <w:right w:val="single" w:sz="8" w:color="auto"/>
            </w:tcBorders>
          </w:tcPr>
          <w:p>
            <w:pPr>
              <w:jc w:val="center"/>
              <w:ind w:left="18"/>
              <w:spacing w:after="0"/>
              <w:rPr>
                <w:sz w:val="20"/>
                <w:szCs w:val="20"/>
                <w:color w:val="auto"/>
              </w:rPr>
            </w:pPr>
            <w:r>
              <w:rPr>
                <w:rFonts w:ascii="Arial" w:cs="Arial" w:eastAsia="Arial" w:hAnsi="Arial"/>
                <w:sz w:val="12"/>
                <w:szCs w:val="12"/>
                <w:b w:val="1"/>
                <w:bCs w:val="1"/>
                <w:color w:val="auto"/>
              </w:rPr>
              <w:t xml:space="preserve">SHARE </w:t>
            </w:r>
            <w:r>
              <w:rPr>
                <w:rFonts w:ascii="Arial" w:cs="Arial" w:eastAsia="Arial" w:hAnsi="Arial"/>
                <w:sz w:val="10"/>
                <w:szCs w:val="10"/>
                <w:b w:val="1"/>
                <w:bCs w:val="1"/>
                <w:color w:val="auto"/>
              </w:rPr>
              <w:t>(2)</w:t>
            </w:r>
          </w:p>
        </w:tc>
        <w:tc>
          <w:tcPr>
            <w:tcW w:w="166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2"/>
                <w:szCs w:val="12"/>
                <w:b w:val="1"/>
                <w:bCs w:val="1"/>
                <w:color w:val="auto"/>
              </w:rPr>
              <w:t xml:space="preserve">OFFERING PRICE </w:t>
            </w:r>
            <w:r>
              <w:rPr>
                <w:rFonts w:ascii="Arial" w:cs="Arial" w:eastAsia="Arial" w:hAnsi="Arial"/>
                <w:sz w:val="10"/>
                <w:szCs w:val="10"/>
                <w:b w:val="1"/>
                <w:bCs w:val="1"/>
                <w:color w:val="auto"/>
              </w:rPr>
              <w:t>(2)</w:t>
            </w:r>
          </w:p>
        </w:tc>
        <w:tc>
          <w:tcPr>
            <w:tcW w:w="1660" w:type="dxa"/>
            <w:vAlign w:val="bottom"/>
            <w:tcBorders>
              <w:bottom w:val="single" w:sz="8" w:color="auto"/>
            </w:tcBorders>
          </w:tcPr>
          <w:p>
            <w:pPr>
              <w:jc w:val="center"/>
              <w:ind w:left="35"/>
              <w:spacing w:after="0"/>
              <w:rPr>
                <w:sz w:val="20"/>
                <w:szCs w:val="20"/>
                <w:color w:val="auto"/>
              </w:rPr>
            </w:pPr>
            <w:r>
              <w:rPr>
                <w:rFonts w:ascii="Arial" w:cs="Arial" w:eastAsia="Arial" w:hAnsi="Arial"/>
                <w:sz w:val="12"/>
                <w:szCs w:val="12"/>
                <w:b w:val="1"/>
                <w:bCs w:val="1"/>
                <w:color w:val="auto"/>
              </w:rPr>
              <w:t xml:space="preserve">FEE </w:t>
            </w:r>
            <w:r>
              <w:rPr>
                <w:rFonts w:ascii="Arial" w:cs="Arial" w:eastAsia="Arial" w:hAnsi="Arial"/>
                <w:sz w:val="10"/>
                <w:szCs w:val="10"/>
                <w:b w:val="1"/>
                <w:bCs w:val="1"/>
                <w:color w:val="auto"/>
              </w:rPr>
              <w:t>(3)(4)</w:t>
            </w:r>
          </w:p>
        </w:tc>
        <w:tc>
          <w:tcPr>
            <w:tcW w:w="0" w:type="dxa"/>
            <w:vAlign w:val="bottom"/>
          </w:tcPr>
          <w:p>
            <w:pPr>
              <w:spacing w:after="0"/>
              <w:rPr>
                <w:sz w:val="1"/>
                <w:szCs w:val="1"/>
                <w:color w:val="auto"/>
              </w:rPr>
            </w:pPr>
          </w:p>
        </w:tc>
      </w:tr>
      <w:tr>
        <w:trPr>
          <w:trHeight w:val="154"/>
        </w:trPr>
        <w:tc>
          <w:tcPr>
            <w:tcW w:w="45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4"/>
                <w:szCs w:val="14"/>
                <w:color w:val="auto"/>
              </w:rPr>
              <w:t>Common stock, $0.0001 par value per share</w:t>
            </w:r>
          </w:p>
        </w:tc>
        <w:tc>
          <w:tcPr>
            <w:tcW w:w="17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10,147,600</w:t>
            </w:r>
          </w:p>
        </w:tc>
        <w:tc>
          <w:tcPr>
            <w:tcW w:w="1680" w:type="dxa"/>
            <w:vAlign w:val="bottom"/>
            <w:tcBorders>
              <w:bottom w:val="single" w:sz="8" w:color="auto"/>
              <w:right w:val="single" w:sz="8" w:color="auto"/>
            </w:tcBorders>
          </w:tcPr>
          <w:p>
            <w:pPr>
              <w:jc w:val="center"/>
              <w:ind w:left="18"/>
              <w:spacing w:after="0" w:line="154" w:lineRule="exact"/>
              <w:rPr>
                <w:sz w:val="20"/>
                <w:szCs w:val="20"/>
                <w:color w:val="auto"/>
              </w:rPr>
            </w:pPr>
            <w:r>
              <w:rPr>
                <w:rFonts w:ascii="Arial" w:cs="Arial" w:eastAsia="Arial" w:hAnsi="Arial"/>
                <w:sz w:val="14"/>
                <w:szCs w:val="14"/>
                <w:color w:val="auto"/>
              </w:rPr>
              <w:t>$18.00</w:t>
            </w:r>
          </w:p>
        </w:tc>
        <w:tc>
          <w:tcPr>
            <w:tcW w:w="1660" w:type="dxa"/>
            <w:vAlign w:val="bottom"/>
            <w:tcBorders>
              <w:bottom w:val="single" w:sz="8" w:color="auto"/>
              <w:right w:val="single" w:sz="8" w:color="auto"/>
            </w:tcBorders>
          </w:tcPr>
          <w:p>
            <w:pPr>
              <w:jc w:val="center"/>
              <w:ind w:left="15"/>
              <w:spacing w:after="0" w:line="154" w:lineRule="exact"/>
              <w:rPr>
                <w:sz w:val="20"/>
                <w:szCs w:val="20"/>
                <w:color w:val="auto"/>
              </w:rPr>
            </w:pPr>
            <w:r>
              <w:rPr>
                <w:rFonts w:ascii="Arial" w:cs="Arial" w:eastAsia="Arial" w:hAnsi="Arial"/>
                <w:sz w:val="14"/>
                <w:szCs w:val="14"/>
                <w:color w:val="auto"/>
              </w:rPr>
              <w:t>$182,656,800.00</w:t>
            </w:r>
          </w:p>
        </w:tc>
        <w:tc>
          <w:tcPr>
            <w:tcW w:w="1660" w:type="dxa"/>
            <w:vAlign w:val="bottom"/>
            <w:tcBorders>
              <w:bottom w:val="single" w:sz="8" w:color="auto"/>
            </w:tcBorders>
          </w:tcPr>
          <w:p>
            <w:pPr>
              <w:jc w:val="center"/>
              <w:ind w:left="35"/>
              <w:spacing w:after="0" w:line="154" w:lineRule="exact"/>
              <w:rPr>
                <w:sz w:val="20"/>
                <w:szCs w:val="20"/>
                <w:color w:val="auto"/>
              </w:rPr>
            </w:pPr>
            <w:r>
              <w:rPr>
                <w:rFonts w:ascii="Arial" w:cs="Arial" w:eastAsia="Arial" w:hAnsi="Arial"/>
                <w:sz w:val="14"/>
                <w:szCs w:val="14"/>
                <w:color w:val="auto"/>
              </w:rPr>
              <w:t>$23,708.85</w:t>
            </w:r>
          </w:p>
        </w:tc>
        <w:tc>
          <w:tcPr>
            <w:tcW w:w="0" w:type="dxa"/>
            <w:vAlign w:val="bottom"/>
          </w:tcPr>
          <w:p>
            <w:pPr>
              <w:spacing w:after="0"/>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273"/>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1,323,600 shares that the underwriters have the option to purchase to cover over-allotments, if any.</w:t>
      </w:r>
    </w:p>
    <w:p>
      <w:pPr>
        <w:spacing w:after="0" w:line="17" w:lineRule="exact"/>
        <w:rPr>
          <w:rFonts w:ascii="Arial" w:cs="Arial" w:eastAsia="Arial" w:hAnsi="Arial"/>
          <w:sz w:val="14"/>
          <w:szCs w:val="14"/>
          <w:color w:val="auto"/>
        </w:rPr>
      </w:pPr>
    </w:p>
    <w:p>
      <w:pPr>
        <w:ind w:left="440" w:hanging="273"/>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registration fee in accordance with Rule 457(o) under the Securities Act of 1933, as amended.</w:t>
      </w:r>
    </w:p>
    <w:p>
      <w:pPr>
        <w:ind w:left="440" w:hanging="273"/>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shares that the underwriters have the option to purchase to cover over-allotments, if any.</w:t>
      </w:r>
    </w:p>
    <w:p>
      <w:pPr>
        <w:ind w:left="440" w:right="220" w:hanging="273"/>
        <w:spacing w:after="0" w:line="260" w:lineRule="auto"/>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457(a) under the Securities Act of 1933 as amended. $12,980.00 of this registration fee was previously paid by the Registrant in connection with the filing of its Registration Statement on Form S-1 on September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89535</wp:posOffset>
            </wp:positionV>
            <wp:extent cx="2275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173" w:lineRule="exact"/>
        <w:rPr>
          <w:sz w:val="24"/>
          <w:szCs w:val="24"/>
          <w:color w:val="auto"/>
        </w:rPr>
      </w:pPr>
    </w:p>
    <w:p>
      <w:pPr>
        <w:ind w:right="180"/>
        <w:spacing w:after="0" w:line="25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files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C21128"/>
        </w:rPr>
        <w:t>The information in this preliminary prospectus is not complete and may be changed. We may not sell these securities until the Securities and Exchange Commission declares our registration statement effective. This preliminary prospectus is not an offer to sell these securities and is not soliciting an offer to buy these securities in any state where the offer or sale is not permitted.</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C21128"/>
        </w:rPr>
        <w:t>SUBJECT TO COMPLETION, DATED SEPTEMBER 28,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8,824,000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181610</wp:posOffset>
            </wp:positionV>
            <wp:extent cx="4161155" cy="848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6115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36" w:lineRule="exact"/>
        <w:rPr>
          <w:sz w:val="20"/>
          <w:szCs w:val="20"/>
          <w:color w:val="auto"/>
        </w:rPr>
      </w:pPr>
    </w:p>
    <w:p>
      <w:pPr>
        <w:jc w:val="both"/>
        <w:ind w:right="120"/>
        <w:spacing w:after="0" w:line="251" w:lineRule="auto"/>
        <w:rPr>
          <w:sz w:val="20"/>
          <w:szCs w:val="20"/>
          <w:color w:val="auto"/>
        </w:rPr>
      </w:pPr>
      <w:r>
        <w:rPr>
          <w:rFonts w:ascii="Arial" w:cs="Arial" w:eastAsia="Arial" w:hAnsi="Arial"/>
          <w:sz w:val="18"/>
          <w:szCs w:val="18"/>
          <w:color w:val="auto"/>
        </w:rPr>
        <w:t>We are offering 8,824,000 shares of common stock. This is the initial public offering of our common stock, and prior to this offering, there has been no public market for our common stock. We expect that the initial public offering price will be between $16.00 and $18.00 per share. We expect to list our common stock on The Nasdaq Global Market under the symbol “CCCC.”</w:t>
      </w:r>
    </w:p>
    <w:p>
      <w:pPr>
        <w:spacing w:after="0" w:line="166"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We are an “emerging growth company” and a “smaller reporting company” as defined under the federal securities laws and, as such, we have elected to comply with certain reduced public company reporting requirements for this prospectus and may elect to do so for future filings.</w:t>
      </w:r>
    </w:p>
    <w:p>
      <w:pPr>
        <w:spacing w:after="0" w:line="125" w:lineRule="exact"/>
        <w:rPr>
          <w:sz w:val="20"/>
          <w:szCs w:val="20"/>
          <w:color w:val="auto"/>
        </w:rPr>
      </w:pPr>
    </w:p>
    <w:p>
      <w:pPr>
        <w:ind w:right="200"/>
        <w:spacing w:after="0" w:line="314"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Before buying any shares, you should read carefully the discussion of the material risks of investing in our common stock under the heading “</w:t>
      </w:r>
      <w:hyperlink w:anchor="page16">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starting on page 12 of this prospectus.</w:t>
      </w:r>
    </w:p>
    <w:p>
      <w:pPr>
        <w:spacing w:after="0" w:line="10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that may be offered under this prospectus, nor have any of these organizations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9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4"/>
        </w:trPr>
        <w:tc>
          <w:tcPr>
            <w:tcW w:w="20" w:type="dxa"/>
            <w:vAlign w:val="bottom"/>
          </w:tcPr>
          <w:p>
            <w:pPr>
              <w:spacing w:after="0"/>
              <w:rPr>
                <w:sz w:val="16"/>
                <w:szCs w:val="16"/>
                <w:color w:val="auto"/>
              </w:rPr>
            </w:pPr>
          </w:p>
        </w:tc>
        <w:tc>
          <w:tcPr>
            <w:tcW w:w="5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Initial public offering price</w:t>
            </w:r>
          </w:p>
        </w:tc>
        <w:tc>
          <w:tcPr>
            <w:tcW w:w="15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651"/>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600"/>
              <w:spacing w:after="0" w:line="194"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2400" w:type="dxa"/>
            <w:vAlign w:val="bottom"/>
            <w:gridSpan w:val="2"/>
          </w:tcPr>
          <w:p>
            <w:pPr>
              <w:jc w:val="right"/>
              <w:ind w:right="651"/>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before expenses, to C4 Therapeutics, Inc.</w:t>
            </w:r>
          </w:p>
        </w:tc>
        <w:tc>
          <w:tcPr>
            <w:tcW w:w="2400" w:type="dxa"/>
            <w:vAlign w:val="bottom"/>
            <w:gridSpan w:val="2"/>
            <w:shd w:val="clear" w:color="auto" w:fill="CCEEFF"/>
          </w:tcPr>
          <w:p>
            <w:pPr>
              <w:jc w:val="right"/>
              <w:ind w:right="651"/>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  See “Underwriting” beginning on page 171 of this prospectus for additional information regarding underwriting compensation.</w:t>
      </w:r>
    </w:p>
    <w:p>
      <w:pPr>
        <w:spacing w:after="0" w:line="204"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Delivery of the shares of common stock is expected to be made on or about</w:t>
      </w:r>
      <w:r>
        <w:rPr>
          <w:sz w:val="20"/>
          <w:szCs w:val="20"/>
          <w:color w:val="auto"/>
        </w:rPr>
        <w:tab/>
      </w:r>
      <w:r>
        <w:rPr>
          <w:rFonts w:ascii="Arial" w:cs="Arial" w:eastAsia="Arial" w:hAnsi="Arial"/>
          <w:sz w:val="17"/>
          <w:szCs w:val="17"/>
          <w:color w:val="auto"/>
        </w:rPr>
        <w:t>, 2020. We have granted the underwriters an option for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 of 30 days to purchase an additional 1,323,600 shares of our common stock. If the underwriters exercise the option in full, the total</w:t>
      </w:r>
    </w:p>
    <w:p>
      <w:pPr>
        <w:spacing w:after="0"/>
        <w:tabs>
          <w:tab w:leader="none" w:pos="5820" w:val="left"/>
          <w:tab w:leader="none" w:pos="11080" w:val="left"/>
        </w:tabs>
        <w:rPr>
          <w:sz w:val="20"/>
          <w:szCs w:val="20"/>
          <w:color w:val="auto"/>
        </w:rPr>
      </w:pPr>
      <w:r>
        <w:rPr>
          <w:rFonts w:ascii="Arial" w:cs="Arial" w:eastAsia="Arial" w:hAnsi="Arial"/>
          <w:sz w:val="18"/>
          <w:szCs w:val="18"/>
          <w:color w:val="auto"/>
        </w:rPr>
        <w:t>underwriting discounts and commissions payable by us will be $</w:t>
      </w:r>
      <w:r>
        <w:rPr>
          <w:sz w:val="20"/>
          <w:szCs w:val="20"/>
          <w:color w:val="auto"/>
        </w:rPr>
        <w:tab/>
      </w:r>
      <w:r>
        <w:rPr>
          <w:rFonts w:ascii="Arial" w:cs="Arial" w:eastAsia="Arial" w:hAnsi="Arial"/>
          <w:sz w:val="18"/>
          <w:szCs w:val="18"/>
          <w:color w:val="auto"/>
        </w:rPr>
        <w:t>, 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240"/>
          </w:cols>
          <w:pgMar w:left="320" w:top="454" w:right="3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Evercore ISI</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BMO Capital Markets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UBS Investment Bank</w:t>
      </w:r>
    </w:p>
    <w:p>
      <w:pPr>
        <w:spacing w:after="0" w:line="200" w:lineRule="exact"/>
        <w:rPr>
          <w:sz w:val="20"/>
          <w:szCs w:val="20"/>
          <w:color w:val="auto"/>
        </w:rPr>
      </w:pPr>
    </w:p>
    <w:p>
      <w:pPr>
        <w:sectPr>
          <w:pgSz w:w="11900" w:h="16838" w:orient="portrait"/>
          <w:cols w:equalWidth="0" w:num="4">
            <w:col w:w="1180" w:space="580"/>
            <w:col w:w="1700" w:space="720"/>
            <w:col w:w="3380" w:space="720"/>
            <w:col w:w="2960"/>
          </w:cols>
          <w:pgMar w:left="320" w:top="454" w:right="3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2020</w:t>
      </w:r>
    </w:p>
    <w:p>
      <w:pPr>
        <w:sectPr>
          <w:pgSz w:w="11900" w:h="16838" w:orient="portrait"/>
          <w:cols w:equalWidth="0" w:num="2">
            <w:col w:w="5780" w:space="720"/>
            <w:col w:w="4740"/>
          </w:cols>
          <w:pgMar w:left="320" w:top="454"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249555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780" w:type="dxa"/>
            <w:vAlign w:val="bottom"/>
            <w:vMerge w:val="restart"/>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23"/>
        </w:trPr>
        <w:tc>
          <w:tcPr>
            <w:tcW w:w="10780" w:type="dxa"/>
            <w:vAlign w:val="bottom"/>
            <w:vMerge w:val="continue"/>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10780" w:type="dxa"/>
            <w:vAlign w:val="bottom"/>
          </w:tcPr>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SPECIAL NOTE REGARDING 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MARKET, INDUSTRY AND OTHER DATA</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DIVIDEND POLICY</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CAPITALIZATION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DILUTION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SELECTED CONSOLIDATED FINANCIAL DATA</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MANAGEMENT’S DISCUSSION AND ANALYSIS OF FINANCIAL CONDITION AND RESULTS OF OPERATION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95">
              <w:r>
                <w:rPr>
                  <w:rFonts w:ascii="Arial" w:cs="Arial" w:eastAsia="Arial" w:hAnsi="Arial"/>
                  <w:sz w:val="17"/>
                  <w:szCs w:val="17"/>
                  <w:u w:val="single" w:color="auto"/>
                  <w:color w:val="0000EE"/>
                </w:rPr>
                <w:t>BUSINESS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MANAGEMENT</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EXECUTIVE COMPENSATION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56">
              <w:r>
                <w:rPr>
                  <w:rFonts w:ascii="Arial" w:cs="Arial" w:eastAsia="Arial" w:hAnsi="Arial"/>
                  <w:sz w:val="17"/>
                  <w:szCs w:val="17"/>
                  <w:u w:val="single" w:color="auto"/>
                  <w:color w:val="0000EE"/>
                </w:rPr>
                <w:t>NON-EMPLOYEE DIRECTOR COMPENSATION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58">
              <w:r>
                <w:rPr>
                  <w:rFonts w:ascii="Arial" w:cs="Arial" w:eastAsia="Arial" w:hAnsi="Arial"/>
                  <w:sz w:val="17"/>
                  <w:szCs w:val="17"/>
                  <w:u w:val="single" w:color="auto"/>
                  <w:color w:val="0000EE"/>
                </w:rPr>
                <w:t>CERTAIN RELATIONSHIPS AND RELATED PERSON TRANSACTIONS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PRINCIPAL STOCKHOLDERS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DESCRIPTION OF CAPITAL STOCK</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69">
              <w:r>
                <w:rPr>
                  <w:rFonts w:ascii="Arial" w:cs="Arial" w:eastAsia="Arial" w:hAnsi="Arial"/>
                  <w:sz w:val="17"/>
                  <w:szCs w:val="17"/>
                  <w:u w:val="single" w:color="auto"/>
                  <w:color w:val="0000EE"/>
                </w:rPr>
                <w:t>SHARES ELIGIBLE FOR FUTURE SALE</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71">
              <w:r>
                <w:rPr>
                  <w:rFonts w:ascii="Arial" w:cs="Arial" w:eastAsia="Arial" w:hAnsi="Arial"/>
                  <w:sz w:val="17"/>
                  <w:szCs w:val="17"/>
                  <w:u w:val="single" w:color="auto"/>
                  <w:color w:val="0000EE"/>
                </w:rPr>
                <w:t>MATERIAL U.S. FEDERAL INCOME TAX CONSIDERATIONS FOR NON-U.S. HOLDERS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UNDERWRITING</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EXPERTS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WHERE YOU CAN FIND MORE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401"/>
        </w:trPr>
        <w:tc>
          <w:tcPr>
            <w:tcW w:w="10780" w:type="dxa"/>
            <w:vAlign w:val="bottom"/>
          </w:tcPr>
          <w:p>
            <w:pPr>
              <w:spacing w:after="0"/>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INDEX TO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26"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Neither we nor the underwriters have authorized anyone to provide you with information different from, or in addition to, that contained in this prospectus, any amendment or supplement to this prospectus and any related free writing prospectus prepared by or on behalf of us or to which we have referred you. We and the underwriters take no responsibility for, and can provide no assurances as to the reliability of, any information that others may give you. This prospectus is not an offer to sell, nor is it seeking an offer to buy, these securities in any jurisdiction where the</w:t>
      </w:r>
    </w:p>
    <w:p>
      <w:pPr>
        <w:sectPr>
          <w:pgSz w:w="11900" w:h="16838" w:orient="portrait"/>
          <w:cols w:equalWidth="0" w:num="1">
            <w:col w:w="11180"/>
          </w:cols>
          <w:pgMar w:left="320" w:top="454" w:right="3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offer or sale is not permitted. The information contained in this prospectus or in any free writing prospectus is only accurate as of its date, regardless of its time of delivery or the time of any sale of our common stock. Our business, financial condition, results of operations and future growth prospects may have changed since that date. 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2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own or have rights to various trademarks, service marks and trade names that we use in connection with the operation of our business, including our company name, C4 Therapeutics, Inc., our logo, the name of our TORPEDO</w:t>
      </w:r>
      <w:r>
        <w:rPr>
          <w:rFonts w:ascii="Arial" w:cs="Arial" w:eastAsia="Arial" w:hAnsi="Arial"/>
          <w:sz w:val="14"/>
          <w:szCs w:val="14"/>
          <w:color w:val="auto"/>
        </w:rPr>
        <w:t>™</w:t>
      </w:r>
      <w:r>
        <w:rPr>
          <w:rFonts w:ascii="Arial" w:cs="Arial" w:eastAsia="Arial" w:hAnsi="Arial"/>
          <w:sz w:val="17"/>
          <w:szCs w:val="17"/>
          <w:color w:val="auto"/>
        </w:rPr>
        <w:t xml:space="preserve"> technology platform and the names of our BIDAC</w:t>
      </w:r>
      <w:r>
        <w:rPr>
          <w:rFonts w:ascii="Arial" w:cs="Arial" w:eastAsia="Arial" w:hAnsi="Arial"/>
          <w:sz w:val="14"/>
          <w:szCs w:val="14"/>
          <w:color w:val="auto"/>
        </w:rPr>
        <w:t>™</w:t>
      </w:r>
      <w:r>
        <w:rPr>
          <w:rFonts w:ascii="Arial" w:cs="Arial" w:eastAsia="Arial" w:hAnsi="Arial"/>
          <w:sz w:val="17"/>
          <w:szCs w:val="17"/>
          <w:color w:val="auto"/>
        </w:rPr>
        <w:t xml:space="preserve"> and MONODAC</w:t>
      </w:r>
      <w:r>
        <w:rPr>
          <w:rFonts w:ascii="Arial" w:cs="Arial" w:eastAsia="Arial" w:hAnsi="Arial"/>
          <w:sz w:val="14"/>
          <w:szCs w:val="14"/>
          <w:color w:val="auto"/>
        </w:rPr>
        <w:t>™</w:t>
      </w:r>
      <w:r>
        <w:rPr>
          <w:rFonts w:ascii="Arial" w:cs="Arial" w:eastAsia="Arial" w:hAnsi="Arial"/>
          <w:sz w:val="17"/>
          <w:szCs w:val="17"/>
          <w:color w:val="auto"/>
        </w:rPr>
        <w:t xml:space="preserve"> protein degrader product candidates.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TM</w:t>
      </w:r>
      <w:r>
        <w:rPr>
          <w:rFonts w:ascii="Arial" w:cs="Arial" w:eastAsia="Arial" w:hAnsi="Arial"/>
          <w:sz w:val="17"/>
          <w:szCs w:val="17"/>
          <w:color w:val="auto"/>
        </w:rPr>
        <w:t xml:space="preserve"> or </w:t>
      </w:r>
      <w:r>
        <w:rPr>
          <w:rFonts w:ascii="Arial" w:cs="Arial" w:eastAsia="Arial" w:hAnsi="Arial"/>
          <w:sz w:val="14"/>
          <w:szCs w:val="14"/>
          <w:color w:val="auto"/>
        </w:rPr>
        <w:t>SM</w:t>
      </w:r>
      <w:r>
        <w:rPr>
          <w:rFonts w:ascii="Arial" w:cs="Arial" w:eastAsia="Arial" w:hAnsi="Arial"/>
          <w:sz w:val="17"/>
          <w:szCs w:val="17"/>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187960</wp:posOffset>
            </wp:positionV>
            <wp:extent cx="22758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Until and including , 2020 (25 days after the date of this prospectus), all dealers that buy, sell or trade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ectPr>
          <w:pgSz w:w="11900" w:h="16838" w:orient="portrait"/>
          <w:cols w:equalWidth="0" w:num="1">
            <w:col w:w="11180"/>
          </w:cols>
          <w:pgMar w:left="320" w:top="454" w:right="3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34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534606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313"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information set forth under the sections titled “Risk Factors,” “Special Note Regarding Forward-Looking Statements” and “Management’s Discussion and Analysis of Financial Condition and Results of Operations,” in each case appearing elsewhere in this prospectus. Unless the context otherwise requires, we use the terms “C4 Therapeutics,” the “Company,” “we,” “us,” “our” and similar designations in this prospectus to refer to C4 Therapeutics, Inc. and, where indicated, its wholly owned subsidiary.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71" w:lineRule="exact"/>
        <w:rPr>
          <w:sz w:val="20"/>
          <w:szCs w:val="20"/>
          <w:color w:val="auto"/>
        </w:rPr>
      </w:pPr>
    </w:p>
    <w:p>
      <w:pPr>
        <w:ind w:left="200" w:right="20"/>
        <w:spacing w:after="0" w:line="232" w:lineRule="auto"/>
        <w:rPr>
          <w:sz w:val="20"/>
          <w:szCs w:val="20"/>
          <w:color w:val="auto"/>
        </w:rPr>
      </w:pPr>
      <w:r>
        <w:rPr>
          <w:rFonts w:ascii="Arial" w:cs="Arial" w:eastAsia="Arial" w:hAnsi="Arial"/>
          <w:sz w:val="17"/>
          <w:szCs w:val="17"/>
          <w:color w:val="auto"/>
        </w:rPr>
        <w:t>We are a biopharmaceutical company focused on harnessing the body’s natural regulation of protein levels to develop novel therapeutic candidates to target and destroy disease-causing proteins for the treatment of cancer, neurodegenerative conditions and other diseases. We leverage our proprietary technology platform, TORPEDO (</w:t>
      </w:r>
      <w:r>
        <w:rPr>
          <w:rFonts w:ascii="Arial" w:cs="Arial" w:eastAsia="Arial" w:hAnsi="Arial"/>
          <w:sz w:val="17"/>
          <w:szCs w:val="17"/>
          <w:u w:val="single" w:color="auto"/>
          <w:color w:val="auto"/>
        </w:rPr>
        <w:t>T</w:t>
      </w:r>
      <w:r>
        <w:rPr>
          <w:rFonts w:ascii="Arial" w:cs="Arial" w:eastAsia="Arial" w:hAnsi="Arial"/>
          <w:sz w:val="17"/>
          <w:szCs w:val="17"/>
          <w:color w:val="auto"/>
        </w:rPr>
        <w:t xml:space="preserve">arget </w:t>
      </w:r>
      <w:r>
        <w:rPr>
          <w:rFonts w:ascii="Arial" w:cs="Arial" w:eastAsia="Arial" w:hAnsi="Arial"/>
          <w:sz w:val="17"/>
          <w:szCs w:val="17"/>
          <w:u w:val="single" w:color="auto"/>
          <w:color w:val="auto"/>
        </w:rPr>
        <w:t>OR</w:t>
      </w:r>
      <w:r>
        <w:rPr>
          <w:rFonts w:ascii="Arial" w:cs="Arial" w:eastAsia="Arial" w:hAnsi="Arial"/>
          <w:sz w:val="17"/>
          <w:szCs w:val="17"/>
          <w:color w:val="auto"/>
        </w:rPr>
        <w:t xml:space="preserve">iented </w:t>
      </w:r>
      <w:r>
        <w:rPr>
          <w:rFonts w:ascii="Arial" w:cs="Arial" w:eastAsia="Arial" w:hAnsi="Arial"/>
          <w:sz w:val="17"/>
          <w:szCs w:val="17"/>
          <w:u w:val="single" w:color="auto"/>
          <w:color w:val="auto"/>
        </w:rPr>
        <w:t>P</w:t>
      </w:r>
      <w:r>
        <w:rPr>
          <w:rFonts w:ascii="Arial" w:cs="Arial" w:eastAsia="Arial" w:hAnsi="Arial"/>
          <w:sz w:val="17"/>
          <w:szCs w:val="17"/>
          <w:color w:val="auto"/>
        </w:rPr>
        <w:t>rot</w:t>
      </w:r>
      <w:r>
        <w:rPr>
          <w:rFonts w:ascii="Arial" w:cs="Arial" w:eastAsia="Arial" w:hAnsi="Arial"/>
          <w:sz w:val="17"/>
          <w:szCs w:val="17"/>
          <w:u w:val="single" w:color="auto"/>
          <w:color w:val="auto"/>
        </w:rPr>
        <w:t>E</w:t>
      </w:r>
      <w:r>
        <w:rPr>
          <w:rFonts w:ascii="Arial" w:cs="Arial" w:eastAsia="Arial" w:hAnsi="Arial"/>
          <w:sz w:val="17"/>
          <w:szCs w:val="17"/>
          <w:color w:val="auto"/>
        </w:rPr>
        <w:t xml:space="preserve">in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egrader </w:t>
      </w:r>
      <w:r>
        <w:rPr>
          <w:rFonts w:ascii="Arial" w:cs="Arial" w:eastAsia="Arial" w:hAnsi="Arial"/>
          <w:sz w:val="17"/>
          <w:szCs w:val="17"/>
          <w:u w:val="single" w:color="auto"/>
          <w:color w:val="auto"/>
        </w:rPr>
        <w:t>O</w:t>
      </w:r>
      <w:r>
        <w:rPr>
          <w:rFonts w:ascii="Arial" w:cs="Arial" w:eastAsia="Arial" w:hAnsi="Arial"/>
          <w:sz w:val="17"/>
          <w:szCs w:val="17"/>
          <w:color w:val="auto"/>
        </w:rPr>
        <w:t>ptimizer), to synthesize a new class of small molecule protein degraders that are designed to selectively and efficiently destroy disease-causing proteins, including targets previously considered to be undruggable. Our degraders are designed with a focus on catalytic degradation to optimize targeted protein degradation and an ability to use multiple routes of administration, which we believe offer many potential advantages over existing therapeutic modalities, including improved potency, faster response, higher selectivity and avoidance of known toxicities. We are using our TORPEDO platform to build a robust pipeline of oral protein degradation drug candidates, with our lead product candidates focused on oncology indications. One of our lead product candidates, CFT7455, is an orally bioavailable degrader targeting IKZF1/3 for multiple myeloma, or MM, peripheral T-cell lymphoma, or PTCL, and mantle cell lymphoma, or MCL. We expect to submit an investigational new drug application, or IND, for this product candidate to the U.S. Food and Drug Administration, or the FDA, in the fourth quarter of 2020 and begin a first-in-human Phase 1/2 clinical trial for this product in the first half of 2021. We believe CFT7455 could eventually replace therapies based in the class of molecules known as IMiDs as the standard of care in multiple indications, including MM. IMiD therapies have been estimated to represent worldwide sales of approximately $15 billion in 2020 for a number of indications, including MM as well as MCL, marginal zone lymphoma, and follicular lymphoma. We are also developing CFT8634, an orally bioavailable degrader of a protein target called BRD9, for synovial sarcoma and SMARCB1-deleted solid tumors, and we expect to submit an IND for this product candidate to the FDA in the second half of 2021 and begin a first-in-human Phase 1/2 clinical trial for this product candidate by the end of 2021.</w:t>
      </w:r>
    </w:p>
    <w:p>
      <w:pPr>
        <w:spacing w:after="0" w:line="185"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 xml:space="preserve">We use our TORPEDO platform to synthesize a new class of targeted small molecule protein degraders, which employ a natural protein disposal system, specifically the E3 ligases of the ubiquitin-proteasome system, to catalyze the destruction of target proteins. The E3 ligases targeted by our degraders are a family of proteins that identify and tag proteins for degradation. Our approach is designed to optimize overall catalytic efficiency—rather than specific steps in the catalytic cycle—so that our degraders destroy target proteins as quickly as possible. Our robust chemistry engine and proprietary analytic models of pharmacokinetics, or PK, and pharmacodynamics, or PD, enable us to efficiently design and synthesize degraders for a selected target that are optimized for overall catalytic efficiency and properties such as solubility, permeability and oral bioavailability. These PK/PD models allow us to robustly predict the depth and duration of target degradation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select candidate degraders with confidence. For example, our PK/PD models for CFT7455 accurately predicted the target level response as a function of time at a 1mg / kg oral dose, demonstrating the predictive capability of our TORPEDO platform. We have seen similar predictive effectiveness in a PK/PD model for CFT7503, which is the parent compound of our lead BRD9 compound, CFT8634. As a result of data such as these, we believe our approach maximizes our potential to create effective drugs across many targets. Another aspect of TORPEDO platform is that we have developed a rich toolkit of 14 novel, structurally distinct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40"/>
          </w:cols>
          <w:pgMar w:left="320" w:top="454"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804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580453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binders targeting the E3 ligase, Cereblon. IMiDs are a class of molecules, which includes approved therapies thalidomide, lenalidomide and pomalidomide, that harness Cereblon to effect the degradation of protein targets, resulting in anti-cancer activity. To date, Cereblon is the only E3 ligase known to be targeted by an approved drug to cause protein degradation. Notably, Cereblon is widely expressed across tissues, potentially allowing for Cereblon-mediated targeted protein degradation in a wide variety of clinical settings.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Pipeline</w:t>
      </w:r>
    </w:p>
    <w:p>
      <w:pPr>
        <w:spacing w:after="0" w:line="71"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color w:val="auto"/>
        </w:rPr>
        <w:t>We have leveraged our TORPEDO platform to generate a robust pipeline of orally available, potent and selective protein degradation drug candidates that may be capable of treating diseases in a wide range of organ systems and tissues. Our pipeline focus is on establishing clear clinical proof-of-concept for targets with well-established biology and a defined regulatory pathway. As shown in the table below, we currently have four preclinical programs in development. We anticipate our CFT7455 and CFT8634 product candidates will be in the clinic by the end of 2021 and our BRAF V600E and RET programs will be in the clinic by the end of 2022. We have also secured three strategic collaborations with partners that provide additional pipeline optionality and an expansion of our potential targets for protein degradation.</w:t>
      </w:r>
    </w:p>
    <w:p>
      <w:pPr>
        <w:spacing w:after="0" w:line="121"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 xml:space="preserve">We are advancing two types of protein degraders. We refer to the first type of degrader as MonoDACs, which are </w:t>
      </w:r>
      <w:r>
        <w:rPr>
          <w:rFonts w:ascii="Arial" w:cs="Arial" w:eastAsia="Arial" w:hAnsi="Arial"/>
          <w:sz w:val="17"/>
          <w:szCs w:val="17"/>
          <w:u w:val="single" w:color="auto"/>
          <w:color w:val="auto"/>
        </w:rPr>
        <w:t>Mono</w:t>
      </w:r>
      <w:r>
        <w:rPr>
          <w:rFonts w:ascii="Arial" w:cs="Arial" w:eastAsia="Arial" w:hAnsi="Arial"/>
          <w:sz w:val="17"/>
          <w:szCs w:val="17"/>
          <w:color w:val="auto"/>
        </w:rPr>
        <w:t xml:space="preserve">functional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egradation </w:t>
      </w:r>
      <w:r>
        <w:rPr>
          <w:rFonts w:ascii="Arial" w:cs="Arial" w:eastAsia="Arial" w:hAnsi="Arial"/>
          <w:sz w:val="17"/>
          <w:szCs w:val="17"/>
          <w:u w:val="single" w:color="auto"/>
          <w:color w:val="auto"/>
        </w:rPr>
        <w:t>A</w:t>
      </w:r>
      <w:r>
        <w:rPr>
          <w:rFonts w:ascii="Arial" w:cs="Arial" w:eastAsia="Arial" w:hAnsi="Arial"/>
          <w:sz w:val="17"/>
          <w:szCs w:val="17"/>
          <w:color w:val="auto"/>
        </w:rPr>
        <w:t xml:space="preserve">ctivating </w:t>
      </w:r>
      <w:r>
        <w:rPr>
          <w:rFonts w:ascii="Arial" w:cs="Arial" w:eastAsia="Arial" w:hAnsi="Arial"/>
          <w:sz w:val="17"/>
          <w:szCs w:val="17"/>
          <w:u w:val="single" w:color="auto"/>
          <w:color w:val="auto"/>
        </w:rPr>
        <w:t>C</w:t>
      </w:r>
      <w:r>
        <w:rPr>
          <w:rFonts w:ascii="Arial" w:cs="Arial" w:eastAsia="Arial" w:hAnsi="Arial"/>
          <w:sz w:val="17"/>
          <w:szCs w:val="17"/>
          <w:color w:val="auto"/>
        </w:rPr>
        <w:t xml:space="preserve">ompounds. MonoDACs function by binding to E3 ligases and creating a new surface on the E3 ligases that enhances the binding of the E3 ligases to target proteins. We refer to our second type of degrader as BiDACs, which are </w:t>
      </w:r>
      <w:r>
        <w:rPr>
          <w:rFonts w:ascii="Arial" w:cs="Arial" w:eastAsia="Arial" w:hAnsi="Arial"/>
          <w:sz w:val="17"/>
          <w:szCs w:val="17"/>
          <w:u w:val="single" w:color="auto"/>
          <w:color w:val="auto"/>
        </w:rPr>
        <w:t>Bi</w:t>
      </w:r>
      <w:r>
        <w:rPr>
          <w:rFonts w:ascii="Arial" w:cs="Arial" w:eastAsia="Arial" w:hAnsi="Arial"/>
          <w:sz w:val="17"/>
          <w:szCs w:val="17"/>
          <w:color w:val="auto"/>
        </w:rPr>
        <w:t xml:space="preserve">functional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egradation </w:t>
      </w:r>
      <w:r>
        <w:rPr>
          <w:rFonts w:ascii="Arial" w:cs="Arial" w:eastAsia="Arial" w:hAnsi="Arial"/>
          <w:sz w:val="17"/>
          <w:szCs w:val="17"/>
          <w:u w:val="single" w:color="auto"/>
          <w:color w:val="auto"/>
        </w:rPr>
        <w:t>A</w:t>
      </w:r>
      <w:r>
        <w:rPr>
          <w:rFonts w:ascii="Arial" w:cs="Arial" w:eastAsia="Arial" w:hAnsi="Arial"/>
          <w:sz w:val="17"/>
          <w:szCs w:val="17"/>
          <w:color w:val="auto"/>
        </w:rPr>
        <w:t xml:space="preserve">ctivating </w:t>
      </w:r>
      <w:r>
        <w:rPr>
          <w:rFonts w:ascii="Arial" w:cs="Arial" w:eastAsia="Arial" w:hAnsi="Arial"/>
          <w:sz w:val="17"/>
          <w:szCs w:val="17"/>
          <w:u w:val="single" w:color="auto"/>
          <w:color w:val="auto"/>
        </w:rPr>
        <w:t>C</w:t>
      </w:r>
      <w:r>
        <w:rPr>
          <w:rFonts w:ascii="Arial" w:cs="Arial" w:eastAsia="Arial" w:hAnsi="Arial"/>
          <w:sz w:val="17"/>
          <w:szCs w:val="17"/>
          <w:color w:val="auto"/>
        </w:rPr>
        <w:t>ompounds. BiDACs are designed so that one end of the molecule binds to the disease-causing target protein and the other end binds to the E3 ligase. Each of these types of degraders is intended to result in the same end point: the specific degradation of the target proteins of interest. These two approaches have complementary requirements for target engagement: BiDACs utilize specific binding sites where chemical binding moieties, which are portions of a molecule, can be identified, which enables a rational drug discovery approach, while MonoDACs, in contrast, rely on ligase-to-target protein surface interactions to drive the ubiquitination process, which is the process by which an E3 ligase tags a target protein for degradation using a molecular tag called ubiquitin, rather than specific compound-binding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CFT7455 is an orally bioavailable degrader targeting IKZF1/3 for the treatment of MM and non-Hodgkin lymphomas, or NHLs, including PTCL and MCL. We have selected IKZF1/3 as our initial targets because they have a strong mechanistic rationale and well-defined biology, and targeting them with a novel degrader may address a significant unmet need. In our preclinical studies, CFT7455 has demonstrated potent and selective protein degradation with favorable pharmacological properties. We believe that the differentiated pharmacology of CFT7455, including its high potency, may translate into improved clinical outcomes over the current standard-of-care agents in each of the indications we are pursuing. We expect to file an IND for CFT7455 in the fourth quarter of 2020 and expect to dose the first patient in a clinical trial of this product candidate in the first half of 2021. Our planned first-in-human Phase 1/2 trial is designed as an open-label dose escalation study of CFT7455 in approximately 18 to 30 subjects with MM or NHL. The trial will primarily investigate the safety and tolerability of CFT7455, and key secondary endpoints will be to characterize CFT7455’s PK/PD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40"/>
          </w:cols>
          <w:pgMar w:left="320" w:top="454"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269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52692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0" w:right="360"/>
        <w:spacing w:after="0" w:line="303" w:lineRule="auto"/>
        <w:rPr>
          <w:sz w:val="20"/>
          <w:szCs w:val="20"/>
          <w:color w:val="auto"/>
        </w:rPr>
      </w:pPr>
      <w:r>
        <w:rPr>
          <w:rFonts w:ascii="Arial" w:cs="Arial" w:eastAsia="Arial" w:hAnsi="Arial"/>
          <w:sz w:val="16"/>
          <w:szCs w:val="16"/>
          <w:color w:val="auto"/>
        </w:rPr>
        <w:t>profile and anti-tumor activity. We expect the results from this clinical trial will help us better understand the disease characteristics of those patients who may derive benefit from CFT7455, which will enable us to more effectively design future clinical trials for this product candidate.</w:t>
      </w:r>
    </w:p>
    <w:p>
      <w:pPr>
        <w:spacing w:after="0" w:line="7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 xml:space="preserve">CFT8634 is an orally bioavailable degrader targeting BRD9 for the treatment of synovial sarcoma and SMARCB1-deleted solid malignancies. BRD9 has been considered an undruggable target using currently available modalities. BRD9 is a component of the non-canonical BAF complex, or ncBAF, that regulates gene transcription. In normal cells, this complex is not required for cell survival. However, some tumors, including synovial sarcoma, encode genetic mutations that render the ncBAF complex—and thus BRD9—essential for tumor growth. As a result, CFT8634 has demonstrated potent anti-tumor activity in synovial sarcoma cell lines, but does not appear to affect normal cells. Further, CFT8634 has shown excellent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in synovial sarcoma xenograft models when dosed orally. We expect to file an IND for CFT8634 with the FDA in the second half of 2021 and dose the first patient in a first-in-human Phase 1/2 clinical trial of this product candidate by the end of 2021. We expect to design our first-in-human Phase 1/2 clinical trial for this product candidate to be an open-label dose escalation/expansion study in both synovial sarcoma and solid tumors with SMARCB1 loss.</w:t>
      </w:r>
    </w:p>
    <w:p>
      <w:pPr>
        <w:spacing w:after="0" w:line="123"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In addition to our lead product candidates, we are also developing degraders specifically targeting V600E mutant BRAF to treat melanoma, non-small cell lung cancer, or NSCLC, colorectal cancer and other solid malignancies that harbor this mutation, as well as degraders targeting RET to treat lung cancer, sporadic medullary thyroid cancers and other solid malignancies that harbor oncogenic RET lesions. We expect to have our lead product candidates, CFT7455 and CFT8634, in the clinic by the end of 2021, and product candidates from our two other lead programs, BRAF V600E and RET, in the clinic by the end of 2022. Beyond these four initial product candidates, we are further diversifying our pipeline by developing new degraders against targets where we believe degradation offers potential advantages over existing therapeutic modalities, such as the treatment of neurodegenerative diseases. As part of these efforts, we have engineered degraders that have successfully achieved blood-brain barrier penetration in preclinical studies, which is a key step in developing drugs with the potential to treat neurodegenerative diseases. We also believe there are many other therapeutic areas and indications where leveraging our TORPEDO platform to develop novel degraders may be advantageous.</w:t>
      </w:r>
    </w:p>
    <w:p>
      <w:pPr>
        <w:spacing w:after="0" w:line="119" w:lineRule="exact"/>
        <w:rPr>
          <w:sz w:val="20"/>
          <w:szCs w:val="20"/>
          <w:color w:val="auto"/>
        </w:rPr>
      </w:pPr>
    </w:p>
    <w:p>
      <w:pPr>
        <w:ind w:left="200" w:right="20"/>
        <w:spacing w:after="0" w:line="303" w:lineRule="auto"/>
        <w:rPr>
          <w:sz w:val="20"/>
          <w:szCs w:val="20"/>
          <w:color w:val="auto"/>
        </w:rPr>
      </w:pPr>
      <w:r>
        <w:rPr>
          <w:rFonts w:ascii="Arial" w:cs="Arial" w:eastAsia="Arial" w:hAnsi="Arial"/>
          <w:sz w:val="16"/>
          <w:szCs w:val="16"/>
          <w:color w:val="auto"/>
        </w:rPr>
        <w:t>In addition to the programs identified above and our early-stage development collaborations with F. Hoffman-La Roche Ltd., or Roche, Biogen, Inc., or Biogen, and Calico Life Sciences LLC, or Calico, we are conducting exploratory research and development work on various other targets.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Team</w:t>
      </w:r>
    </w:p>
    <w:p>
      <w:pPr>
        <w:spacing w:after="0" w:line="71"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We have been a pioneer in the field of targeted protein degradation since our founding in 2015. Our technology originated from research at the Dana Farber Cancer Institute by Jay Bradner, M.D., Ken Anderson, M.D. and Nathanael Gray, Ph.D., leading researchers in the field of protein degradation who co-founded the company along with our Executive Chairman, Marc A. Cohen, who serves as our interim Chief Executive Officer. We have assembled a scientific team with extensive knowledge and translational medicine expertise in the protein degradation field. Our management team draws on experience in all phases of drug discovery and development gained at large pharmaceutical and biotechnology companies.</w:t>
      </w:r>
    </w:p>
    <w:p>
      <w:pPr>
        <w:spacing w:after="0" w:line="121" w:lineRule="exact"/>
        <w:rPr>
          <w:sz w:val="20"/>
          <w:szCs w:val="20"/>
          <w:color w:val="auto"/>
        </w:rPr>
      </w:pPr>
    </w:p>
    <w:p>
      <w:pPr>
        <w:ind w:left="200" w:right="100"/>
        <w:spacing w:after="0" w:line="250" w:lineRule="auto"/>
        <w:rPr>
          <w:sz w:val="20"/>
          <w:szCs w:val="20"/>
          <w:color w:val="auto"/>
        </w:rPr>
      </w:pPr>
      <w:r>
        <w:rPr>
          <w:rFonts w:ascii="Arial" w:cs="Arial" w:eastAsia="Arial" w:hAnsi="Arial"/>
          <w:sz w:val="17"/>
          <w:szCs w:val="17"/>
          <w:color w:val="auto"/>
        </w:rPr>
        <w:t>In addition, we hired our President and incoming Chief Executive Officer, Andrew Hirsch, in September 2020. Prior to joining us, Mr. Hirsch served as Chief Financial Officer at Agios Pharmaceuticals, Inc., including as head of corporate development. Mr. Hirsch previously held various leadership positions at BIND Therapeutics, Inc. and currently serves on the board of directors of Editas Medicine, Inc.</w:t>
      </w:r>
    </w:p>
    <w:p>
      <w:pPr>
        <w:spacing w:after="0" w:line="111" w:lineRule="exact"/>
        <w:rPr>
          <w:sz w:val="20"/>
          <w:szCs w:val="20"/>
          <w:color w:val="auto"/>
        </w:rPr>
      </w:pPr>
    </w:p>
    <w:p>
      <w:pPr>
        <w:jc w:val="both"/>
        <w:ind w:left="200" w:right="460"/>
        <w:spacing w:after="0" w:line="250" w:lineRule="auto"/>
        <w:rPr>
          <w:sz w:val="20"/>
          <w:szCs w:val="20"/>
          <w:color w:val="auto"/>
        </w:rPr>
      </w:pPr>
      <w:r>
        <w:rPr>
          <w:rFonts w:ascii="Arial" w:cs="Arial" w:eastAsia="Arial" w:hAnsi="Arial"/>
          <w:sz w:val="17"/>
          <w:szCs w:val="17"/>
          <w:color w:val="auto"/>
        </w:rPr>
        <w:t>We have also entered into key strategic collaborations with each of Roche, Biogen and Calico that help us address targets across multiple therapeutic areas. Through these collaborations we have received an aggregate of $154.8 million in non-dilutive financing through June 30, 2020. In addition, we have secured additional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60"/>
          </w:cols>
          <w:pgMar w:left="320" w:top="454" w:right="5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252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52527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0" w:right="120"/>
        <w:spacing w:after="0" w:line="243" w:lineRule="auto"/>
        <w:rPr>
          <w:sz w:val="20"/>
          <w:szCs w:val="20"/>
          <w:color w:val="auto"/>
        </w:rPr>
      </w:pPr>
      <w:r>
        <w:rPr>
          <w:rFonts w:ascii="Arial" w:cs="Arial" w:eastAsia="Arial" w:hAnsi="Arial"/>
          <w:sz w:val="17"/>
          <w:szCs w:val="17"/>
          <w:color w:val="auto"/>
        </w:rPr>
        <w:t>funding from a strong group of investors, including Cobro Ventures, Perceptive Advisors, Adage Capital Management, Axil Capital, Bain Capital Life Sciences, Commodore Capital, 3E Bioventures Capital, HBM Healthcare Investments, Lightchain Capital, Logos Capital, Mizuho Securities Principal Investment, Nextech, RA Capital, RTW Investments, Sphera Funds Management, Taiwania Capital, Yonjin Venture and funds and accounts managed by T. Rowe Price and Janus Henderson.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7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We are committed to transforming the treatment of cancer, neurodegenerative conditions and other diseases through the discovery, development and commercialization of novel therapies that destroy disease-causing proteins.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Key elements of our strategy are to:</w:t>
      </w:r>
    </w:p>
    <w:p>
      <w:pPr>
        <w:spacing w:after="0" w:line="192" w:lineRule="exact"/>
        <w:rPr>
          <w:sz w:val="20"/>
          <w:szCs w:val="20"/>
          <w:color w:val="auto"/>
        </w:rPr>
      </w:pPr>
    </w:p>
    <w:p>
      <w:pPr>
        <w:ind w:left="1040" w:hanging="419"/>
        <w:spacing w:after="0"/>
        <w:tabs>
          <w:tab w:leader="none" w:pos="1040" w:val="left"/>
        </w:tabs>
        <w:numPr>
          <w:ilvl w:val="0"/>
          <w:numId w:val="2"/>
        </w:numPr>
        <w:rPr>
          <w:rFonts w:ascii="MS PGothic" w:cs="MS PGothic" w:eastAsia="MS PGothic" w:hAnsi="MS PGothic"/>
          <w:sz w:val="12"/>
          <w:szCs w:val="12"/>
          <w:color w:val="auto"/>
        </w:rPr>
      </w:pPr>
      <w:r>
        <w:rPr>
          <w:rFonts w:ascii="Arial" w:cs="Arial" w:eastAsia="Arial" w:hAnsi="Arial"/>
          <w:sz w:val="17"/>
          <w:szCs w:val="17"/>
          <w:color w:val="auto"/>
        </w:rPr>
        <w:t>Continue rapid progression toward clinical development of our lead programs developed with our TORPEDO platform;</w:t>
      </w:r>
    </w:p>
    <w:p>
      <w:pPr>
        <w:spacing w:after="0" w:line="33" w:lineRule="exact"/>
        <w:rPr>
          <w:rFonts w:ascii="MS PGothic" w:cs="MS PGothic" w:eastAsia="MS PGothic" w:hAnsi="MS PGothic"/>
          <w:sz w:val="12"/>
          <w:szCs w:val="12"/>
          <w:color w:val="auto"/>
        </w:rPr>
      </w:pPr>
    </w:p>
    <w:p>
      <w:pPr>
        <w:ind w:left="1040" w:hanging="419"/>
        <w:spacing w:after="0"/>
        <w:tabs>
          <w:tab w:leader="none" w:pos="1040" w:val="left"/>
        </w:tabs>
        <w:numPr>
          <w:ilvl w:val="0"/>
          <w:numId w:val="2"/>
        </w:numPr>
        <w:rPr>
          <w:rFonts w:ascii="MS PGothic" w:cs="MS PGothic" w:eastAsia="MS PGothic" w:hAnsi="MS PGothic"/>
          <w:sz w:val="12"/>
          <w:szCs w:val="12"/>
          <w:color w:val="auto"/>
        </w:rPr>
      </w:pPr>
      <w:r>
        <w:rPr>
          <w:rFonts w:ascii="Arial" w:cs="Arial" w:eastAsia="Arial" w:hAnsi="Arial"/>
          <w:sz w:val="17"/>
          <w:szCs w:val="17"/>
          <w:color w:val="auto"/>
        </w:rPr>
        <w:t>Rapidly advance our late-stage discovery programs to generate product candidates;</w:t>
      </w:r>
    </w:p>
    <w:p>
      <w:pPr>
        <w:spacing w:after="0" w:line="31" w:lineRule="exact"/>
        <w:rPr>
          <w:rFonts w:ascii="MS PGothic" w:cs="MS PGothic" w:eastAsia="MS PGothic" w:hAnsi="MS PGothic"/>
          <w:sz w:val="12"/>
          <w:szCs w:val="12"/>
          <w:color w:val="auto"/>
        </w:rPr>
      </w:pPr>
    </w:p>
    <w:p>
      <w:pPr>
        <w:ind w:left="1040" w:hanging="419"/>
        <w:spacing w:after="0"/>
        <w:tabs>
          <w:tab w:leader="none" w:pos="1040" w:val="left"/>
        </w:tabs>
        <w:numPr>
          <w:ilvl w:val="0"/>
          <w:numId w:val="2"/>
        </w:numPr>
        <w:rPr>
          <w:rFonts w:ascii="MS PGothic" w:cs="MS PGothic" w:eastAsia="MS PGothic" w:hAnsi="MS PGothic"/>
          <w:sz w:val="12"/>
          <w:szCs w:val="12"/>
          <w:color w:val="auto"/>
        </w:rPr>
      </w:pPr>
      <w:r>
        <w:rPr>
          <w:rFonts w:ascii="Arial" w:cs="Arial" w:eastAsia="Arial" w:hAnsi="Arial"/>
          <w:sz w:val="17"/>
          <w:szCs w:val="17"/>
          <w:color w:val="auto"/>
        </w:rPr>
        <w:t>Leverage our TORPEDO platform to generate discovery programs for previously undruggable or challenging targets;</w:t>
      </w:r>
    </w:p>
    <w:p>
      <w:pPr>
        <w:spacing w:after="0" w:line="31" w:lineRule="exact"/>
        <w:rPr>
          <w:rFonts w:ascii="MS PGothic" w:cs="MS PGothic" w:eastAsia="MS PGothic" w:hAnsi="MS PGothic"/>
          <w:sz w:val="12"/>
          <w:szCs w:val="12"/>
          <w:color w:val="auto"/>
        </w:rPr>
      </w:pPr>
    </w:p>
    <w:p>
      <w:pPr>
        <w:ind w:left="1040" w:hanging="419"/>
        <w:spacing w:after="0"/>
        <w:tabs>
          <w:tab w:leader="none" w:pos="1040" w:val="left"/>
        </w:tabs>
        <w:numPr>
          <w:ilvl w:val="0"/>
          <w:numId w:val="2"/>
        </w:numPr>
        <w:rPr>
          <w:rFonts w:ascii="MS PGothic" w:cs="MS PGothic" w:eastAsia="MS PGothic" w:hAnsi="MS PGothic"/>
          <w:sz w:val="12"/>
          <w:szCs w:val="12"/>
          <w:color w:val="auto"/>
        </w:rPr>
      </w:pPr>
      <w:r>
        <w:rPr>
          <w:rFonts w:ascii="Arial" w:cs="Arial" w:eastAsia="Arial" w:hAnsi="Arial"/>
          <w:sz w:val="17"/>
          <w:szCs w:val="17"/>
          <w:color w:val="auto"/>
        </w:rPr>
        <w:t>Strategically invest in our TORPEDO platform;</w:t>
      </w:r>
    </w:p>
    <w:p>
      <w:pPr>
        <w:spacing w:after="0" w:line="31" w:lineRule="exact"/>
        <w:rPr>
          <w:rFonts w:ascii="MS PGothic" w:cs="MS PGothic" w:eastAsia="MS PGothic" w:hAnsi="MS PGothic"/>
          <w:sz w:val="12"/>
          <w:szCs w:val="12"/>
          <w:color w:val="auto"/>
        </w:rPr>
      </w:pPr>
    </w:p>
    <w:p>
      <w:pPr>
        <w:ind w:left="1040" w:hanging="419"/>
        <w:spacing w:after="0"/>
        <w:tabs>
          <w:tab w:leader="none" w:pos="1040" w:val="left"/>
        </w:tabs>
        <w:numPr>
          <w:ilvl w:val="0"/>
          <w:numId w:val="2"/>
        </w:numPr>
        <w:rPr>
          <w:rFonts w:ascii="MS PGothic" w:cs="MS PGothic" w:eastAsia="MS PGothic" w:hAnsi="MS PGothic"/>
          <w:sz w:val="12"/>
          <w:szCs w:val="12"/>
          <w:color w:val="auto"/>
        </w:rPr>
      </w:pPr>
      <w:r>
        <w:rPr>
          <w:rFonts w:ascii="Arial" w:cs="Arial" w:eastAsia="Arial" w:hAnsi="Arial"/>
          <w:sz w:val="17"/>
          <w:szCs w:val="17"/>
          <w:color w:val="auto"/>
        </w:rPr>
        <w:t>Engage with strategic partners to accelerate program development and maximize the potential of our TORPEDO platform; and</w:t>
      </w:r>
    </w:p>
    <w:p>
      <w:pPr>
        <w:spacing w:after="0" w:line="31" w:lineRule="exact"/>
        <w:rPr>
          <w:rFonts w:ascii="MS PGothic" w:cs="MS PGothic" w:eastAsia="MS PGothic" w:hAnsi="MS PGothic"/>
          <w:sz w:val="12"/>
          <w:szCs w:val="12"/>
          <w:color w:val="auto"/>
        </w:rPr>
      </w:pPr>
    </w:p>
    <w:p>
      <w:pPr>
        <w:ind w:left="1040" w:hanging="419"/>
        <w:spacing w:after="0"/>
        <w:tabs>
          <w:tab w:leader="none" w:pos="1040" w:val="left"/>
        </w:tabs>
        <w:numPr>
          <w:ilvl w:val="0"/>
          <w:numId w:val="2"/>
        </w:numPr>
        <w:rPr>
          <w:rFonts w:ascii="MS PGothic" w:cs="MS PGothic" w:eastAsia="MS PGothic" w:hAnsi="MS PGothic"/>
          <w:sz w:val="12"/>
          <w:szCs w:val="12"/>
          <w:color w:val="auto"/>
        </w:rPr>
      </w:pPr>
      <w:r>
        <w:rPr>
          <w:rFonts w:ascii="Arial" w:cs="Arial" w:eastAsia="Arial" w:hAnsi="Arial"/>
          <w:sz w:val="17"/>
          <w:szCs w:val="17"/>
          <w:color w:val="auto"/>
        </w:rPr>
        <w:t>Maximize the potential of our product candidates with selective use of commercial partnerships.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Impact of the COVID-19 Pandemic on Our Operations</w:t>
      </w:r>
    </w:p>
    <w:p>
      <w:pPr>
        <w:spacing w:after="0" w:line="57" w:lineRule="exact"/>
        <w:rPr>
          <w:sz w:val="20"/>
          <w:szCs w:val="20"/>
          <w:color w:val="auto"/>
        </w:rPr>
      </w:pPr>
    </w:p>
    <w:p>
      <w:pPr>
        <w:ind w:left="200" w:right="100"/>
        <w:spacing w:after="0"/>
        <w:rPr>
          <w:sz w:val="20"/>
          <w:szCs w:val="20"/>
          <w:color w:val="auto"/>
        </w:rPr>
      </w:pPr>
      <w:r>
        <w:rPr>
          <w:rFonts w:ascii="Arial" w:cs="Arial" w:eastAsia="Arial" w:hAnsi="Arial"/>
          <w:sz w:val="17"/>
          <w:szCs w:val="17"/>
          <w:color w:val="auto"/>
        </w:rPr>
        <w:t>The COVID-19 pandemic is causing significant industry-wide delays in preclinical work and clinical trials. There are multiple causes of these delays, including laboratory closures, reluctance of patients to enroll or continue in trials for fear of exposure to COVID-19, local and regional shelter-in-place orders and regulations that discourage, hamper or prohibit patient visits, healthcare providers and health systems shifting away from clinical trials toward the acute care of COVID-19 patients and the FDA and other regulators making product candidates for the treatment of COVID-19 a priority over product candidates unrelated to the pandemic.</w:t>
      </w:r>
    </w:p>
    <w:p>
      <w:pPr>
        <w:spacing w:after="0" w:line="119" w:lineRule="exact"/>
        <w:rPr>
          <w:sz w:val="20"/>
          <w:szCs w:val="20"/>
          <w:color w:val="auto"/>
        </w:rPr>
      </w:pPr>
    </w:p>
    <w:p>
      <w:pPr>
        <w:ind w:left="200" w:right="180"/>
        <w:spacing w:after="0" w:line="236" w:lineRule="auto"/>
        <w:rPr>
          <w:sz w:val="20"/>
          <w:szCs w:val="20"/>
          <w:color w:val="auto"/>
        </w:rPr>
      </w:pPr>
      <w:r>
        <w:rPr>
          <w:rFonts w:ascii="Arial" w:cs="Arial" w:eastAsia="Arial" w:hAnsi="Arial"/>
          <w:sz w:val="17"/>
          <w:szCs w:val="17"/>
          <w:color w:val="auto"/>
        </w:rPr>
        <w:t>In terms of the impact on our operations, we have seen increased risk of delays in production of components used to manufacture our lead degrader candidates due to previous delays at one of our China-based manufacturers, and one of our CROs in India was forced to temporarily shut down due to local lockdown orders. In addition, we temporarily closed the office and laboratory spaces at our corporate headquarters in Watertown, Massachusetts, and we transitioned our employees to work from home. We are working closely with our contract research organizations, or CROs, manufacturers, investigators and preclinical and clinical trial sites to assess the full impact of the COVID-19 pandemic on the timelines and expected costs for each of our programs. While the ongoing impact of the pandemic is uncertain, we believe our CRO redundancies in China, India and Boston and the transition of the majority of our employees to remote work arrangements have mitigated the impact of these types of disruptions on our business.</w:t>
      </w:r>
    </w:p>
    <w:p>
      <w:pPr>
        <w:spacing w:after="0" w:line="121" w:lineRule="exact"/>
        <w:rPr>
          <w:sz w:val="20"/>
          <w:szCs w:val="20"/>
          <w:color w:val="auto"/>
        </w:rPr>
      </w:pPr>
    </w:p>
    <w:p>
      <w:pPr>
        <w:jc w:val="both"/>
        <w:ind w:left="200" w:right="160"/>
        <w:spacing w:after="0" w:line="250" w:lineRule="auto"/>
        <w:rPr>
          <w:sz w:val="20"/>
          <w:szCs w:val="20"/>
          <w:color w:val="auto"/>
        </w:rPr>
      </w:pPr>
      <w:r>
        <w:rPr>
          <w:rFonts w:ascii="Arial" w:cs="Arial" w:eastAsia="Arial" w:hAnsi="Arial"/>
          <w:sz w:val="17"/>
          <w:szCs w:val="17"/>
          <w:color w:val="auto"/>
        </w:rPr>
        <w:t>We are not aware of any of our directors or employees being infected with coronavirus, but the virus can remain asymptomatic for a significant period of time and methods and availability of testing are continuing to evolve. It is possible our directors or employees or their family members could become infected.</w:t>
      </w:r>
    </w:p>
    <w:p>
      <w:pPr>
        <w:spacing w:after="0" w:line="111" w:lineRule="exact"/>
        <w:rPr>
          <w:sz w:val="20"/>
          <w:szCs w:val="20"/>
          <w:color w:val="auto"/>
        </w:rPr>
      </w:pPr>
    </w:p>
    <w:p>
      <w:pPr>
        <w:ind w:left="200" w:right="660"/>
        <w:spacing w:after="0" w:line="271" w:lineRule="auto"/>
        <w:rPr>
          <w:sz w:val="20"/>
          <w:szCs w:val="20"/>
          <w:color w:val="auto"/>
        </w:rPr>
      </w:pPr>
      <w:r>
        <w:rPr>
          <w:rFonts w:ascii="Arial" w:cs="Arial" w:eastAsia="Arial" w:hAnsi="Arial"/>
          <w:sz w:val="17"/>
          <w:szCs w:val="17"/>
          <w:color w:val="auto"/>
        </w:rPr>
        <w:t>We note the high level of difficulty in projecting the effects of COVID-19 on our programs and our company, given the rapid and dramatic evolution in the course and impact of the pandemic and the societal and governmental response to it.</w:t>
      </w:r>
    </w:p>
    <w:p>
      <w:pPr>
        <w:spacing w:after="0" w:line="200" w:lineRule="exact"/>
        <w:rPr>
          <w:sz w:val="20"/>
          <w:szCs w:val="20"/>
          <w:color w:val="auto"/>
        </w:rPr>
      </w:pP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20"/>
          </w:cols>
          <w:pgMar w:left="320" w:top="454" w:right="5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626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035" cy="56261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These risks are described more fully in the section entitled “Risk Factors” in this prospectus. These risks include, among others:</w:t>
      </w:r>
    </w:p>
    <w:p>
      <w:pPr>
        <w:spacing w:after="0" w:line="170" w:lineRule="exact"/>
        <w:rPr>
          <w:sz w:val="20"/>
          <w:szCs w:val="20"/>
          <w:color w:val="auto"/>
        </w:rPr>
      </w:pPr>
    </w:p>
    <w:p>
      <w:pPr>
        <w:ind w:left="1040" w:right="40" w:hanging="419"/>
        <w:spacing w:after="0"/>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We are an early stage biopharmaceutical company with a limited operating history and have incurred significant losses since our inception. To date, we have not generated any revenue from product sales. We expect to continue to incur significant expenses and increasing operating losses for at least the next several years and may never achieve or maintain profitability. Our net loss was $22.7 million for the six months ended June 30, 2020, $34.1 million for the year ended December 31, 2019 and $15.7 million for the year ended December 31, 2018.</w:t>
      </w:r>
    </w:p>
    <w:p>
      <w:pPr>
        <w:ind w:left="1040" w:right="20" w:hanging="419"/>
        <w:spacing w:after="0" w:line="246"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ind w:left="1040" w:right="20" w:hanging="419"/>
        <w:spacing w:after="0" w:line="254"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Our approach to the discovery and development of product candidates based on our TORPEDO platform is unproven, which makes it difficult to predict the time, cost of development and likelihood of successfully developing any products.</w:t>
      </w:r>
    </w:p>
    <w:p>
      <w:pPr>
        <w:ind w:left="1040" w:hanging="419"/>
        <w:spacing w:after="0" w:line="246"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All of our product candidates are still in preclinical development. Our business could be harmed if we are unable to advance to clinical development, develop, obtain regulatory approval for and commercialize our product candidates or experience significant delays in doing so.</w:t>
      </w:r>
    </w:p>
    <w:p>
      <w:pPr>
        <w:ind w:left="1040" w:right="60" w:hanging="419"/>
        <w:spacing w:after="0" w:line="246"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We cannot be certain of the timely completion or outcome of our preclinical testing and clinical trials. The results of preclinical studies may not be predictive of the results of clinical trials and the results of any early-stage clinical trials we commence may not be predictive of the results of later-stage clinical trials.</w:t>
      </w:r>
    </w:p>
    <w:p>
      <w:pPr>
        <w:ind w:left="1040" w:right="140" w:hanging="419"/>
        <w:spacing w:after="0" w:line="246"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Our preclinical studies and clinical trials may fail to demonstrate adequately the safety, potency, purity and efficacy of any of our product candidates, which would prevent or delay development, regulatory approval and commercialization of our current and future product candidates.</w:t>
      </w:r>
    </w:p>
    <w:p>
      <w:pPr>
        <w:ind w:left="1040" w:right="40" w:hanging="419"/>
        <w:spacing w:after="0" w:line="239"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We have entered into collaboration agreements with Roche, Biogen and Calico, and may in the future seek to enter into collaborations with third parties for the development and commercialization of certain of our product candidates. If we fail to enter into these types of new collaborations, or if our existing collaborations are not successful, we may be unable to continue development of our product candidates, we would not receive any contemplated milestone payments or royalties, and we could fail to capitalize on the market potential of our product candidates.</w:t>
      </w:r>
    </w:p>
    <w:p>
      <w:pPr>
        <w:spacing w:after="0" w:line="2" w:lineRule="exact"/>
        <w:rPr>
          <w:rFonts w:ascii="MS PGothic" w:cs="MS PGothic" w:eastAsia="MS PGothic" w:hAnsi="MS PGothic"/>
          <w:sz w:val="12"/>
          <w:szCs w:val="12"/>
          <w:color w:val="auto"/>
        </w:rPr>
      </w:pPr>
    </w:p>
    <w:p>
      <w:pPr>
        <w:ind w:left="1040" w:right="320" w:hanging="419"/>
        <w:spacing w:after="0" w:line="254"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The continuing effects of the novel coronavirus disease, COVID-19, could adversely impact our business, including our preclinical studies and clinical trials.</w:t>
      </w:r>
    </w:p>
    <w:p>
      <w:pPr>
        <w:ind w:left="1040" w:right="420" w:hanging="419"/>
        <w:spacing w:after="0" w:line="254"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we do.</w:t>
      </w:r>
    </w:p>
    <w:p>
      <w:pPr>
        <w:ind w:left="1040" w:right="360" w:hanging="419"/>
        <w:spacing w:after="0" w:line="242"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ind w:left="1040" w:right="80" w:hanging="419"/>
        <w:spacing w:after="0" w:line="246"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If we are unable to obtain required marketing approvals for, commercialize, manufacture, obtain and maintain patent protection for or gain market acceptance of our product candidates, or if we experience significant delays in doing so, our business will be materially harmed and our ability to generate revenue from product sales will be materially impaired.</w:t>
      </w:r>
    </w:p>
    <w:p>
      <w:pPr>
        <w:ind w:left="1040" w:right="280" w:hanging="419"/>
        <w:spacing w:after="0" w:line="249" w:lineRule="auto"/>
        <w:tabs>
          <w:tab w:leader="none" w:pos="104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40"/>
          </w:cols>
          <w:pgMar w:left="320" w:top="454"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36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035" cy="53632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71" w:lineRule="exact"/>
        <w:rPr>
          <w:sz w:val="20"/>
          <w:szCs w:val="20"/>
          <w:color w:val="auto"/>
        </w:rPr>
      </w:pPr>
    </w:p>
    <w:p>
      <w:pPr>
        <w:ind w:left="200" w:right="100"/>
        <w:spacing w:after="0"/>
        <w:rPr>
          <w:sz w:val="20"/>
          <w:szCs w:val="20"/>
          <w:color w:val="auto"/>
        </w:rPr>
      </w:pPr>
      <w:r>
        <w:rPr>
          <w:rFonts w:ascii="Arial" w:cs="Arial" w:eastAsia="Arial" w:hAnsi="Arial"/>
          <w:sz w:val="17"/>
          <w:szCs w:val="17"/>
          <w:color w:val="auto"/>
        </w:rPr>
        <w:t>We were incorporated in October 2015 under the laws of the State of Delaware. Our principal executive offices are located at 490 Arsenal Way, Suite 200, Watertown, Massachusetts 02472, and our telephone number is (617) 231-0700. We have one wholly owned subsidiary, C4T Securities Corporation, a Massachusetts corporation. Our website address is www.c4therapeutics.com. Information contained on our website is not incorporated by reference into this prospectus and should not be considered to be a part of this prospectus or the registration statement of which it forms a part.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57" w:lineRule="exact"/>
        <w:rPr>
          <w:sz w:val="20"/>
          <w:szCs w:val="20"/>
          <w:color w:val="auto"/>
        </w:rPr>
      </w:pPr>
    </w:p>
    <w:p>
      <w:pPr>
        <w:jc w:val="both"/>
        <w:ind w:left="200" w:right="380"/>
        <w:spacing w:after="0" w:line="250"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151" w:lineRule="exact"/>
        <w:rPr>
          <w:sz w:val="20"/>
          <w:szCs w:val="20"/>
          <w:color w:val="auto"/>
        </w:rPr>
      </w:pPr>
    </w:p>
    <w:p>
      <w:pPr>
        <w:ind w:left="1040" w:right="60" w:hanging="419"/>
        <w:spacing w:after="0" w:line="247"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being permitted to only provide two years of audited financial statements in addition to any required unaudited interim financial statements with correspondingly reduced “Management’s Discussion and Analysis of Financial Condition and Results of Operations” disclosure;</w:t>
      </w:r>
    </w:p>
    <w:p>
      <w:pPr>
        <w:ind w:left="1040" w:hanging="419"/>
        <w:spacing w:after="0"/>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reduced disclosure about our executive compensation arrangements;</w:t>
      </w:r>
    </w:p>
    <w:p>
      <w:pPr>
        <w:spacing w:after="0" w:line="31" w:lineRule="exact"/>
        <w:rPr>
          <w:rFonts w:ascii="MS PGothic" w:cs="MS PGothic" w:eastAsia="MS PGothic" w:hAnsi="MS PGothic"/>
          <w:sz w:val="12"/>
          <w:szCs w:val="12"/>
          <w:color w:val="auto"/>
        </w:rPr>
      </w:pPr>
    </w:p>
    <w:p>
      <w:pPr>
        <w:ind w:left="1040" w:right="440" w:hanging="419"/>
        <w:spacing w:after="0" w:line="254"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not being required to hold advisory votes on executive compensation or to obtain stockholder approval of any golden parachute arrangements not previously approved;</w:t>
      </w:r>
    </w:p>
    <w:p>
      <w:pPr>
        <w:ind w:left="1040" w:hanging="419"/>
        <w:spacing w:after="0"/>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an exemption from the auditor attestation requirement in the assessment of our internal control over financial reporting; and</w:t>
      </w:r>
    </w:p>
    <w:p>
      <w:pPr>
        <w:spacing w:after="0" w:line="31" w:lineRule="exact"/>
        <w:rPr>
          <w:rFonts w:ascii="MS PGothic" w:cs="MS PGothic" w:eastAsia="MS PGothic" w:hAnsi="MS PGothic"/>
          <w:sz w:val="12"/>
          <w:szCs w:val="12"/>
          <w:color w:val="auto"/>
        </w:rPr>
      </w:pPr>
    </w:p>
    <w:p>
      <w:pPr>
        <w:ind w:left="1040" w:right="180" w:hanging="419"/>
        <w:spacing w:after="0" w:line="300"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6"/>
          <w:szCs w:val="16"/>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73" w:lineRule="exact"/>
        <w:rPr>
          <w:sz w:val="20"/>
          <w:szCs w:val="20"/>
          <w:color w:val="auto"/>
        </w:rPr>
      </w:pPr>
    </w:p>
    <w:p>
      <w:pPr>
        <w:ind w:left="200"/>
        <w:spacing w:after="0" w:line="258" w:lineRule="auto"/>
        <w:rPr>
          <w:sz w:val="20"/>
          <w:szCs w:val="20"/>
          <w:color w:val="auto"/>
        </w:rPr>
      </w:pPr>
      <w:r>
        <w:rPr>
          <w:rFonts w:ascii="Arial" w:cs="Arial" w:eastAsia="Arial" w:hAnsi="Arial"/>
          <w:sz w:val="16"/>
          <w:szCs w:val="16"/>
          <w:color w:val="auto"/>
        </w:rPr>
        <w:t>We may take advantage of these exemptions until we are no longer an emerging growth company. We would cease to be an emerging growth company on the date that is the earliest of (i) the last day of the fiscal year in which we have total annual gross revenues of $1.07 billion or more;</w:t>
      </w:r>
    </w:p>
    <w:p>
      <w:pPr>
        <w:ind w:left="420" w:hanging="227"/>
        <w:spacing w:after="0" w:line="230"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last day of 2025; (iii) the date on which we have issued more than $1.0 billion in nonconvertible debt during the previous three years; or</w:t>
      </w:r>
    </w:p>
    <w:p>
      <w:pPr>
        <w:ind w:left="200" w:right="60" w:hanging="7"/>
        <w:spacing w:after="0" w:line="233" w:lineRule="auto"/>
        <w:tabs>
          <w:tab w:leader="none" w:pos="48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date on which we are deemed to be a large accelerated filer under the rules of the Securities and Exchange Commission, or the SEC. We may choose to take advantage of some but not all of these exemptions. We have taken advantage of reduced reporting requirements in this prospectus. In addition, we have elected to use the exemption for the delayed adoption of certain accounting standards until the earlier of the date that we (i) are no longer an emerging growth company or (ii) affirmatively and irrevocably opt out of the extended transition period provided in the JOBS Act. Accordingly, the information contained herein may be different from the information you receive from other public companies in which you hold stock.</w:t>
      </w:r>
    </w:p>
    <w:p>
      <w:pPr>
        <w:spacing w:after="0" w:line="123"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00"/>
          </w:cols>
          <w:pgMar w:left="320" w:top="454" w:right="5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417"/>
        </w:trPr>
        <w:tc>
          <w:tcPr>
            <w:tcW w:w="4200" w:type="dxa"/>
            <w:vAlign w:val="bottom"/>
            <w:tcBorders>
              <w:top w:val="single" w:sz="8" w:color="auto"/>
              <w:left w:val="single" w:sz="8" w:color="auto"/>
            </w:tcBorders>
          </w:tcPr>
          <w:p>
            <w:pPr>
              <w:spacing w:after="0"/>
              <w:rPr>
                <w:sz w:val="24"/>
                <w:szCs w:val="24"/>
                <w:color w:val="auto"/>
              </w:rPr>
            </w:pPr>
          </w:p>
        </w:tc>
        <w:tc>
          <w:tcPr>
            <w:tcW w:w="70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The Offering</w:t>
            </w:r>
          </w:p>
        </w:tc>
      </w:tr>
      <w:tr>
        <w:trPr>
          <w:trHeight w:val="536"/>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Shares of our common stock offered by us</w:t>
            </w: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8,824,000 shares</w:t>
            </w:r>
          </w:p>
        </w:tc>
      </w:tr>
      <w:tr>
        <w:trPr>
          <w:trHeight w:val="359"/>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Shares of our common stock to be outstanding after</w:t>
            </w: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40,769,194 shares (or 42,092,794 shares if the underwriters exercise their option to</w:t>
            </w:r>
          </w:p>
        </w:tc>
      </w:tr>
      <w:tr>
        <w:trPr>
          <w:trHeight w:val="229"/>
        </w:trPr>
        <w:tc>
          <w:tcPr>
            <w:tcW w:w="4200" w:type="dxa"/>
            <w:vAlign w:val="bottom"/>
            <w:tcBorders>
              <w:left w:val="single" w:sz="8" w:color="auto"/>
            </w:tcBorders>
          </w:tcPr>
          <w:p>
            <w:pPr>
              <w:ind w:left="280"/>
              <w:spacing w:after="0"/>
              <w:rPr>
                <w:sz w:val="20"/>
                <w:szCs w:val="20"/>
                <w:color w:val="auto"/>
              </w:rPr>
            </w:pPr>
            <w:r>
              <w:rPr>
                <w:rFonts w:ascii="Arial" w:cs="Arial" w:eastAsia="Arial" w:hAnsi="Arial"/>
                <w:sz w:val="17"/>
                <w:szCs w:val="17"/>
                <w:color w:val="auto"/>
              </w:rPr>
              <w:t>this offering</w:t>
            </w: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purchase additional shares in full)</w:t>
            </w:r>
          </w:p>
        </w:tc>
      </w:tr>
      <w:tr>
        <w:trPr>
          <w:trHeight w:val="359"/>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Underwriters’ option to purchase additional shares</w:t>
            </w: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We have granted the underwriters a 30-day option to purchase up to 1,323,600 additional</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shares of our common stock at the initial public offering price, less underwriting discounts</w:t>
            </w:r>
          </w:p>
        </w:tc>
      </w:tr>
      <w:tr>
        <w:trPr>
          <w:trHeight w:val="229"/>
        </w:trPr>
        <w:tc>
          <w:tcPr>
            <w:tcW w:w="4200" w:type="dxa"/>
            <w:vAlign w:val="bottom"/>
            <w:tcBorders>
              <w:left w:val="single" w:sz="8" w:color="auto"/>
            </w:tcBorders>
          </w:tcPr>
          <w:p>
            <w:pPr>
              <w:spacing w:after="0"/>
              <w:rPr>
                <w:sz w:val="19"/>
                <w:szCs w:val="19"/>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and commissions, on the same terms as set forth in this prospectus.</w:t>
            </w:r>
          </w:p>
        </w:tc>
      </w:tr>
      <w:tr>
        <w:trPr>
          <w:trHeight w:val="346"/>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Use of proceeds</w:t>
            </w: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We estimate that the net proceeds to us from the sale of shares of our common stock in</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this offering will be approximately $135.5 million, or $156.4 million if the underwriters</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exercise their option to purchase additional shares in full, assuming an initial public</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offering price of $17.00 per share, the midpoint of the price range set forth on the cover</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page of this prospectus, and after deducting estimated underwriting discounts and</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commissions and estimated offering expenses payable by us. We intend to use the net</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proceeds of this offering, together with our existing cash resources, to: complete the</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Phase 1 portion of our planned first-in-human Phase 1/2 clinical trial of CFT7455 for</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patients with MM or NHL, such as PTCL or MCL, as well as to fund a portion of the</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Phase 2 expansion component of that clinical trial in these indications; complete the</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Phase 1 portion of our planned first-in-human Phase 1/2 clinical trial of CFT8634 for</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patients with synovial sarcoma or solid tumors with SMARCB1 loss, as well as to fund a</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portion of the Phase 2 expansion component of this trial and a portion of a Phase 3</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confirmatory clinical trial of this product candidate in synovial sarcoma; conduct and</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complete IND-enabling studies with respect to BRAF V600E and RET, substantially</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complete the Phase 1 portion of our planned first-in-human Phase 1/2 clinical trials for</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each of these programs and fund initial portions of our planned phase 2 expansion</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component for the clinical trials for each of these product candidates; and fund continued</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development of our TORPEDO platform and advancement and identification of additional</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targets and development candidates, hiring of additional personnel, capital expenditures,</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costs of operating as a public company and other general corporate purposes. See “Use</w:t>
            </w:r>
          </w:p>
        </w:tc>
      </w:tr>
      <w:tr>
        <w:trPr>
          <w:trHeight w:val="229"/>
        </w:trPr>
        <w:tc>
          <w:tcPr>
            <w:tcW w:w="4200" w:type="dxa"/>
            <w:vAlign w:val="bottom"/>
            <w:tcBorders>
              <w:left w:val="single" w:sz="8" w:color="auto"/>
            </w:tcBorders>
          </w:tcPr>
          <w:p>
            <w:pPr>
              <w:spacing w:after="0"/>
              <w:rPr>
                <w:sz w:val="19"/>
                <w:szCs w:val="19"/>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of Proceeds.”</w:t>
            </w:r>
          </w:p>
        </w:tc>
      </w:tr>
      <w:tr>
        <w:trPr>
          <w:trHeight w:val="388"/>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Proposed Nasdaq Global Market symbol</w:t>
            </w: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“CCCC”</w:t>
            </w:r>
          </w:p>
        </w:tc>
      </w:tr>
      <w:tr>
        <w:trPr>
          <w:trHeight w:val="359"/>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Risk Factors</w:t>
            </w: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Investment in our common stock involves substantial risks. You should read this</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prospectus carefully, including the section entitled “Risk Factors” and the financial</w:t>
            </w:r>
          </w:p>
        </w:tc>
      </w:tr>
      <w:tr>
        <w:trPr>
          <w:trHeight w:val="187"/>
        </w:trPr>
        <w:tc>
          <w:tcPr>
            <w:tcW w:w="4200" w:type="dxa"/>
            <w:vAlign w:val="bottom"/>
            <w:tcBorders>
              <w:left w:val="single" w:sz="8" w:color="auto"/>
            </w:tcBorders>
          </w:tcPr>
          <w:p>
            <w:pPr>
              <w:spacing w:after="0"/>
              <w:rPr>
                <w:sz w:val="16"/>
                <w:szCs w:val="16"/>
                <w:color w:val="auto"/>
              </w:rPr>
            </w:pPr>
          </w:p>
        </w:tc>
        <w:tc>
          <w:tcPr>
            <w:tcW w:w="704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7"/>
                <w:szCs w:val="17"/>
                <w:color w:val="auto"/>
              </w:rPr>
              <w:t>statements and the related notes to those statements included in this prospectus, before</w:t>
            </w:r>
          </w:p>
        </w:tc>
      </w:tr>
      <w:tr>
        <w:trPr>
          <w:trHeight w:val="229"/>
        </w:trPr>
        <w:tc>
          <w:tcPr>
            <w:tcW w:w="4200" w:type="dxa"/>
            <w:vAlign w:val="bottom"/>
            <w:tcBorders>
              <w:left w:val="single" w:sz="8" w:color="auto"/>
            </w:tcBorders>
          </w:tcPr>
          <w:p>
            <w:pPr>
              <w:spacing w:after="0"/>
              <w:rPr>
                <w:sz w:val="19"/>
                <w:szCs w:val="19"/>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investing in our common stock.</w:t>
            </w:r>
          </w:p>
        </w:tc>
      </w:tr>
      <w:tr>
        <w:trPr>
          <w:trHeight w:val="237"/>
        </w:trPr>
        <w:tc>
          <w:tcPr>
            <w:tcW w:w="4200" w:type="dxa"/>
            <w:vAlign w:val="bottom"/>
            <w:tcBorders>
              <w:left w:val="single" w:sz="8" w:color="auto"/>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r>
      <w:tr>
        <w:trPr>
          <w:trHeight w:val="582"/>
        </w:trPr>
        <w:tc>
          <w:tcPr>
            <w:tcW w:w="4200" w:type="dxa"/>
            <w:vAlign w:val="bottom"/>
          </w:tcPr>
          <w:p>
            <w:pPr>
              <w:spacing w:after="0"/>
              <w:rPr>
                <w:sz w:val="24"/>
                <w:szCs w:val="24"/>
                <w:color w:val="auto"/>
              </w:rPr>
            </w:pPr>
          </w:p>
        </w:tc>
        <w:tc>
          <w:tcPr>
            <w:tcW w:w="7040" w:type="dxa"/>
            <w:vAlign w:val="bottom"/>
          </w:tcPr>
          <w:p>
            <w:pPr>
              <w:ind w:left="1380"/>
              <w:spacing w:after="0"/>
              <w:rPr>
                <w:sz w:val="20"/>
                <w:szCs w:val="20"/>
                <w:color w:val="auto"/>
              </w:rPr>
            </w:pPr>
            <w:r>
              <w:rPr>
                <w:rFonts w:ascii="Arial" w:cs="Arial" w:eastAsia="Arial" w:hAnsi="Arial"/>
                <w:sz w:val="16"/>
                <w:szCs w:val="16"/>
                <w:color w:val="auto"/>
              </w:rPr>
              <w:t>7</w:t>
            </w:r>
          </w:p>
        </w:tc>
      </w:tr>
    </w:tbl>
    <w:p>
      <w:pPr>
        <w:sectPr>
          <w:pgSz w:w="11900" w:h="16838" w:orient="portrait"/>
          <w:cols w:equalWidth="0" w:num="1">
            <w:col w:w="11240"/>
          </w:cols>
          <w:pgMar w:left="320" w:top="454" w:right="339" w:bottom="1440" w:gutter="0" w:footer="0" w:header="0"/>
        </w:sectPr>
      </w:pPr>
    </w:p>
    <w:bookmarkStart w:id="11" w:name="page12"/>
    <w:bookmarkEnd w:id="1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208915</wp:posOffset>
            </wp:positionV>
            <wp:extent cx="7138035" cy="4963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4963795"/>
                    </a:xfrm>
                    <a:prstGeom prst="rect">
                      <a:avLst/>
                    </a:prstGeom>
                    <a:noFill/>
                  </pic:spPr>
                </pic:pic>
              </a:graphicData>
            </a:graphic>
          </wp:anchor>
        </w:drawing>
      </w:r>
    </w:p>
    <w:p>
      <w:pPr>
        <w:sectPr>
          <w:pgSz w:w="11900" w:h="16838" w:orient="portrait"/>
          <w:cols w:equalWidth="0" w:num="1">
            <w:col w:w="11040"/>
          </w:cols>
          <w:pgMar w:left="320" w:top="454" w:right="5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At our request, the underwriters have reserved up to 5% of the shares of common stock being offered by this prospectus for sale, at the initial public offering price, to certain of our officers, directors, employees and other persons who do business with us. Any reserved shares purchased by our executive officers, directors and members of their households will be subject to the 180-day lock-up described elsewhere in this prospectus.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For further information regarding our directed share program, see “Underwriting.”</w:t>
      </w:r>
    </w:p>
    <w:p>
      <w:pPr>
        <w:spacing w:after="0" w:line="119" w:lineRule="exact"/>
        <w:rPr>
          <w:sz w:val="20"/>
          <w:szCs w:val="20"/>
          <w:color w:val="auto"/>
        </w:rPr>
      </w:pPr>
    </w:p>
    <w:p>
      <w:pPr>
        <w:sectPr>
          <w:pgSz w:w="11900" w:h="16838" w:orient="portrait"/>
          <w:cols w:equalWidth="0" w:num="2">
            <w:col w:w="3600" w:space="720"/>
            <w:col w:w="6720"/>
          </w:cols>
          <w:pgMar w:left="320" w:top="454" w:right="539" w:bottom="1440" w:gutter="0" w:footer="0" w:header="0"/>
          <w:type w:val="continuous"/>
        </w:sectPr>
      </w:pPr>
    </w:p>
    <w:p>
      <w:pPr>
        <w:ind w:left="200" w:right="40"/>
        <w:spacing w:after="0" w:line="247" w:lineRule="auto"/>
        <w:rPr>
          <w:sz w:val="20"/>
          <w:szCs w:val="20"/>
          <w:color w:val="auto"/>
        </w:rPr>
      </w:pPr>
      <w:r>
        <w:rPr>
          <w:rFonts w:ascii="Arial" w:cs="Arial" w:eastAsia="Arial" w:hAnsi="Arial"/>
          <w:sz w:val="17"/>
          <w:szCs w:val="17"/>
          <w:color w:val="auto"/>
        </w:rPr>
        <w:t>The number of shares of our common stock outstanding after this offering is based on 31,945,194 shares of our common stock outstanding as of September 13, 2020, after giving effect to the automatic conversion of all outstanding shares of our preferred stock into an aggregate of 30,355,379 shares of common stock upon the completion of this offering, and excludes as of such date:</w:t>
      </w:r>
    </w:p>
    <w:p>
      <w:pPr>
        <w:ind w:left="1040" w:hanging="419"/>
        <w:spacing w:after="0" w:line="254"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2,400,172 shares of common stock issuable upon exercise of stock options outstanding under our 2015 Stock Option and Grant Plan, or the 2015 Plan, at a weighted-average exercise price of $4.79 per share;</w:t>
      </w:r>
    </w:p>
    <w:p>
      <w:pPr>
        <w:ind w:left="1040" w:hanging="419"/>
        <w:spacing w:after="0" w:line="239"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2,300,043 shares of common stock issuable upon the exercise of stock options we have agreed to grant under our 2020 Stock Option and Incentive Plan, or the 2020 Plan, to some of our executive officers immediately following the effectiveness of the registration statement of which this prospectus forms a part, assuming that we sell 8,824,000 shares in this offering, with an exercise price per share equal to the initial public offering price per share in this offering, as described in more detail under the caption “Certain Relationships and Related Person Transactions—Stock Option Grants to Directors and Executive Officers”;</w:t>
      </w:r>
    </w:p>
    <w:p>
      <w:pPr>
        <w:spacing w:after="0" w:line="2" w:lineRule="exact"/>
        <w:rPr>
          <w:rFonts w:ascii="MS PGothic" w:cs="MS PGothic" w:eastAsia="MS PGothic" w:hAnsi="MS PGothic"/>
          <w:sz w:val="12"/>
          <w:szCs w:val="12"/>
          <w:color w:val="auto"/>
        </w:rPr>
      </w:pPr>
    </w:p>
    <w:p>
      <w:pPr>
        <w:ind w:left="1040" w:right="20" w:hanging="419"/>
        <w:spacing w:after="0" w:line="242"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192,681 shares of common stock issuable upon the exercise of stock options we will grant under the 2020 Plan immediately following the effectiveness of the registration statement of which this prospectus is a part to certain employees and our non-employee directors who remain on our board of directors at such time, with an exercise price per share equal to the initial public offering price per share in this offering;</w:t>
      </w:r>
    </w:p>
    <w:p>
      <w:pPr>
        <w:ind w:left="1040" w:right="80" w:hanging="419"/>
        <w:spacing w:after="0" w:line="246"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338,784 shares of our common stock issuable upon the exercise of warrants to purchase 2,857,142 shares of our Series B preferred stock at an exercise price of $1.05 per share, which warrants will automatically convert into warrants to purchase shares of our common stock at an exercise price of $8.86 per share upon closing of this offering;</w:t>
      </w:r>
    </w:p>
    <w:p>
      <w:pPr>
        <w:ind w:left="1040" w:right="220" w:hanging="419"/>
        <w:spacing w:after="0" w:line="246"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4,074,420 shares of common stock to be reserved for future issuance under our 2020 Plan to be effective on the day immediately prior to the effectiveness of the registration statement of which this prospectus forms a part, excluding the shares of common stock issuable upon the exercise of stock options we have agreed to grant under the 2020 Plan as described above; and</w:t>
      </w:r>
    </w:p>
    <w:p>
      <w:pPr>
        <w:ind w:left="1040" w:right="220" w:hanging="419"/>
        <w:spacing w:after="0" w:line="269"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437,809 shares of common stock to be reserved for future issuance under our 2020 Employee Stock Purchase Plan to be effective on the day immediately prior to the effectiveness of the registration statement of which this prospectus forms a part.</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Except as otherwise noted, all information in this prospectus:</w:t>
      </w:r>
    </w:p>
    <w:p>
      <w:pPr>
        <w:spacing w:after="0" w:line="192" w:lineRule="exact"/>
        <w:rPr>
          <w:sz w:val="20"/>
          <w:szCs w:val="20"/>
          <w:color w:val="auto"/>
        </w:rPr>
      </w:pPr>
    </w:p>
    <w:p>
      <w:pPr>
        <w:ind w:left="1040" w:hanging="419"/>
        <w:spacing w:after="0"/>
        <w:tabs>
          <w:tab w:leader="none" w:pos="1040" w:val="left"/>
        </w:tabs>
        <w:numPr>
          <w:ilvl w:val="0"/>
          <w:numId w:val="8"/>
        </w:numPr>
        <w:rPr>
          <w:rFonts w:ascii="MS PGothic" w:cs="MS PGothic" w:eastAsia="MS PGothic" w:hAnsi="MS PGothic"/>
          <w:sz w:val="12"/>
          <w:szCs w:val="12"/>
          <w:color w:val="auto"/>
        </w:rPr>
      </w:pPr>
      <w:r>
        <w:rPr>
          <w:rFonts w:ascii="Arial" w:cs="Arial" w:eastAsia="Arial" w:hAnsi="Arial"/>
          <w:sz w:val="17"/>
          <w:szCs w:val="17"/>
          <w:color w:val="auto"/>
        </w:rPr>
        <w:t>gives effect to a one-for-8.4335 reverse stock split of our common stock effected on September 25, 2020;</w:t>
      </w:r>
    </w:p>
    <w:p>
      <w:pPr>
        <w:spacing w:after="0" w:line="33" w:lineRule="exact"/>
        <w:rPr>
          <w:rFonts w:ascii="MS PGothic" w:cs="MS PGothic" w:eastAsia="MS PGothic" w:hAnsi="MS PGothic"/>
          <w:sz w:val="12"/>
          <w:szCs w:val="12"/>
          <w:color w:val="auto"/>
        </w:rPr>
      </w:pPr>
    </w:p>
    <w:p>
      <w:pPr>
        <w:ind w:left="1040" w:hanging="419"/>
        <w:spacing w:after="0"/>
        <w:tabs>
          <w:tab w:leader="none" w:pos="1040" w:val="left"/>
        </w:tabs>
        <w:numPr>
          <w:ilvl w:val="0"/>
          <w:numId w:val="8"/>
        </w:numPr>
        <w:rPr>
          <w:rFonts w:ascii="MS PGothic" w:cs="MS PGothic" w:eastAsia="MS PGothic" w:hAnsi="MS PGothic"/>
          <w:sz w:val="12"/>
          <w:szCs w:val="12"/>
          <w:color w:val="auto"/>
        </w:rPr>
      </w:pPr>
      <w:r>
        <w:rPr>
          <w:rFonts w:ascii="Arial" w:cs="Arial" w:eastAsia="Arial" w:hAnsi="Arial"/>
          <w:sz w:val="17"/>
          <w:szCs w:val="17"/>
          <w:color w:val="auto"/>
        </w:rPr>
        <w:t>assumes no exercise of the underwriters’ option to purchase up to 1,323,600 additional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40"/>
          </w:cols>
          <w:pgMar w:left="320" w:top="454" w:right="5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1057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035" cy="10572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40" w:hanging="419"/>
        <w:spacing w:after="0"/>
        <w:tabs>
          <w:tab w:leader="none" w:pos="104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assumes no exercise of the outstanding options and warrants described above;</w:t>
      </w:r>
    </w:p>
    <w:p>
      <w:pPr>
        <w:spacing w:after="0" w:line="33" w:lineRule="exact"/>
        <w:rPr>
          <w:rFonts w:ascii="MS PGothic" w:cs="MS PGothic" w:eastAsia="MS PGothic" w:hAnsi="MS PGothic"/>
          <w:sz w:val="12"/>
          <w:szCs w:val="12"/>
          <w:color w:val="auto"/>
        </w:rPr>
      </w:pPr>
    </w:p>
    <w:p>
      <w:pPr>
        <w:ind w:left="1040" w:hanging="419"/>
        <w:spacing w:after="0" w:line="246" w:lineRule="auto"/>
        <w:tabs>
          <w:tab w:leader="none" w:pos="104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gives effect to the automatic conversion of all of our outstanding shares of preferred stock into an aggregate of 30,355,379 shares of common stock, which will occur upon the completion of this offering and the reclassification of the warrant liability to additional paid-in capital upon the automatic conversion of preferred stock warrants into common stock warrants; and</w:t>
      </w:r>
    </w:p>
    <w:p>
      <w:pPr>
        <w:ind w:left="1040" w:right="160" w:hanging="419"/>
        <w:spacing w:after="0" w:line="269" w:lineRule="auto"/>
        <w:tabs>
          <w:tab w:leader="none" w:pos="104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assumes the filing and effectiveness of our amended and restated certificate of incorporation and the effectiveness of our amended and restated bylaws, which will occur upon the closing of this offering.</w:t>
      </w: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00"/>
          </w:cols>
          <w:pgMar w:left="320" w:top="454" w:right="5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6551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655193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13"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i w:val="1"/>
          <w:iCs w:val="1"/>
          <w:color w:val="auto"/>
        </w:rPr>
        <w:t>You should read the following summary consolidated financial data together with our audited consolidated and unaudited condensed consolidated financial statements and the related notes appearing elsewhere in this prospectus and the “Selected Consolidated Financial Data” and “Management’s Discussion and Analysis of Financial Condition and Results of Operations” sections of this prospectus. We have derived the consolidated statement of operations data for the years ended December 31, 2018 and 2019 from our audited consolidated financial statements appearing elsewhere in this prospectus. The summary unaudited condensed consolidated statement of operations data for the six months ended June 30, 2019 and 2020 and the summary unaudited condensed consolidated balance sheet data as of June 30, 2020 have been derived from our unaudited condensed consolidated financial statements included elsewhere in this prospectus, which have been prepared on the same basis as the audited financial statements. Our historical results are not necessarily indicative of the results that may be expected in the future, and our results for any interim period are not necessarily indicative of results that may be expected for any full year.</w:t>
      </w:r>
    </w:p>
    <w:p>
      <w:pPr>
        <w:spacing w:after="0" w:line="200" w:lineRule="exact"/>
        <w:rPr>
          <w:sz w:val="20"/>
          <w:szCs w:val="20"/>
          <w:color w:val="auto"/>
        </w:rPr>
      </w:pP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4"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6"/>
              <w:spacing w:after="0" w:line="154"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4"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6"/>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jc w:val="center"/>
              <w:ind w:right="16"/>
              <w:spacing w:after="0" w:line="139"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Consolidated statement of operations data:</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spacing w:after="0" w:line="187" w:lineRule="exact"/>
              <w:rPr>
                <w:sz w:val="20"/>
                <w:szCs w:val="20"/>
                <w:color w:val="auto"/>
              </w:rPr>
            </w:pPr>
            <w:r>
              <w:rPr>
                <w:rFonts w:ascii="Arial" w:cs="Arial" w:eastAsia="Arial" w:hAnsi="Arial"/>
                <w:sz w:val="17"/>
                <w:szCs w:val="17"/>
                <w:color w:val="auto"/>
              </w:rPr>
              <w:t>Revenue from collaboration agreements</w:t>
            </w:r>
          </w:p>
        </w:tc>
        <w:tc>
          <w:tcPr>
            <w:tcW w:w="40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7" w:lineRule="exact"/>
              <w:rPr>
                <w:sz w:val="20"/>
                <w:szCs w:val="20"/>
                <w:color w:val="auto"/>
              </w:rPr>
            </w:pPr>
            <w:r>
              <w:rPr>
                <w:rFonts w:ascii="Arial" w:cs="Arial" w:eastAsia="Arial" w:hAnsi="Arial"/>
                <w:sz w:val="17"/>
                <w:szCs w:val="17"/>
                <w:color w:val="auto"/>
              </w:rPr>
              <w:t>19,364</w:t>
            </w:r>
          </w:p>
        </w:tc>
        <w:tc>
          <w:tcPr>
            <w:tcW w:w="160" w:type="dxa"/>
            <w:vAlign w:val="bottom"/>
          </w:tcPr>
          <w:p>
            <w:pPr>
              <w:spacing w:after="0"/>
              <w:rPr>
                <w:sz w:val="16"/>
                <w:szCs w:val="16"/>
                <w:color w:val="auto"/>
              </w:rPr>
            </w:pPr>
          </w:p>
        </w:tc>
        <w:tc>
          <w:tcPr>
            <w:tcW w:w="5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7" w:lineRule="exact"/>
              <w:rPr>
                <w:sz w:val="20"/>
                <w:szCs w:val="20"/>
                <w:color w:val="auto"/>
              </w:rPr>
            </w:pPr>
            <w:r>
              <w:rPr>
                <w:rFonts w:ascii="Arial" w:cs="Arial" w:eastAsia="Arial" w:hAnsi="Arial"/>
                <w:sz w:val="17"/>
                <w:szCs w:val="17"/>
                <w:color w:val="auto"/>
              </w:rPr>
              <w:t>21,381</w:t>
            </w:r>
          </w:p>
        </w:tc>
        <w:tc>
          <w:tcPr>
            <w:tcW w:w="320" w:type="dxa"/>
            <w:vAlign w:val="bottom"/>
          </w:tcPr>
          <w:p>
            <w:pPr>
              <w:spacing w:after="0"/>
              <w:rPr>
                <w:sz w:val="16"/>
                <w:szCs w:val="16"/>
                <w:color w:val="auto"/>
              </w:rPr>
            </w:pPr>
          </w:p>
        </w:tc>
        <w:tc>
          <w:tcPr>
            <w:tcW w:w="38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7" w:lineRule="exact"/>
              <w:rPr>
                <w:sz w:val="20"/>
                <w:szCs w:val="20"/>
                <w:color w:val="auto"/>
              </w:rPr>
            </w:pPr>
            <w:r>
              <w:rPr>
                <w:rFonts w:ascii="Arial" w:cs="Arial" w:eastAsia="Arial" w:hAnsi="Arial"/>
                <w:sz w:val="17"/>
                <w:szCs w:val="17"/>
                <w:color w:val="auto"/>
              </w:rPr>
              <w:t>7,807</w:t>
            </w:r>
          </w:p>
        </w:tc>
        <w:tc>
          <w:tcPr>
            <w:tcW w:w="520" w:type="dxa"/>
            <w:vAlign w:val="bottom"/>
          </w:tcPr>
          <w:p>
            <w:pPr>
              <w:spacing w:after="0"/>
              <w:rPr>
                <w:sz w:val="16"/>
                <w:szCs w:val="16"/>
                <w:color w:val="auto"/>
              </w:rPr>
            </w:pPr>
          </w:p>
        </w:tc>
        <w:tc>
          <w:tcPr>
            <w:tcW w:w="18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7" w:lineRule="exact"/>
              <w:rPr>
                <w:sz w:val="20"/>
                <w:szCs w:val="20"/>
                <w:color w:val="auto"/>
              </w:rPr>
            </w:pPr>
            <w:r>
              <w:rPr>
                <w:rFonts w:ascii="Arial" w:cs="Arial" w:eastAsia="Arial" w:hAnsi="Arial"/>
                <w:sz w:val="17"/>
                <w:szCs w:val="17"/>
                <w:color w:val="auto"/>
              </w:rPr>
              <w:t>16,486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Operating expenses: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ind w:left="220"/>
              <w:spacing w:after="0" w:line="187" w:lineRule="exact"/>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line="187" w:lineRule="exact"/>
              <w:rPr>
                <w:sz w:val="20"/>
                <w:szCs w:val="20"/>
                <w:color w:val="auto"/>
              </w:rPr>
            </w:pPr>
            <w:r>
              <w:rPr>
                <w:rFonts w:ascii="Arial" w:cs="Arial" w:eastAsia="Arial" w:hAnsi="Arial"/>
                <w:sz w:val="17"/>
                <w:szCs w:val="17"/>
                <w:color w:val="auto"/>
              </w:rPr>
              <w:t>7,161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8,774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7"/>
                <w:szCs w:val="17"/>
                <w:color w:val="auto"/>
              </w:rPr>
              <w:t>3,667</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5,611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220"/>
              <w:spacing w:after="0" w:line="187" w:lineRule="exact"/>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28,592</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48,059</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19,093</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34,072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60" w:type="dxa"/>
            <w:vAlign w:val="bottom"/>
          </w:tcPr>
          <w:p>
            <w:pPr>
              <w:ind w:left="480"/>
              <w:spacing w:after="0" w:line="194" w:lineRule="exact"/>
              <w:rPr>
                <w:sz w:val="20"/>
                <w:szCs w:val="20"/>
                <w:color w:val="auto"/>
              </w:rPr>
            </w:pPr>
            <w:r>
              <w:rPr>
                <w:rFonts w:ascii="Arial" w:cs="Arial" w:eastAsia="Arial" w:hAnsi="Arial"/>
                <w:sz w:val="17"/>
                <w:szCs w:val="17"/>
                <w:color w:val="auto"/>
              </w:rPr>
              <w:t>Total operating expenses</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35,753</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56,833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22,760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39,683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Operating loss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(16,389)</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(35,452)</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9"/>
              <w:spacing w:after="0" w:line="187" w:lineRule="exact"/>
              <w:rPr>
                <w:sz w:val="20"/>
                <w:szCs w:val="20"/>
                <w:color w:val="auto"/>
              </w:rPr>
            </w:pPr>
            <w:r>
              <w:rPr>
                <w:rFonts w:ascii="Arial" w:cs="Arial" w:eastAsia="Arial" w:hAnsi="Arial"/>
                <w:sz w:val="17"/>
                <w:szCs w:val="17"/>
                <w:color w:val="auto"/>
              </w:rPr>
              <w:t>(14,953)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(23,197)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spacing w:after="0" w:line="187" w:lineRule="exact"/>
              <w:rPr>
                <w:sz w:val="20"/>
                <w:szCs w:val="20"/>
                <w:color w:val="auto"/>
              </w:rPr>
            </w:pPr>
            <w:r>
              <w:rPr>
                <w:rFonts w:ascii="Arial" w:cs="Arial" w:eastAsia="Arial" w:hAnsi="Arial"/>
                <w:sz w:val="17"/>
                <w:szCs w:val="17"/>
                <w:color w:val="auto"/>
              </w:rPr>
              <w:t>Other income, net: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220"/>
              <w:spacing w:after="0" w:line="187" w:lineRule="exact"/>
              <w:rPr>
                <w:sz w:val="20"/>
                <w:szCs w:val="20"/>
                <w:color w:val="auto"/>
              </w:rPr>
            </w:pPr>
            <w:r>
              <w:rPr>
                <w:rFonts w:ascii="Arial" w:cs="Arial" w:eastAsia="Arial" w:hAnsi="Arial"/>
                <w:sz w:val="17"/>
                <w:szCs w:val="17"/>
                <w:color w:val="auto"/>
              </w:rPr>
              <w:t>Interest income,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685</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1,832</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928</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182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60" w:type="dxa"/>
            <w:vAlign w:val="bottom"/>
          </w:tcPr>
          <w:p>
            <w:pPr>
              <w:ind w:left="220"/>
              <w:spacing w:after="0" w:line="187" w:lineRule="exact"/>
              <w:rPr>
                <w:sz w:val="20"/>
                <w:szCs w:val="20"/>
                <w:color w:val="auto"/>
              </w:rPr>
            </w:pPr>
            <w:r>
              <w:rPr>
                <w:rFonts w:ascii="Arial" w:cs="Arial" w:eastAsia="Arial" w:hAnsi="Arial"/>
                <w:sz w:val="17"/>
                <w:szCs w:val="17"/>
                <w:color w:val="auto"/>
              </w:rPr>
              <w:t>Other (expense) income, net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(7)</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7" w:lineRule="exact"/>
              <w:rPr>
                <w:sz w:val="20"/>
                <w:szCs w:val="20"/>
                <w:color w:val="auto"/>
              </w:rPr>
            </w:pPr>
            <w:r>
              <w:rPr>
                <w:rFonts w:ascii="Arial" w:cs="Arial" w:eastAsia="Arial" w:hAnsi="Arial"/>
                <w:sz w:val="17"/>
                <w:szCs w:val="17"/>
                <w:color w:val="auto"/>
              </w:rPr>
              <w:t>325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7"/>
                <w:szCs w:val="17"/>
                <w:color w:val="auto"/>
              </w:rPr>
              <w:t>293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Total other income, net</w:t>
            </w: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678</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2,157</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1,221</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157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60" w:type="dxa"/>
            <w:vAlign w:val="bottom"/>
          </w:tcPr>
          <w:p>
            <w:pPr>
              <w:spacing w:after="0" w:line="194" w:lineRule="exact"/>
              <w:rPr>
                <w:sz w:val="20"/>
                <w:szCs w:val="20"/>
                <w:color w:val="auto"/>
              </w:rPr>
            </w:pPr>
            <w:r>
              <w:rPr>
                <w:rFonts w:ascii="Arial" w:cs="Arial" w:eastAsia="Arial" w:hAnsi="Arial"/>
                <w:sz w:val="17"/>
                <w:szCs w:val="17"/>
                <w:color w:val="auto"/>
              </w:rPr>
              <w:t>Loss before income taxes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(15,711)</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(33,295)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(13,732)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(23,040)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Income tax (expense) benefit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line="187"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(804)</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9"/>
              <w:spacing w:after="0" w:line="187" w:lineRule="exact"/>
              <w:rPr>
                <w:sz w:val="20"/>
                <w:szCs w:val="20"/>
                <w:color w:val="auto"/>
              </w:rPr>
            </w:pPr>
            <w:r>
              <w:rPr>
                <w:rFonts w:ascii="Arial" w:cs="Arial" w:eastAsia="Arial" w:hAnsi="Arial"/>
                <w:sz w:val="17"/>
                <w:szCs w:val="17"/>
                <w:color w:val="auto"/>
              </w:rPr>
              <w:t>(250)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335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60" w:type="dxa"/>
            <w:vAlign w:val="bottom"/>
          </w:tcPr>
          <w:p>
            <w:pPr>
              <w:spacing w:after="0" w:line="194" w:lineRule="exact"/>
              <w:rPr>
                <w:sz w:val="20"/>
                <w:szCs w:val="20"/>
                <w:color w:val="auto"/>
              </w:rPr>
            </w:pPr>
            <w:r>
              <w:rPr>
                <w:rFonts w:ascii="Arial" w:cs="Arial" w:eastAsia="Arial" w:hAnsi="Arial"/>
                <w:sz w:val="17"/>
                <w:szCs w:val="17"/>
                <w:color w:val="auto"/>
              </w:rPr>
              <w:t>Net loss</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(15,711)</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(34,099)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(13,982)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(22,705)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comprehensive gain (loss):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ind w:left="220"/>
              <w:spacing w:after="0" w:line="187" w:lineRule="exact"/>
              <w:rPr>
                <w:sz w:val="20"/>
                <w:szCs w:val="20"/>
                <w:color w:val="auto"/>
              </w:rPr>
            </w:pPr>
            <w:r>
              <w:rPr>
                <w:rFonts w:ascii="Arial" w:cs="Arial" w:eastAsia="Arial" w:hAnsi="Arial"/>
                <w:sz w:val="17"/>
                <w:szCs w:val="17"/>
                <w:color w:val="auto"/>
              </w:rPr>
              <w:t>Unrealized gain (loss) on investments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line="187" w:lineRule="exact"/>
              <w:rPr>
                <w:sz w:val="20"/>
                <w:szCs w:val="20"/>
                <w:color w:val="auto"/>
              </w:rPr>
            </w:pPr>
            <w:r>
              <w:rPr>
                <w:rFonts w:ascii="Arial" w:cs="Arial" w:eastAsia="Arial" w:hAnsi="Arial"/>
                <w:sz w:val="17"/>
                <w:szCs w:val="17"/>
                <w:color w:val="auto"/>
              </w:rPr>
              <w:t>46</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89"/>
              <w:spacing w:after="0" w:line="187" w:lineRule="exact"/>
              <w:rPr>
                <w:sz w:val="20"/>
                <w:szCs w:val="20"/>
                <w:color w:val="auto"/>
              </w:rPr>
            </w:pPr>
            <w:r>
              <w:rPr>
                <w:rFonts w:ascii="Arial" w:cs="Arial" w:eastAsia="Arial" w:hAnsi="Arial"/>
                <w:sz w:val="17"/>
                <w:szCs w:val="17"/>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9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Comprehensive loss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(15,665)</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(34,099)</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9"/>
              <w:spacing w:after="0" w:line="187" w:lineRule="exact"/>
              <w:rPr>
                <w:sz w:val="20"/>
                <w:szCs w:val="20"/>
                <w:color w:val="auto"/>
              </w:rPr>
            </w:pPr>
            <w:r>
              <w:rPr>
                <w:rFonts w:ascii="Arial" w:cs="Arial" w:eastAsia="Arial" w:hAnsi="Arial"/>
                <w:sz w:val="17"/>
                <w:szCs w:val="17"/>
                <w:color w:val="auto"/>
              </w:rPr>
              <w:t>(13,986)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(22,707)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spacing w:after="0" w:line="187" w:lineRule="exact"/>
              <w:rPr>
                <w:sz w:val="20"/>
                <w:szCs w:val="20"/>
                <w:color w:val="auto"/>
              </w:rPr>
            </w:pPr>
            <w:r>
              <w:rPr>
                <w:rFonts w:ascii="Arial" w:cs="Arial" w:eastAsia="Arial" w:hAnsi="Arial"/>
                <w:sz w:val="17"/>
                <w:szCs w:val="17"/>
                <w:color w:val="auto"/>
              </w:rPr>
              <w:t>Accrual of preferred stock dividends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(8,396)</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(8,468)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89"/>
              <w:spacing w:after="0" w:line="187" w:lineRule="exact"/>
              <w:rPr>
                <w:sz w:val="20"/>
                <w:szCs w:val="20"/>
                <w:color w:val="auto"/>
              </w:rPr>
            </w:pPr>
            <w:r>
              <w:rPr>
                <w:rFonts w:ascii="Arial" w:cs="Arial" w:eastAsia="Arial" w:hAnsi="Arial"/>
                <w:sz w:val="17"/>
                <w:szCs w:val="17"/>
                <w:color w:val="auto"/>
              </w:rPr>
              <w:t>(4,199)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(5,019)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9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loss attributable to common stockholders</w:t>
            </w:r>
          </w:p>
        </w:tc>
        <w:tc>
          <w:tcPr>
            <w:tcW w:w="40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(24,107)</w:t>
            </w:r>
          </w:p>
        </w:tc>
        <w:tc>
          <w:tcPr>
            <w:tcW w:w="5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(42,567)</w:t>
            </w:r>
          </w:p>
        </w:tc>
        <w:tc>
          <w:tcPr>
            <w:tcW w:w="38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89"/>
              <w:spacing w:after="0" w:line="187" w:lineRule="exact"/>
              <w:rPr>
                <w:sz w:val="20"/>
                <w:szCs w:val="20"/>
                <w:color w:val="auto"/>
              </w:rPr>
            </w:pPr>
            <w:r>
              <w:rPr>
                <w:rFonts w:ascii="Arial" w:cs="Arial" w:eastAsia="Arial" w:hAnsi="Arial"/>
                <w:sz w:val="17"/>
                <w:szCs w:val="17"/>
                <w:color w:val="auto"/>
              </w:rPr>
              <w:t>(18,181)</w:t>
            </w:r>
          </w:p>
        </w:tc>
        <w:tc>
          <w:tcPr>
            <w:tcW w:w="18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(27,724)</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line="193" w:lineRule="exact"/>
              <w:rPr>
                <w:sz w:val="20"/>
                <w:szCs w:val="20"/>
                <w:color w:val="auto"/>
              </w:rPr>
            </w:pPr>
            <w:r>
              <w:rPr>
                <w:rFonts w:ascii="Arial" w:cs="Arial" w:eastAsia="Arial" w:hAnsi="Arial"/>
                <w:sz w:val="17"/>
                <w:szCs w:val="17"/>
                <w:color w:val="auto"/>
              </w:rPr>
              <w:t>Net loss per share attributable to common stockholders—basic</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9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220"/>
              <w:spacing w:after="0"/>
              <w:rPr>
                <w:sz w:val="20"/>
                <w:szCs w:val="20"/>
                <w:color w:val="auto"/>
              </w:rPr>
            </w:pPr>
            <w:r>
              <w:rPr>
                <w:rFonts w:ascii="Arial" w:cs="Arial" w:eastAsia="Arial" w:hAnsi="Arial"/>
                <w:sz w:val="17"/>
                <w:szCs w:val="17"/>
                <w:color w:val="auto"/>
              </w:rPr>
              <w:t xml:space="preserve">and diluted </w:t>
            </w:r>
            <w:r>
              <w:rPr>
                <w:rFonts w:ascii="Arial" w:cs="Arial" w:eastAsia="Arial" w:hAnsi="Arial"/>
                <w:sz w:val="14"/>
                <w:szCs w:val="14"/>
                <w:color w:val="auto"/>
              </w:rPr>
              <w:t>(1)</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(18.64)</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(31.03)</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89"/>
              <w:spacing w:after="0"/>
              <w:rPr>
                <w:sz w:val="20"/>
                <w:szCs w:val="20"/>
                <w:color w:val="auto"/>
              </w:rPr>
            </w:pPr>
            <w:r>
              <w:rPr>
                <w:rFonts w:ascii="Arial" w:cs="Arial" w:eastAsia="Arial" w:hAnsi="Arial"/>
                <w:sz w:val="17"/>
                <w:szCs w:val="17"/>
                <w:color w:val="auto"/>
              </w:rPr>
              <w:t>(13.53)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4960" w:type="dxa"/>
            <w:vAlign w:val="bottom"/>
            <w:shd w:val="clear" w:color="auto" w:fill="CCEEFF"/>
          </w:tcPr>
          <w:p>
            <w:pPr>
              <w:spacing w:after="0" w:line="153" w:lineRule="exact"/>
              <w:rPr>
                <w:sz w:val="20"/>
                <w:szCs w:val="20"/>
                <w:color w:val="auto"/>
              </w:rPr>
            </w:pPr>
            <w:r>
              <w:rPr>
                <w:rFonts w:ascii="Arial" w:cs="Arial" w:eastAsia="Arial" w:hAnsi="Arial"/>
                <w:sz w:val="17"/>
                <w:szCs w:val="17"/>
                <w:color w:val="auto"/>
              </w:rPr>
              <w:t>Weighted-average common shares outstanding—basic and</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diluted </w:t>
            </w:r>
            <w:r>
              <w:rPr>
                <w:rFonts w:ascii="Arial" w:cs="Arial" w:eastAsia="Arial" w:hAnsi="Arial"/>
                <w:sz w:val="14"/>
                <w:szCs w:val="14"/>
                <w:color w:val="auto"/>
              </w:rPr>
              <w:t>(1)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1,293,103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1,371,905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1,343,739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1,469,571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line="193" w:lineRule="exact"/>
              <w:rPr>
                <w:sz w:val="20"/>
                <w:szCs w:val="20"/>
                <w:color w:val="auto"/>
              </w:rPr>
            </w:pPr>
            <w:r>
              <w:rPr>
                <w:rFonts w:ascii="Arial" w:cs="Arial" w:eastAsia="Arial" w:hAnsi="Arial"/>
                <w:sz w:val="17"/>
                <w:szCs w:val="17"/>
                <w:color w:val="auto"/>
              </w:rPr>
              <w:t>Pro forma net loss per share attributable to common</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9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220"/>
              <w:spacing w:after="0"/>
              <w:rPr>
                <w:sz w:val="20"/>
                <w:szCs w:val="20"/>
                <w:color w:val="auto"/>
              </w:rPr>
            </w:pPr>
            <w:r>
              <w:rPr>
                <w:rFonts w:ascii="Arial" w:cs="Arial" w:eastAsia="Arial" w:hAnsi="Arial"/>
                <w:sz w:val="17"/>
                <w:szCs w:val="17"/>
                <w:color w:val="auto"/>
              </w:rPr>
              <w:t xml:space="preserve">stockholders—basic and diluted (unaudited) </w:t>
            </w:r>
            <w:r>
              <w:rPr>
                <w:rFonts w:ascii="Arial" w:cs="Arial" w:eastAsia="Arial" w:hAnsi="Arial"/>
                <w:sz w:val="14"/>
                <w:szCs w:val="14"/>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4960" w:type="dxa"/>
            <w:vAlign w:val="bottom"/>
            <w:shd w:val="clear" w:color="auto" w:fill="CCEEFF"/>
          </w:tcPr>
          <w:p>
            <w:pPr>
              <w:spacing w:after="0" w:line="153" w:lineRule="exact"/>
              <w:rPr>
                <w:sz w:val="20"/>
                <w:szCs w:val="20"/>
                <w:color w:val="auto"/>
              </w:rPr>
            </w:pPr>
            <w:r>
              <w:rPr>
                <w:rFonts w:ascii="Arial" w:cs="Arial" w:eastAsia="Arial" w:hAnsi="Arial"/>
                <w:sz w:val="17"/>
                <w:szCs w:val="17"/>
                <w:color w:val="auto"/>
              </w:rPr>
              <w:t>Pro forma weighted-average common shares outstanding—</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basic and diluted (unaudited) </w:t>
            </w:r>
            <w:r>
              <w:rPr>
                <w:rFonts w:ascii="Arial" w:cs="Arial" w:eastAsia="Arial" w:hAnsi="Arial"/>
                <w:sz w:val="14"/>
                <w:szCs w:val="14"/>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8"/>
              </w:rPr>
              <w:t>14,788,060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17,233,018</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620" w:right="220" w:hanging="294"/>
        <w:spacing w:after="0" w:line="213" w:lineRule="auto"/>
        <w:tabs>
          <w:tab w:leader="none" w:pos="62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consolidated financial statements appearing elsewhere in this prospectus for details on the calculation of basic and diluted net loss per share attributable to common stockholders for the years ended December 31, 2018 and 2019 and Note 12 to our unaudited condensed consolidated financial statements appearing elsewhere in this prospectus for details on the calculation of basic and diluted net loss per share attributable to common stockholders for the six-month periods ended June 30, 2019 and 2020.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60"/>
          </w:cols>
          <w:pgMar w:left="320" w:top="454" w:right="5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4606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035" cy="460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AS OF JUNE 30, 2020</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ACTUAL</w:t>
            </w:r>
          </w:p>
        </w:tc>
        <w:tc>
          <w:tcPr>
            <w:tcW w:w="16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 xml:space="preserve">PRO FORMA </w:t>
            </w:r>
            <w:r>
              <w:rPr>
                <w:rFonts w:ascii="Arial" w:cs="Arial" w:eastAsia="Arial" w:hAnsi="Arial"/>
                <w:sz w:val="24"/>
                <w:szCs w:val="24"/>
                <w:b w:val="1"/>
                <w:bCs w:val="1"/>
                <w:color w:val="auto"/>
                <w:vertAlign w:val="superscript"/>
              </w:rPr>
              <w:t>(1)</w:t>
            </w:r>
          </w:p>
        </w:tc>
        <w:tc>
          <w:tcPr>
            <w:tcW w:w="11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PRO FORMA AS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280" w:type="dxa"/>
            <w:vAlign w:val="bottom"/>
            <w:gridSpan w:val="2"/>
          </w:tcPr>
          <w:p>
            <w:pPr>
              <w:jc w:val="right"/>
              <w:ind w:right="200"/>
              <w:spacing w:after="0" w:line="179" w:lineRule="exact"/>
              <w:rPr>
                <w:sz w:val="20"/>
                <w:szCs w:val="20"/>
                <w:color w:val="auto"/>
              </w:rPr>
            </w:pPr>
            <w:r>
              <w:rPr>
                <w:rFonts w:ascii="Arial" w:cs="Arial" w:eastAsia="Arial" w:hAnsi="Arial"/>
                <w:sz w:val="12"/>
                <w:szCs w:val="12"/>
                <w:b w:val="1"/>
                <w:bCs w:val="1"/>
                <w:color w:val="auto"/>
              </w:rPr>
              <w:t xml:space="preserve">ADJUSTED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39"/>
        </w:trPr>
        <w:tc>
          <w:tcPr>
            <w:tcW w:w="5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center"/>
              <w:ind w:left="36"/>
              <w:spacing w:after="0" w:line="139" w:lineRule="exact"/>
              <w:rPr>
                <w:sz w:val="20"/>
                <w:szCs w:val="20"/>
                <w:color w:val="auto"/>
              </w:rPr>
            </w:pPr>
            <w:r>
              <w:rPr>
                <w:rFonts w:ascii="Arial" w:cs="Arial" w:eastAsia="Arial" w:hAnsi="Arial"/>
                <w:sz w:val="14"/>
                <w:szCs w:val="14"/>
                <w:b w:val="1"/>
                <w:bCs w:val="1"/>
                <w:color w:val="auto"/>
                <w:w w:val="99"/>
              </w:rPr>
              <w:t>(unaudited)</w:t>
            </w: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tcPr>
          <w:p>
            <w:pPr>
              <w:jc w:val="center"/>
              <w:ind w:left="36"/>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balance sheet data:</w:t>
            </w: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0" w:type="dxa"/>
            <w:vAlign w:val="bottom"/>
          </w:tcPr>
          <w:p>
            <w:pPr>
              <w:spacing w:after="0" w:line="201" w:lineRule="exact"/>
              <w:rPr>
                <w:sz w:val="20"/>
                <w:szCs w:val="20"/>
                <w:color w:val="auto"/>
              </w:rPr>
            </w:pPr>
            <w:r>
              <w:rPr>
                <w:rFonts w:ascii="Arial" w:cs="Arial" w:eastAsia="Arial" w:hAnsi="Arial"/>
                <w:sz w:val="18"/>
                <w:szCs w:val="18"/>
                <w:color w:val="auto"/>
              </w:rPr>
              <w:t>Cash and cash equivalents and short-term investments</w:t>
            </w:r>
          </w:p>
        </w:tc>
        <w:tc>
          <w:tcPr>
            <w:tcW w:w="230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$ 211,594</w:t>
            </w:r>
          </w:p>
        </w:tc>
        <w:tc>
          <w:tcPr>
            <w:tcW w:w="1680" w:type="dxa"/>
            <w:vAlign w:val="bottom"/>
          </w:tcPr>
          <w:p>
            <w:pPr>
              <w:jc w:val="right"/>
              <w:ind w:right="316"/>
              <w:spacing w:after="0" w:line="201" w:lineRule="exact"/>
              <w:rPr>
                <w:sz w:val="20"/>
                <w:szCs w:val="20"/>
                <w:color w:val="auto"/>
              </w:rPr>
            </w:pPr>
            <w:r>
              <w:rPr>
                <w:rFonts w:ascii="Arial" w:cs="Arial" w:eastAsia="Arial" w:hAnsi="Arial"/>
                <w:sz w:val="18"/>
                <w:szCs w:val="18"/>
                <w:color w:val="auto"/>
              </w:rPr>
              <w:t>$216,094</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$351,882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(3)</w:t>
            </w:r>
          </w:p>
        </w:tc>
        <w:tc>
          <w:tcPr>
            <w:tcW w:w="230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188,304</w:t>
            </w:r>
          </w:p>
        </w:tc>
        <w:tc>
          <w:tcPr>
            <w:tcW w:w="1680" w:type="dxa"/>
            <w:vAlign w:val="bottom"/>
            <w:shd w:val="clear" w:color="auto" w:fill="CCEEFF"/>
          </w:tcPr>
          <w:p>
            <w:pPr>
              <w:jc w:val="right"/>
              <w:ind w:right="316"/>
              <w:spacing w:after="0" w:line="201" w:lineRule="exact"/>
              <w:rPr>
                <w:sz w:val="20"/>
                <w:szCs w:val="20"/>
                <w:color w:val="auto"/>
              </w:rPr>
            </w:pPr>
            <w:r>
              <w:rPr>
                <w:rFonts w:ascii="Arial" w:cs="Arial" w:eastAsia="Arial" w:hAnsi="Arial"/>
                <w:sz w:val="18"/>
                <w:szCs w:val="18"/>
                <w:color w:val="auto"/>
              </w:rPr>
              <w:t>192,804</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328,312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0" w:type="dxa"/>
            <w:vAlign w:val="bottom"/>
          </w:tcPr>
          <w:p>
            <w:pPr>
              <w:spacing w:after="0" w:line="201" w:lineRule="exact"/>
              <w:rPr>
                <w:sz w:val="20"/>
                <w:szCs w:val="20"/>
                <w:color w:val="auto"/>
              </w:rPr>
            </w:pPr>
            <w:r>
              <w:rPr>
                <w:rFonts w:ascii="Arial" w:cs="Arial" w:eastAsia="Arial" w:hAnsi="Arial"/>
                <w:sz w:val="18"/>
                <w:szCs w:val="18"/>
                <w:color w:val="auto"/>
              </w:rPr>
              <w:t>Total assets</w:t>
            </w:r>
          </w:p>
        </w:tc>
        <w:tc>
          <w:tcPr>
            <w:tcW w:w="230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243,567</w:t>
            </w:r>
          </w:p>
        </w:tc>
        <w:tc>
          <w:tcPr>
            <w:tcW w:w="1680" w:type="dxa"/>
            <w:vAlign w:val="bottom"/>
          </w:tcPr>
          <w:p>
            <w:pPr>
              <w:jc w:val="right"/>
              <w:ind w:right="316"/>
              <w:spacing w:after="0" w:line="201" w:lineRule="exact"/>
              <w:rPr>
                <w:sz w:val="20"/>
                <w:szCs w:val="20"/>
                <w:color w:val="auto"/>
              </w:rPr>
            </w:pPr>
            <w:r>
              <w:rPr>
                <w:rFonts w:ascii="Arial" w:cs="Arial" w:eastAsia="Arial" w:hAnsi="Arial"/>
                <w:sz w:val="18"/>
                <w:szCs w:val="18"/>
                <w:color w:val="auto"/>
              </w:rPr>
              <w:t>248,067</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383,575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3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89,302</w:t>
            </w:r>
          </w:p>
        </w:tc>
        <w:tc>
          <w:tcPr>
            <w:tcW w:w="16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89,302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00" w:type="dxa"/>
            <w:vAlign w:val="bottom"/>
          </w:tcPr>
          <w:p>
            <w:pPr>
              <w:spacing w:after="0"/>
              <w:rPr>
                <w:sz w:val="20"/>
                <w:szCs w:val="20"/>
                <w:color w:val="auto"/>
              </w:rPr>
            </w:pPr>
            <w:r>
              <w:rPr>
                <w:rFonts w:ascii="Arial" w:cs="Arial" w:eastAsia="Arial" w:hAnsi="Arial"/>
                <w:sz w:val="17"/>
                <w:szCs w:val="17"/>
                <w:color w:val="auto"/>
              </w:rPr>
              <w:t>Warrant liability</w:t>
            </w:r>
          </w:p>
        </w:tc>
        <w:tc>
          <w:tcPr>
            <w:tcW w:w="230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2,325</w:t>
            </w:r>
          </w:p>
        </w:tc>
        <w:tc>
          <w:tcPr>
            <w:tcW w:w="1680" w:type="dxa"/>
            <w:vAlign w:val="bottom"/>
          </w:tcPr>
          <w:p>
            <w:pPr>
              <w:jc w:val="right"/>
              <w:ind w:right="316"/>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30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9,674</w:t>
            </w:r>
          </w:p>
        </w:tc>
        <w:tc>
          <w:tcPr>
            <w:tcW w:w="1680" w:type="dxa"/>
            <w:vAlign w:val="bottom"/>
            <w:shd w:val="clear" w:color="auto" w:fill="CCEEFF"/>
          </w:tcPr>
          <w:p>
            <w:pPr>
              <w:jc w:val="right"/>
              <w:ind w:right="316"/>
              <w:spacing w:after="0" w:line="201" w:lineRule="exact"/>
              <w:rPr>
                <w:sz w:val="20"/>
                <w:szCs w:val="20"/>
                <w:color w:val="auto"/>
              </w:rPr>
            </w:pPr>
            <w:r>
              <w:rPr>
                <w:rFonts w:ascii="Arial" w:cs="Arial" w:eastAsia="Arial" w:hAnsi="Arial"/>
                <w:sz w:val="18"/>
                <w:szCs w:val="18"/>
                <w:color w:val="auto"/>
              </w:rPr>
              <w:t>9,674</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9,674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0" w:type="dxa"/>
            <w:vAlign w:val="bottom"/>
          </w:tcPr>
          <w:p>
            <w:pPr>
              <w:spacing w:after="0" w:line="201" w:lineRule="exact"/>
              <w:rPr>
                <w:sz w:val="20"/>
                <w:szCs w:val="20"/>
                <w:color w:val="auto"/>
              </w:rPr>
            </w:pPr>
            <w:r>
              <w:rPr>
                <w:rFonts w:ascii="Arial" w:cs="Arial" w:eastAsia="Arial" w:hAnsi="Arial"/>
                <w:sz w:val="18"/>
                <w:szCs w:val="18"/>
                <w:color w:val="auto"/>
              </w:rPr>
              <w:t>Total liabilities</w:t>
            </w:r>
          </w:p>
        </w:tc>
        <w:tc>
          <w:tcPr>
            <w:tcW w:w="230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126,611</w:t>
            </w:r>
          </w:p>
        </w:tc>
        <w:tc>
          <w:tcPr>
            <w:tcW w:w="1680" w:type="dxa"/>
            <w:vAlign w:val="bottom"/>
          </w:tcPr>
          <w:p>
            <w:pPr>
              <w:jc w:val="right"/>
              <w:ind w:right="316"/>
              <w:spacing w:after="0" w:line="201" w:lineRule="exact"/>
              <w:rPr>
                <w:sz w:val="20"/>
                <w:szCs w:val="20"/>
                <w:color w:val="auto"/>
              </w:rPr>
            </w:pPr>
            <w:r>
              <w:rPr>
                <w:rFonts w:ascii="Arial" w:cs="Arial" w:eastAsia="Arial" w:hAnsi="Arial"/>
                <w:sz w:val="18"/>
                <w:szCs w:val="18"/>
                <w:color w:val="auto"/>
              </w:rPr>
              <w:t>124,286</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124,286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convertible preferred stock</w:t>
            </w:r>
          </w:p>
        </w:tc>
        <w:tc>
          <w:tcPr>
            <w:tcW w:w="230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252,021</w:t>
            </w:r>
          </w:p>
        </w:tc>
        <w:tc>
          <w:tcPr>
            <w:tcW w:w="1680" w:type="dxa"/>
            <w:vAlign w:val="bottom"/>
            <w:shd w:val="clear" w:color="auto" w:fill="CCEEFF"/>
          </w:tcPr>
          <w:p>
            <w:pPr>
              <w:jc w:val="right"/>
              <w:ind w:right="316"/>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560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2300" w:type="dxa"/>
            <w:vAlign w:val="bottom"/>
            <w:gridSpan w:val="2"/>
          </w:tcPr>
          <w:p>
            <w:pPr>
              <w:jc w:val="right"/>
              <w:ind w:right="89"/>
              <w:spacing w:after="0" w:line="201" w:lineRule="exact"/>
              <w:rPr>
                <w:sz w:val="20"/>
                <w:szCs w:val="20"/>
                <w:color w:val="auto"/>
              </w:rPr>
            </w:pPr>
            <w:r>
              <w:rPr>
                <w:rFonts w:ascii="Arial" w:cs="Arial" w:eastAsia="Arial" w:hAnsi="Arial"/>
                <w:sz w:val="18"/>
                <w:szCs w:val="18"/>
                <w:color w:val="auto"/>
              </w:rPr>
              <w:t>(140,193)</w:t>
            </w:r>
          </w:p>
        </w:tc>
        <w:tc>
          <w:tcPr>
            <w:tcW w:w="1680" w:type="dxa"/>
            <w:vAlign w:val="bottom"/>
          </w:tcPr>
          <w:p>
            <w:pPr>
              <w:jc w:val="right"/>
              <w:ind w:right="256"/>
              <w:spacing w:after="0" w:line="201" w:lineRule="exact"/>
              <w:rPr>
                <w:sz w:val="20"/>
                <w:szCs w:val="20"/>
                <w:color w:val="auto"/>
              </w:rPr>
            </w:pPr>
            <w:r>
              <w:rPr>
                <w:rFonts w:ascii="Arial" w:cs="Arial" w:eastAsia="Arial" w:hAnsi="Arial"/>
                <w:sz w:val="18"/>
                <w:szCs w:val="18"/>
                <w:color w:val="auto"/>
              </w:rPr>
              <w:t>(140,193)</w:t>
            </w:r>
          </w:p>
        </w:tc>
        <w:tc>
          <w:tcPr>
            <w:tcW w:w="12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(140,193)</w:t>
            </w: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stockholders’ equity (deficit)</w:t>
            </w:r>
          </w:p>
        </w:tc>
        <w:tc>
          <w:tcPr>
            <w:tcW w:w="2300" w:type="dxa"/>
            <w:vAlign w:val="bottom"/>
            <w:gridSpan w:val="2"/>
            <w:shd w:val="clear" w:color="auto" w:fill="CCEEFF"/>
          </w:tcPr>
          <w:p>
            <w:pPr>
              <w:jc w:val="right"/>
              <w:ind w:right="89"/>
              <w:spacing w:after="0" w:line="201" w:lineRule="exact"/>
              <w:rPr>
                <w:sz w:val="20"/>
                <w:szCs w:val="20"/>
                <w:color w:val="auto"/>
              </w:rPr>
            </w:pPr>
            <w:r>
              <w:rPr>
                <w:rFonts w:ascii="Arial" w:cs="Arial" w:eastAsia="Arial" w:hAnsi="Arial"/>
                <w:sz w:val="18"/>
                <w:szCs w:val="18"/>
                <w:color w:val="auto"/>
              </w:rPr>
              <w:t>(135,065)</w:t>
            </w:r>
          </w:p>
        </w:tc>
        <w:tc>
          <w:tcPr>
            <w:tcW w:w="1680" w:type="dxa"/>
            <w:vAlign w:val="bottom"/>
            <w:shd w:val="clear" w:color="auto" w:fill="CCEEFF"/>
          </w:tcPr>
          <w:p>
            <w:pPr>
              <w:jc w:val="right"/>
              <w:ind w:right="316"/>
              <w:spacing w:after="0" w:line="201" w:lineRule="exact"/>
              <w:rPr>
                <w:sz w:val="20"/>
                <w:szCs w:val="20"/>
                <w:color w:val="auto"/>
              </w:rPr>
            </w:pPr>
            <w:r>
              <w:rPr>
                <w:rFonts w:ascii="Arial" w:cs="Arial" w:eastAsia="Arial" w:hAnsi="Arial"/>
                <w:sz w:val="18"/>
                <w:szCs w:val="18"/>
                <w:color w:val="auto"/>
              </w:rPr>
              <w:t>123,781</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259,289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20" w:hanging="254"/>
        <w:spacing w:after="0"/>
        <w:tabs>
          <w:tab w:leader="none" w:pos="620" w:val="left"/>
        </w:tabs>
        <w:numPr>
          <w:ilvl w:val="1"/>
          <w:numId w:val="11"/>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give effect to:</w:t>
      </w:r>
    </w:p>
    <w:p>
      <w:pPr>
        <w:spacing w:after="0" w:line="25" w:lineRule="exact"/>
        <w:rPr>
          <w:rFonts w:ascii="Arial" w:cs="Arial" w:eastAsia="Arial" w:hAnsi="Arial"/>
          <w:sz w:val="24"/>
          <w:szCs w:val="24"/>
          <w:color w:val="auto"/>
          <w:vertAlign w:val="superscript"/>
        </w:rPr>
      </w:pPr>
    </w:p>
    <w:p>
      <w:pPr>
        <w:ind w:left="1040" w:hanging="419"/>
        <w:spacing w:after="0"/>
        <w:tabs>
          <w:tab w:leader="none" w:pos="1040" w:val="left"/>
        </w:tabs>
        <w:numPr>
          <w:ilvl w:val="2"/>
          <w:numId w:val="11"/>
        </w:numPr>
        <w:rPr>
          <w:rFonts w:ascii="MS PGothic" w:cs="MS PGothic" w:eastAsia="MS PGothic" w:hAnsi="MS PGothic"/>
          <w:sz w:val="12"/>
          <w:szCs w:val="12"/>
          <w:color w:val="auto"/>
        </w:rPr>
      </w:pPr>
      <w:r>
        <w:rPr>
          <w:rFonts w:ascii="Arial" w:cs="Arial" w:eastAsia="Arial" w:hAnsi="Arial"/>
          <w:sz w:val="14"/>
          <w:szCs w:val="14"/>
          <w:color w:val="auto"/>
        </w:rPr>
        <w:t>the issuance and sale of shares of our Series B preferred stock for gross proceeds of $4.5 million subsequent to June 30, 2020;</w:t>
      </w:r>
    </w:p>
    <w:p>
      <w:pPr>
        <w:spacing w:after="0" w:line="21" w:lineRule="exact"/>
        <w:rPr>
          <w:rFonts w:ascii="MS PGothic" w:cs="MS PGothic" w:eastAsia="MS PGothic" w:hAnsi="MS PGothic"/>
          <w:sz w:val="12"/>
          <w:szCs w:val="12"/>
          <w:color w:val="auto"/>
        </w:rPr>
      </w:pPr>
    </w:p>
    <w:p>
      <w:pPr>
        <w:ind w:left="1040" w:hanging="419"/>
        <w:spacing w:after="0"/>
        <w:tabs>
          <w:tab w:leader="none" w:pos="1040" w:val="left"/>
        </w:tabs>
        <w:numPr>
          <w:ilvl w:val="2"/>
          <w:numId w:val="11"/>
        </w:numPr>
        <w:rPr>
          <w:rFonts w:ascii="MS PGothic" w:cs="MS PGothic" w:eastAsia="MS PGothic" w:hAnsi="MS PGothic"/>
          <w:sz w:val="12"/>
          <w:szCs w:val="12"/>
          <w:color w:val="auto"/>
        </w:rPr>
      </w:pPr>
      <w:r>
        <w:rPr>
          <w:rFonts w:ascii="Arial" w:cs="Arial" w:eastAsia="Arial" w:hAnsi="Arial"/>
          <w:sz w:val="14"/>
          <w:szCs w:val="14"/>
          <w:color w:val="auto"/>
        </w:rPr>
        <w:t>a one-for-8.4335 reverse stock split of our common stock effected on September 25, 2020; and</w:t>
      </w:r>
    </w:p>
    <w:p>
      <w:pPr>
        <w:spacing w:after="0" w:line="39" w:lineRule="exact"/>
        <w:rPr>
          <w:rFonts w:ascii="MS PGothic" w:cs="MS PGothic" w:eastAsia="MS PGothic" w:hAnsi="MS PGothic"/>
          <w:sz w:val="12"/>
          <w:szCs w:val="12"/>
          <w:color w:val="auto"/>
        </w:rPr>
      </w:pPr>
    </w:p>
    <w:p>
      <w:pPr>
        <w:ind w:left="1040" w:right="240" w:hanging="419"/>
        <w:spacing w:after="0" w:line="257" w:lineRule="auto"/>
        <w:tabs>
          <w:tab w:leader="none" w:pos="1040" w:val="left"/>
        </w:tabs>
        <w:numPr>
          <w:ilvl w:val="2"/>
          <w:numId w:val="11"/>
        </w:numPr>
        <w:rPr>
          <w:rFonts w:ascii="MS PGothic" w:cs="MS PGothic" w:eastAsia="MS PGothic" w:hAnsi="MS PGothic"/>
          <w:sz w:val="12"/>
          <w:szCs w:val="12"/>
          <w:color w:val="auto"/>
        </w:rPr>
      </w:pPr>
      <w:r>
        <w:rPr>
          <w:rFonts w:ascii="Arial" w:cs="Arial" w:eastAsia="Arial" w:hAnsi="Arial"/>
          <w:sz w:val="14"/>
          <w:szCs w:val="14"/>
          <w:color w:val="auto"/>
        </w:rPr>
        <w:t>the automatic conversion of all of our outstanding shares of convertible preferred stock into an aggregate of 30,355,379 shares of common stock, which will occur upon the closing of this offering and the reclassification of the warrant liability to additional paid-in capital upon the automatic conversion of preferred stock warrants into common stock warrants.</w:t>
      </w:r>
    </w:p>
    <w:p>
      <w:pPr>
        <w:spacing w:after="0" w:line="4" w:lineRule="exact"/>
        <w:rPr>
          <w:rFonts w:ascii="MS PGothic" w:cs="MS PGothic" w:eastAsia="MS PGothic" w:hAnsi="MS PGothic"/>
          <w:sz w:val="12"/>
          <w:szCs w:val="12"/>
          <w:color w:val="auto"/>
        </w:rPr>
      </w:pPr>
    </w:p>
    <w:p>
      <w:pPr>
        <w:ind w:left="620" w:right="40" w:hanging="294"/>
        <w:spacing w:after="0" w:line="227" w:lineRule="auto"/>
        <w:tabs>
          <w:tab w:leader="none" w:pos="6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as adjusted balance sheet data give further effect to our issuance and sale of 8,824,000 shares of our common stock in this offering at an assumed initial public offering price of $17.00 per share, which is the midpoint of the price range set forth on the cover page of this prospectus, after deducting estimated underwriting discounts and commissions and estimated offering expenses payable by us. We had incurred $0.3 million of expenses related to this offering as of June 30, 2020, which were reflected as deferred offering costs in our consolidated financial statements. The pro forma as adjusted information discussed above is illustrative only and will depend on the actual initial public offering price and other terms of this offering determined at pricing. A $1.00 increase (decrease) in the assumed initial public offering price of $17.00 per share, which is the midpoint of the price range set forth on the cover page of this prospectus, would increase (decrease) the pro forma as adjusted amount of each of cash and cash equivalents and short-term investments, working capital, total assets and total stockholders’ equity by $8.2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and short-term investments, working capital, total assets and total stockholders’ equity by $15.8 million, assuming no change in the assumed initial public offering price per share and after deducting estimated underwriting discounts and commissions and estimated offering expenses payable by us.</w:t>
      </w:r>
    </w:p>
    <w:p>
      <w:pPr>
        <w:spacing w:after="0" w:line="7" w:lineRule="exact"/>
        <w:rPr>
          <w:rFonts w:ascii="Arial" w:cs="Arial" w:eastAsia="Arial" w:hAnsi="Arial"/>
          <w:sz w:val="24"/>
          <w:szCs w:val="24"/>
          <w:color w:val="auto"/>
          <w:vertAlign w:val="superscript"/>
        </w:rPr>
      </w:pPr>
    </w:p>
    <w:p>
      <w:pPr>
        <w:ind w:left="620" w:hanging="294"/>
        <w:spacing w:after="0" w:line="182" w:lineRule="auto"/>
        <w:tabs>
          <w:tab w:leader="none" w:pos="620" w:val="left"/>
        </w:tabs>
        <w:numPr>
          <w:ilvl w:val="0"/>
          <w:numId w:val="12"/>
        </w:numPr>
        <w:rPr>
          <w:rFonts w:ascii="Arial" w:cs="Arial" w:eastAsia="Arial" w:hAnsi="Arial"/>
          <w:sz w:val="20"/>
          <w:szCs w:val="20"/>
          <w:color w:val="auto"/>
          <w:vertAlign w:val="superscript"/>
        </w:rPr>
      </w:pPr>
      <w:r>
        <w:rPr>
          <w:rFonts w:ascii="Arial" w:cs="Arial" w:eastAsia="Arial" w:hAnsi="Arial"/>
          <w:sz w:val="12"/>
          <w:szCs w:val="12"/>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60"/>
          </w:cols>
          <w:pgMar w:left="320" w:top="454" w:right="5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you make an investment decision. The occurrence of any of the events or developments described below could harm our business, financial condition, results of operations and growth prospects. As a result, the market price of our common stock could decline, and you may lose all or part of your investment in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early stage biopharmaceutical company with a limited operating history and have incurred significant losses since our inception.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to incur losses over at least the next several years and may never achieve or maintain profitability.</w:t>
      </w:r>
    </w:p>
    <w:p>
      <w:pPr>
        <w:spacing w:after="0" w:line="19"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We are an early stage biopharmaceutical company with limited operating history. Our net loss was $22.7 million for the six months ended June 30, 2020, and $34.1 million and $15.7 million for the years ended December 31, 2019 and 2018, respectively. As of June 30, 2020, we had an accumulated deficit of $140.2 million. To date, we have not generated any revenue from product sales and have financed our operations primarily through sales of our equity interests, proceeds from our collaborations and debt financing. We are still in the early stages of development of our product candidates and expect to initiate our first clinical trial in the first half of 2021. As such, we expect that it will be several years, if ever, before we have a product candidate ready for regulatory approval and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without limitation, successfully completing preclinical studies and clinical trials of our product candidates, discovering additional product candidates, establishing arrangements with third parties for the conduct of our clinical trials, procuring clinical- and commercial-scale manufacturing, obtaining marketing approval for our product candidates, manufacturing, marketing and selling any products for which we may obtain marketing approval, identifying collaborators to develop product candidates we identify or additional uses of existing product candidates and successfully completing development of product candidates for our collaboration partners.</w:t>
      </w:r>
    </w:p>
    <w:p>
      <w:pPr>
        <w:spacing w:after="0" w:line="127" w:lineRule="exact"/>
        <w:rPr>
          <w:sz w:val="20"/>
          <w:szCs w:val="20"/>
          <w:color w:val="auto"/>
        </w:rPr>
      </w:pPr>
    </w:p>
    <w:p>
      <w:pPr>
        <w:ind w:right="680"/>
        <w:spacing w:after="0" w:line="271" w:lineRule="auto"/>
        <w:rPr>
          <w:sz w:val="20"/>
          <w:szCs w:val="20"/>
          <w:color w:val="auto"/>
        </w:rPr>
      </w:pPr>
      <w:r>
        <w:rPr>
          <w:rFonts w:ascii="Arial" w:cs="Arial" w:eastAsia="Arial" w:hAnsi="Arial"/>
          <w:sz w:val="17"/>
          <w:szCs w:val="17"/>
          <w:color w:val="auto"/>
        </w:rPr>
        <w:t>We expect to continue to incur significant expenses and increasing operating losses for at least the next several years. We anticipate that our expenses will increase substantially if and as we:</w:t>
      </w:r>
    </w:p>
    <w:p>
      <w:pPr>
        <w:spacing w:after="0" w:line="134" w:lineRule="exact"/>
        <w:rPr>
          <w:sz w:val="20"/>
          <w:szCs w:val="20"/>
          <w:color w:val="auto"/>
        </w:rPr>
      </w:pPr>
    </w:p>
    <w:p>
      <w:pPr>
        <w:ind w:left="880" w:right="380" w:hanging="432"/>
        <w:spacing w:after="0" w:line="255" w:lineRule="auto"/>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initiate a planned first-in-human Phase 1/2 clinical trial of our lead product candidate, CFT7455, in patients with MM or NHLs, such as PTCL and MCL;</w:t>
      </w:r>
    </w:p>
    <w:p>
      <w:pPr>
        <w:spacing w:after="0" w:line="1" w:lineRule="exact"/>
        <w:rPr>
          <w:rFonts w:ascii="MS PGothic" w:cs="MS PGothic" w:eastAsia="MS PGothic" w:hAnsi="MS PGothic"/>
          <w:sz w:val="12"/>
          <w:szCs w:val="12"/>
          <w:color w:val="auto"/>
        </w:rPr>
      </w:pPr>
    </w:p>
    <w:p>
      <w:pPr>
        <w:ind w:left="880" w:right="100" w:hanging="432"/>
        <w:spacing w:after="0" w:line="254" w:lineRule="auto"/>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initiate a planned first-in-human Phase 1/2 clinical trial of our second lead product candidate, CFT8634, in patients with synovial sarcoma or SMARCB1-deleted solid tumors;</w:t>
      </w:r>
    </w:p>
    <w:p>
      <w:pPr>
        <w:ind w:left="880" w:hanging="432"/>
        <w:spacing w:after="0"/>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leverage our TORPEDO platform to identify and then advance additional product candidates into preclinical and clinical development;</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expand the capabilities of our TORPEDO platform;</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initiate, conduct and successfully complete later-stage clinical trials;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seek marketing approvals for any product candidates that successfully complete clinical trials;</w:t>
      </w:r>
    </w:p>
    <w:p>
      <w:pPr>
        <w:spacing w:after="0" w:line="31" w:lineRule="exact"/>
        <w:rPr>
          <w:rFonts w:ascii="MS PGothic" w:cs="MS PGothic" w:eastAsia="MS PGothic" w:hAnsi="MS PGothic"/>
          <w:sz w:val="12"/>
          <w:szCs w:val="12"/>
          <w:color w:val="auto"/>
        </w:rPr>
      </w:pPr>
    </w:p>
    <w:p>
      <w:pPr>
        <w:ind w:left="880" w:right="300" w:hanging="432"/>
        <w:spacing w:after="0" w:line="254" w:lineRule="auto"/>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ultimately establish a sales, marketing and distribution infrastructure and scale up external manufacturing capabilities to commercialize any products for which we may obtain marketing approval;</w:t>
      </w:r>
    </w:p>
    <w:p>
      <w:pPr>
        <w:ind w:left="880" w:hanging="432"/>
        <w:spacing w:after="0"/>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expand, maintain and protect our intellectual property portfolio;</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hire additional clinical, regulatory and scientific personnel; and</w:t>
      </w:r>
    </w:p>
    <w:p>
      <w:pPr>
        <w:spacing w:after="0" w:line="31" w:lineRule="exact"/>
        <w:rPr>
          <w:rFonts w:ascii="MS PGothic" w:cs="MS PGothic" w:eastAsia="MS PGothic" w:hAnsi="MS PGothic"/>
          <w:sz w:val="12"/>
          <w:szCs w:val="12"/>
          <w:color w:val="auto"/>
        </w:rPr>
      </w:pPr>
    </w:p>
    <w:p>
      <w:pPr>
        <w:ind w:left="880" w:right="100" w:hanging="432"/>
        <w:spacing w:after="0" w:line="269" w:lineRule="auto"/>
        <w:tabs>
          <w:tab w:leader="none" w:pos="88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add operational, financial and management information systems and personnel, including personnel to support our ongoing research and development and potential future commercialization efforts.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454"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Further, following the closing of this offering, we expect to incur additional costs associated with operating as a public company, including significant legal, accounting, insurance, investor relations and other expenses that we did not incur as a private company.</w:t>
      </w:r>
    </w:p>
    <w:p>
      <w:pPr>
        <w:spacing w:after="0" w:line="94"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Our expenses could increase beyond our expectations if we are required by the FDA, the European Medicines Agency, or EMA, or other regulatory authorities to perform trials in addition to those that we currently expect, or if we experience any delays in establishing appropriate manufacturing arrangements for, completing our clinical trials or the clinical development of any of our product candidates.</w:t>
      </w:r>
    </w:p>
    <w:p>
      <w:pPr>
        <w:spacing w:after="0" w:line="11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expand our business or continue operations. A decline in the value of our company, or in the value of our common stock, could also cause you to lose all or part of your investment.</w:t>
      </w:r>
    </w:p>
    <w:p>
      <w:pPr>
        <w:spacing w:after="0" w:line="121"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3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i w:val="1"/>
          <w:iCs w:val="1"/>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ind w:right="180"/>
        <w:spacing w:after="0" w:line="248"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prepare for and initiate our planned first-in-human Phase 1/2 clinical trials of CFT7455 and CFT8634, advance our TORPEDO platform and continue research and development and initiate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1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had cash and cash equivalents and short term investments of $211.6 million as of June 30, 2020. We believe that these funds, combined with the proceeds from the Series B Financing of $4.5 million received in July 2020, anticipated payments from collaboration partners and the net proceeds from this offering, will be sufficient to fund our operating expenses and capital expenditure requirements through the second quarter of 2023. We have based this estimate on assumptions that may prove to be wrong and we could use our capital resources sooner than we currently expect. Our future capital requirements will depend on many factors, including:</w:t>
      </w:r>
    </w:p>
    <w:p>
      <w:pPr>
        <w:spacing w:after="0" w:line="159" w:lineRule="exact"/>
        <w:rPr>
          <w:sz w:val="20"/>
          <w:szCs w:val="20"/>
          <w:color w:val="auto"/>
        </w:rPr>
      </w:pPr>
    </w:p>
    <w:p>
      <w:pPr>
        <w:ind w:left="880" w:right="280" w:hanging="432"/>
        <w:spacing w:after="0" w:line="255" w:lineRule="auto"/>
        <w:tabs>
          <w:tab w:leader="none" w:pos="88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the progress, costs and results of our planned first-in-human Phase 1/2 clinical trials for CFT7455 and CFT8634 and any future clinical development of CFT7455 and CFT8634;</w:t>
      </w:r>
    </w:p>
    <w:p>
      <w:pPr>
        <w:spacing w:after="0" w:line="1" w:lineRule="exact"/>
        <w:rPr>
          <w:rFonts w:ascii="MS PGothic" w:cs="MS PGothic" w:eastAsia="MS PGothic" w:hAnsi="MS PGothic"/>
          <w:sz w:val="12"/>
          <w:szCs w:val="12"/>
          <w:color w:val="auto"/>
        </w:rPr>
      </w:pPr>
    </w:p>
    <w:p>
      <w:pPr>
        <w:ind w:left="880" w:hanging="432"/>
        <w:spacing w:after="0"/>
        <w:tabs>
          <w:tab w:leader="none" w:pos="880" w:val="left"/>
        </w:tabs>
        <w:numPr>
          <w:ilvl w:val="0"/>
          <w:numId w:val="14"/>
        </w:numPr>
        <w:rPr>
          <w:rFonts w:ascii="MS PGothic" w:cs="MS PGothic" w:eastAsia="MS PGothic" w:hAnsi="MS PGothic"/>
          <w:sz w:val="12"/>
          <w:szCs w:val="12"/>
          <w:color w:val="auto"/>
        </w:rPr>
      </w:pPr>
      <w:r>
        <w:rPr>
          <w:rFonts w:ascii="Arial" w:cs="Arial" w:eastAsia="Arial" w:hAnsi="Arial"/>
          <w:sz w:val="16"/>
          <w:szCs w:val="16"/>
          <w:color w:val="auto"/>
        </w:rPr>
        <w:t>the scope, progress, costs and results of preclinical and clinical development for our other product candidates and development programs;</w:t>
      </w:r>
    </w:p>
    <w:p>
      <w:pPr>
        <w:spacing w:after="0" w:line="43" w:lineRule="exact"/>
        <w:rPr>
          <w:rFonts w:ascii="MS PGothic" w:cs="MS PGothic" w:eastAsia="MS PGothic" w:hAnsi="MS PGothic"/>
          <w:sz w:val="12"/>
          <w:szCs w:val="12"/>
          <w:color w:val="auto"/>
        </w:rPr>
      </w:pPr>
    </w:p>
    <w:p>
      <w:pPr>
        <w:ind w:left="880" w:hanging="432"/>
        <w:spacing w:after="0"/>
        <w:tabs>
          <w:tab w:leader="none" w:pos="88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the number and development requirements of other product candidates that we pursue;</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the success of our ongoing collaborations with Biogen, Roche and Calico;</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the costs, timing and outcomes of regulatory review of our product candidates;</w:t>
      </w:r>
    </w:p>
    <w:p>
      <w:pPr>
        <w:spacing w:after="0" w:line="31" w:lineRule="exact"/>
        <w:rPr>
          <w:rFonts w:ascii="MS PGothic" w:cs="MS PGothic" w:eastAsia="MS PGothic" w:hAnsi="MS PGothic"/>
          <w:sz w:val="12"/>
          <w:szCs w:val="12"/>
          <w:color w:val="auto"/>
        </w:rPr>
      </w:pPr>
    </w:p>
    <w:p>
      <w:pPr>
        <w:ind w:left="880" w:right="240" w:hanging="432"/>
        <w:spacing w:after="0" w:line="269" w:lineRule="auto"/>
        <w:tabs>
          <w:tab w:leader="none" w:pos="88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320" w:top="454"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right="180" w:hanging="432"/>
        <w:spacing w:after="0" w:line="255" w:lineRule="auto"/>
        <w:tabs>
          <w:tab w:leader="none" w:pos="880" w:val="left"/>
        </w:tabs>
        <w:numPr>
          <w:ilvl w:val="0"/>
          <w:numId w:val="15"/>
        </w:numPr>
        <w:rPr>
          <w:rFonts w:ascii="MS PGothic" w:cs="MS PGothic" w:eastAsia="MS PGothic" w:hAnsi="MS PGothic"/>
          <w:sz w:val="12"/>
          <w:szCs w:val="12"/>
          <w:color w:val="auto"/>
        </w:rPr>
      </w:pPr>
      <w:r>
        <w:rPr>
          <w:rFonts w:ascii="Arial" w:cs="Arial" w:eastAsia="Arial" w:hAnsi="Arial"/>
          <w:sz w:val="17"/>
          <w:szCs w:val="17"/>
          <w:color w:val="auto"/>
        </w:rPr>
        <w:t>the revenue, if any, received from commercial sales of our product candidates for which we receive marketing approval and the timing of the receipt of any such revenue;</w:t>
      </w:r>
    </w:p>
    <w:p>
      <w:pPr>
        <w:spacing w:after="0" w:line="1" w:lineRule="exact"/>
        <w:rPr>
          <w:rFonts w:ascii="MS PGothic" w:cs="MS PGothic" w:eastAsia="MS PGothic" w:hAnsi="MS PGothic"/>
          <w:sz w:val="12"/>
          <w:szCs w:val="12"/>
          <w:color w:val="auto"/>
        </w:rPr>
      </w:pPr>
    </w:p>
    <w:p>
      <w:pPr>
        <w:ind w:left="880" w:right="340" w:hanging="432"/>
        <w:spacing w:after="0" w:line="254" w:lineRule="auto"/>
        <w:tabs>
          <w:tab w:leader="none" w:pos="880" w:val="left"/>
        </w:tabs>
        <w:numPr>
          <w:ilvl w:val="0"/>
          <w:numId w:val="15"/>
        </w:numPr>
        <w:rPr>
          <w:rFonts w:ascii="MS PGothic" w:cs="MS PGothic" w:eastAsia="MS PGothic" w:hAnsi="MS PGothic"/>
          <w:sz w:val="12"/>
          <w:szCs w:val="12"/>
          <w:color w:val="auto"/>
        </w:rPr>
      </w:pPr>
      <w:r>
        <w:rPr>
          <w:rFonts w:ascii="Arial" w:cs="Arial" w:eastAsia="Arial" w:hAnsi="Arial"/>
          <w:sz w:val="17"/>
          <w:szCs w:val="17"/>
          <w:color w:val="auto"/>
        </w:rPr>
        <w:t>any delays or interruptions, including due to the COVID-19 pandemic, that we experience in our preclinical studies, future clinical trials and/or supply chain;</w:t>
      </w:r>
    </w:p>
    <w:p>
      <w:pPr>
        <w:ind w:left="880" w:right="120" w:hanging="432"/>
        <w:spacing w:after="0" w:line="254" w:lineRule="auto"/>
        <w:tabs>
          <w:tab w:leader="none" w:pos="880" w:val="left"/>
        </w:tabs>
        <w:numPr>
          <w:ilvl w:val="0"/>
          <w:numId w:val="15"/>
        </w:numPr>
        <w:rPr>
          <w:rFonts w:ascii="MS PGothic" w:cs="MS PGothic" w:eastAsia="MS PGothic" w:hAnsi="MS PGothic"/>
          <w:sz w:val="12"/>
          <w:szCs w:val="12"/>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ind w:left="880" w:right="180" w:hanging="432"/>
        <w:spacing w:after="0" w:line="269" w:lineRule="auto"/>
        <w:tabs>
          <w:tab w:leader="none" w:pos="880" w:val="left"/>
        </w:tabs>
        <w:numPr>
          <w:ilvl w:val="0"/>
          <w:numId w:val="15"/>
        </w:numPr>
        <w:rPr>
          <w:rFonts w:ascii="MS PGothic" w:cs="MS PGothic" w:eastAsia="MS PGothic" w:hAnsi="MS PGothic"/>
          <w:sz w:val="12"/>
          <w:szCs w:val="12"/>
          <w:color w:val="auto"/>
        </w:rPr>
      </w:pPr>
      <w:r>
        <w:rPr>
          <w:rFonts w:ascii="Arial" w:cs="Arial" w:eastAsia="Arial" w:hAnsi="Arial"/>
          <w:sz w:val="17"/>
          <w:szCs w:val="17"/>
          <w:color w:val="auto"/>
        </w:rPr>
        <w:t>our ability to establish collaboration arrangements with other biotechnology or pharmaceutical companies on favorable terms, if at all, for the development or commercialization of our product candidates.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 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21"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50"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We commenced operations in 2015 and our operations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and establishing arrangements with third parties for the manufacture of initial quantities of our product candidates. All of our product candidates are still in preclinical development. We have not yet demonstrated our ability to successfully initiate or complete any clinical trials, obtain marketing approvals, manufacture a commercial 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w:t>
      </w:r>
    </w:p>
    <w:p>
      <w:pPr>
        <w:spacing w:after="0" w:line="125" w:lineRule="exact"/>
        <w:rPr>
          <w:sz w:val="20"/>
          <w:szCs w:val="20"/>
          <w:color w:val="auto"/>
        </w:rPr>
      </w:pPr>
    </w:p>
    <w:p>
      <w:pPr>
        <w:jc w:val="both"/>
        <w:ind w:right="480"/>
        <w:spacing w:after="0" w:line="250" w:lineRule="auto"/>
        <w:rPr>
          <w:sz w:val="20"/>
          <w:szCs w:val="20"/>
          <w:color w:val="auto"/>
        </w:rPr>
      </w:pPr>
      <w:r>
        <w:rPr>
          <w:rFonts w:ascii="Arial" w:cs="Arial" w:eastAsia="Arial" w:hAnsi="Arial"/>
          <w:sz w:val="17"/>
          <w:szCs w:val="17"/>
          <w:color w:val="auto"/>
        </w:rPr>
        <w:t>In addition, as an early-stage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w:t>
      </w:r>
    </w:p>
    <w:p>
      <w:pPr>
        <w:spacing w:after="0" w:line="11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33" w:lineRule="exact"/>
        <w:rPr>
          <w:sz w:val="20"/>
          <w:szCs w:val="20"/>
          <w:color w:val="auto"/>
        </w:rPr>
      </w:pPr>
    </w:p>
    <w:p>
      <w:pPr>
        <w:ind w:right="1000"/>
        <w:spacing w:after="0" w:line="258" w:lineRule="auto"/>
        <w:rPr>
          <w:sz w:val="20"/>
          <w:szCs w:val="20"/>
          <w:color w:val="auto"/>
        </w:rPr>
      </w:pPr>
      <w:r>
        <w:rPr>
          <w:rFonts w:ascii="Arial" w:cs="Arial" w:eastAsia="Arial" w:hAnsi="Arial"/>
          <w:sz w:val="17"/>
          <w:szCs w:val="17"/>
          <w:b w:val="1"/>
          <w:bCs w:val="1"/>
          <w:i w:val="1"/>
          <w:iCs w:val="1"/>
          <w:color w:val="auto"/>
        </w:rPr>
        <w:t>The ongoing global COVID-19 pandemic could continue to adversely impact our business, including our preclinical studies and development programs, supply chain and business development activities.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COVID-19 pandemic, which began in December 2019, has spread worldwide and caused governments worldwide to implement measures to slow the spread of the outbreak through quarantines, travel restrictions, heightened border scrutiny, business shutdowns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454"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60"/>
        <w:spacing w:after="0" w:line="303" w:lineRule="auto"/>
        <w:rPr>
          <w:sz w:val="20"/>
          <w:szCs w:val="20"/>
          <w:color w:val="auto"/>
        </w:rPr>
      </w:pPr>
      <w:r>
        <w:rPr>
          <w:rFonts w:ascii="Arial" w:cs="Arial" w:eastAsia="Arial" w:hAnsi="Arial"/>
          <w:sz w:val="16"/>
          <w:szCs w:val="16"/>
          <w:color w:val="auto"/>
        </w:rPr>
        <w:t>goods and services, such as travel, has fallen. The future progression of the outbreak and its effects on our business and operations remain uncertain. In addition, any delays in foreign shipments coming into the United States could also impact our preclinical study or clinical trial plans.</w:t>
      </w:r>
    </w:p>
    <w:p>
      <w:pPr>
        <w:spacing w:after="0" w:line="7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and our contract manufacturing organizations, or CMOs, and CROs may face disruptions that could affect our ability to initiate and complete preclinical studies or clinical trials. For example, because of ongoing efforts to address the pandemic, we may face disruptions in procuring items that are essential for our research and development activities, including, due to shortages arising in raw materials used in the manufacturing of our product candidates, laboratory supplies for our preclinical studies and clinical trials or animals that are used for preclinical testing. We and our CROs and CMOs may face disruptions related to our planned future clinical trials arising from potential delays in IND-enabling studies, manufacturing disruptions and/or the ability to obtain necessary institutional review board, or IRB, or other necessary site approvals, as well as other delays at clinical trial sites, including delays related to site staffing.</w:t>
      </w:r>
    </w:p>
    <w:p>
      <w:pPr>
        <w:spacing w:after="0" w:line="12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For example, in March 2020, due to COVID-19, we closed the office and laboratory spaces in our Watertown, Massachusetts facility and transitioned our employees to work from home. During the spring, we also experienced closures at the locations of some of our Indian CROs due to local lockdown requirements. These shutdowns resulted in delays to our preclinical studies. Due to the COVID-19 pandemic, we have also seen the risk of delays in production of components used to manufacture our lead degrader candidates increase due to previous delays at one of our China-based manufacturers, which we believe we have remediated by working with that manufacturer to change the location of future work to another of the manufacturer’s sites. In June 2020, we reopened our office location to enable a subset of our employees—those whose work can only be performed in our laboratories—to return to the office, and we have required our remaining employees to continue working from home. While the ongoing impact of this pandemic is uncertain, we believe the redundancies we have in place between our China and India based CROs and our Watertown, Massachusetts-based laboratory staff, as well as the transition of the majority of our employees to remote work arrangements, have mitigated the impact of these disruptions on our business.</w:t>
      </w:r>
    </w:p>
    <w:p>
      <w:pPr>
        <w:spacing w:after="0" w:line="119" w:lineRule="exact"/>
        <w:rPr>
          <w:sz w:val="20"/>
          <w:szCs w:val="20"/>
          <w:color w:val="auto"/>
        </w:rPr>
      </w:pPr>
    </w:p>
    <w:p>
      <w:pPr>
        <w:ind w:right="300"/>
        <w:spacing w:after="0" w:line="237" w:lineRule="auto"/>
        <w:rPr>
          <w:sz w:val="20"/>
          <w:szCs w:val="20"/>
          <w:color w:val="auto"/>
        </w:rPr>
      </w:pPr>
      <w:r>
        <w:rPr>
          <w:rFonts w:ascii="Arial" w:cs="Arial" w:eastAsia="Arial" w:hAnsi="Arial"/>
          <w:sz w:val="17"/>
          <w:szCs w:val="17"/>
          <w:color w:val="auto"/>
        </w:rPr>
        <w:t>The response to the COVID-19 pandemic may result in the redirection of resources with respect to regulatory and intellectual property matters in a way that would adversely impact our ability to progress regulatory approvals and protect our intellectual property. For example, since March 2020, foreign and domestic inspections by FDA have largely been on hold with FDA announcing plans in July 2020 to resume prioritized domestic inspections. As of June 23, 2020, the FDA also noted that it is continuing to ensure timely reviews of applications for medical products during the COVID-19 pandemic in line with its user fee performance goals, including for oncology product development with its staff teleworking full-time. However, FDA may not be able to continue its current pace and review timelines could be extended. In addition, we may face impediments to regulatory meetings and approvals due to measures intended to limit in-person interactions.</w:t>
      </w:r>
    </w:p>
    <w:p>
      <w:pPr>
        <w:spacing w:after="0" w:line="120" w:lineRule="exact"/>
        <w:rPr>
          <w:sz w:val="20"/>
          <w:szCs w:val="20"/>
          <w:color w:val="auto"/>
        </w:rPr>
      </w:pPr>
    </w:p>
    <w:p>
      <w:pPr>
        <w:jc w:val="both"/>
        <w:ind w:right="40"/>
        <w:spacing w:after="0" w:line="243" w:lineRule="auto"/>
        <w:rPr>
          <w:sz w:val="20"/>
          <w:szCs w:val="20"/>
          <w:color w:val="auto"/>
        </w:rPr>
      </w:pPr>
      <w:r>
        <w:rPr>
          <w:rFonts w:ascii="Arial" w:cs="Arial" w:eastAsia="Arial" w:hAnsi="Arial"/>
          <w:sz w:val="17"/>
          <w:szCs w:val="17"/>
          <w:color w:val="auto"/>
        </w:rPr>
        <w:t>The pandemic has already caused significant disruptions in the financial markets and may continue to cause these types of disruptions, which could impact our ability to raise additional funds through public offerings and may also contribute to volatility in our stock price and otherwise impact trading in our stock. Moreover, it is possible the pandemic will significantly impact economies worldwide, which could adversely affect our business prospects, financial condition and results of operations.</w:t>
      </w:r>
    </w:p>
    <w:p>
      <w:pPr>
        <w:spacing w:after="0" w:line="11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COVID-19 and actions taken to reduce its spread continue to rapidly evolve. The extent to which COVID-19 may impede the development of our product candidates, reduce the productivity of our employees, disrupt our supply chains, delay our pre-clinical studies or clinical trials, reduce our access to capital or limit our business development activities, will depend on future developments, which are highly uncertain and cannot be predicted with confidence. To the extent the COVID-19 pandemic adversely affects our business prospects, financial condition and results of operations, it may also have the effect of heightening many of the other risks described in this “Risk Factors” section, such as those relating to the timing and results of our planned and future clinical trials and our financing needs.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Credit Agreement with Perceptive Credit contains restrictions that limit our flexibility in operating our business.</w:t>
      </w:r>
    </w:p>
    <w:p>
      <w:pPr>
        <w:spacing w:after="0" w:line="3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June 2020, we entered into a credit agreement and guaranty, or the Credit Agreement, with Perceptive Credit Holdings III, LP, or Perceptive Credit, an affiliate of Perceptive Advisors LLC, or Perceptive Advisors. As of June 30,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454"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2020, Perceptive Advisors and Perceptive Credit together beneficially own 8.07% of our common stock on an as-converted basis before giving effect to this offering. The Credit Agreement provides for a $20.0 million senior secured delayed draw term loan facility, or the Delayed Draw Loan Facility. The Credit Agreement is secured by a lien on substantially all of our and our subsidiaries’ assets, including, but not limited to, shares of our subsidiaries, our current and future intellectual property, insurance, trade and intercompany receivables, inventory and equipment and contract rights. The Credit Agreement requires us to meet specified minimum cash requirements, as described below, and contains various affirmative and negative covenants that limit our ability to engage in specified types of transactions. These covenants, which are subject to customary exceptions, limit our ability to, without Perceptive Credit’s prior written consent, effect any of the following, among other things:</w:t>
      </w:r>
    </w:p>
    <w:p>
      <w:pPr>
        <w:spacing w:after="0" w:line="160" w:lineRule="exact"/>
        <w:rPr>
          <w:sz w:val="20"/>
          <w:szCs w:val="20"/>
          <w:color w:val="auto"/>
        </w:rPr>
      </w:pPr>
    </w:p>
    <w:p>
      <w:pPr>
        <w:ind w:left="880" w:hanging="432"/>
        <w:spacing w:after="0"/>
        <w:tabs>
          <w:tab w:leader="none" w:pos="88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sell, lease, transfer or otherwise dispose of certain assets;</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acquire another company or business or enter into a merger or similar transaction with third parties;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incur additional indebtedness;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make investments;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enter into certain inbound and outbound licenses of intellectual property, subject to certain exceptions;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encumber or permit liens on certain assets;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pay dividends and make other restricted payments with respect to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are required to deposit into controlled accounts all cash or other payments received in respect of any and all of our accounts receivable or any other contract or right and interest and, at all times, to maintain a minimum aggregate balance of $3.0 million in cash in one or more such controlled accounts. These accounts are required to be maintained as cash collateral accounts securing our obligations under the Credit Agreement. Until our obligations under the Credit Agreement have been discharged, our ability to use the cash amounts held in these controlled accounts in the operation of our business will be limited.</w:t>
      </w:r>
    </w:p>
    <w:p>
      <w:pPr>
        <w:spacing w:after="0" w:line="119"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Our ability to draw on the Delayed Draw Loan Facility is contingent on our compliance with the covenants described above and certain other covenants, as well as our achievement of designated milestones. If we do not meet these milestones, the inability to draw on the Delayed Draw Loan Facility may adversely affect our business prospects, financial condition and results of operations.</w:t>
      </w:r>
    </w:p>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board of directors or management team could believe that taking any one of these actions would be in our best interests and the best interests of our stockholders. If that were the case and if we are unable to complete any of these actions because Perceptive Credit does not provide its consent, it could adversely impact our business, financial condition and results of operations. In the event of a default, including, among other things, our failure to make any payment when due or our failure to comply with any provision of the Credit Agreement, subject to customary grace periods, Perceptive Credit could elect to declare all amounts outstanding to be immediately due and payable and terminate all commitments to extend further credit. If we are unable to repay the amounts due under the Credit Agreement, Perceptive Credit could proceed against the collateral granted to it to secure this indebtedness, which could have an adverse effect on our business, financial condition and results of operations.</w:t>
      </w:r>
    </w:p>
    <w:p>
      <w:pPr>
        <w:spacing w:after="0" w:line="120"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color w:val="auto"/>
        </w:rPr>
        <w:t>Perceptive Credit’s interests as a lender may not always be aligned with our interests or with Perceptive Advisor’s interests as a stockholder. If our interests come into conflict with those of Perceptive Credit, including in the event of a default under the Credit Agreement, Perceptive Credit may choose to act in its self-interest, which could adversely affect the success of our current and future collaborative efforts with Perceptive Advisor.</w:t>
      </w:r>
    </w:p>
    <w:p>
      <w:pPr>
        <w:spacing w:after="0" w:line="16" w:lineRule="exact"/>
        <w:rPr>
          <w:sz w:val="20"/>
          <w:szCs w:val="20"/>
          <w:color w:val="auto"/>
        </w:rPr>
      </w:pPr>
    </w:p>
    <w:p>
      <w:pPr>
        <w:ind w:right="540"/>
        <w:spacing w:after="0" w:line="258"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Until the time, if ever, when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Biogen, Roche and Calico, we do not currently have any committed external source of funds. To the extent that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454"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may involve agreements that include covenants limiting or restricting our ability to take specific actions, such as incurring additional debt, making acquisitions or capital expenditures or declaring dividends. Pursuant to the Credit Agreement, we granted Perceptive Credit a warrant to purchase 338,784 shares of our Series B preferred stock, which will be exercisable for our common stock on an as-converted basis upon the completion of this offering. Covenants in the Credit Agreement impose certain limitations and obligations on us, including restrictions on our ability to incur additional debt and to enter into certain business combinations without Perceptive Credit’s prior written consent.</w:t>
      </w:r>
    </w:p>
    <w:p>
      <w:pPr>
        <w:spacing w:after="0" w:line="119"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73"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b w:val="1"/>
          <w:bCs w:val="1"/>
          <w:i w:val="1"/>
          <w:iCs w:val="1"/>
          <w:color w:val="auto"/>
        </w:rPr>
        <w:t>Our approach to the discovery and development of product candidates based on our TORPEDO platform for targeted protein degradation is unproven, which makes it difficult to predict the time, cost of development and likelihood of successfully developing any products.</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Treating diseases using targeted protein degradation is a new treatment modality. Our future success depends on the successful development of this novel therapeutic approach. Very few small molecule product candidates using targeted protein degradation, such as those developed through our TORPEDO platform, have been tested in humans. None have been approved in the United States or Europe, and the data underlying the feasibility of developing these types of therapeutic products is both preliminary and limited. If any adverse learnings are made by other developers of chimeric targeting molecules, there is a risk that 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w:t>
      </w:r>
    </w:p>
    <w:p>
      <w:pPr>
        <w:spacing w:after="0" w:line="12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scientific research that forms the basis of our efforts to develop our degrader product candidates under our TORPEDO platform is ongoing and the scientific evidence to support the feasibility of developing TORPEDO platform-derived therapeutic treatments is both preliminary and limited. Further, certain cancer patients have shown inherent primary resistance to approved drugs that inhibit disease-causing proteins and other patients have developed acquired secondary resistance to these inhibitors. Although we believe our products candidates may have the ability to degrade the specific mutations that confer resistance to currently marketed inhibitors of disease-causing enzymes, any inherent primary or acquired secondary resistance to our product candidates in patients, or if the research proves to be contradicted, would prevent or diminish their clinical benefit.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We have not yet initiated a clinical trial of any product candidate and we have not yet assessed the safety of any of our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11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Additionally, the regulatory approval process for novel product candidates such as ours can be more expensive and take longer than for other, better-known or extensively studied product candidates. Although other companies are also developing therapeutics based on targeted protein degradation, no regulatory authority has granted approval for any therapeutic of this nature at this time. As a result, it is more difficult for us to predict the time and cost of developing our product candidates and we cannot predict whether the application of our TORPEDO platform, or any similar or competitive protein degradation platforms, will result in the development of product candidates that make it through to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320" w:top="454" w:right="3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i w:val="1"/>
          <w:iCs w:val="1"/>
          <w:color w:val="auto"/>
        </w:rPr>
        <w:t>We are an early stage biotechnology company and all of our product candidates are currently in preclinical development. If we are unable to advance to clinical development, develop, obtain regulatory approval for and commercialize our product candidates or experience significant delays in doing so, our business may be materially harmed.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are an early stage biotechnology company and all of our product candidates are currently in preclinical development. As a result, their risk of failure is high. We have invested substantially all of our efforts and financial resources in building our TORPEDO platform and identifying and conducting preclinical development of our current product candidates, including CFT7455 and CFT8634. Our ability to generate revenue from product sales, which we do not expect will occur for many years, if ever, will depend heavily on the successful development and eventual commercialization of one or more of our product candidates. The success of our product candidates will depend on several factors, including the following:</w:t>
      </w:r>
    </w:p>
    <w:p>
      <w:pPr>
        <w:spacing w:after="0" w:line="149" w:lineRule="exact"/>
        <w:rPr>
          <w:sz w:val="20"/>
          <w:szCs w:val="20"/>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sufficiency of our financial and other resources;</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successful initiations and completion of preclinical studies;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successful submission of INDs and initiation of clinical trials;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successful patient enrollment in, and conduct and completion of, clinical trials;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receipt and related terms of marketing approvals from applicable regulatory authorities;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obtaining and maintaining patent or trade secret protection and regulatory exclusivity for our product candidates;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making arrangements with third-party manufacturers for both clinical and commercial supplies of our product candidates;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developing product candidates that achieve the therapeutic properties desired and appropriate for their intended indications;</w:t>
      </w:r>
    </w:p>
    <w:p>
      <w:pPr>
        <w:spacing w:after="0" w:line="31" w:lineRule="exact"/>
        <w:rPr>
          <w:rFonts w:ascii="MS PGothic" w:cs="MS PGothic" w:eastAsia="MS PGothic" w:hAnsi="MS PGothic"/>
          <w:sz w:val="12"/>
          <w:szCs w:val="12"/>
          <w:color w:val="auto"/>
        </w:rPr>
      </w:pPr>
    </w:p>
    <w:p>
      <w:pPr>
        <w:ind w:left="880" w:right="40" w:hanging="432"/>
        <w:spacing w:after="0" w:line="254" w:lineRule="auto"/>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w:t>
      </w: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acceptance of our products, if and when approved, by patients, the medical community and third-party payors;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obtaining and maintaining third-party coverage and adequate reimbursement;</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establishing a continued acceptable safety profile of the products and maintaining such that a profile following approval;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effectively competing with other therapies.</w:t>
      </w:r>
    </w:p>
    <w:p>
      <w:pPr>
        <w:spacing w:after="0" w:line="150" w:lineRule="exact"/>
        <w:rPr>
          <w:sz w:val="20"/>
          <w:szCs w:val="20"/>
          <w:color w:val="auto"/>
        </w:rPr>
      </w:pPr>
    </w:p>
    <w:p>
      <w:pPr>
        <w:jc w:val="both"/>
        <w:ind w:right="240"/>
        <w:spacing w:after="0" w:line="250" w:lineRule="auto"/>
        <w:rPr>
          <w:sz w:val="20"/>
          <w:szCs w:val="20"/>
          <w:color w:val="auto"/>
        </w:rPr>
      </w:pPr>
      <w:r>
        <w:rPr>
          <w:rFonts w:ascii="Arial" w:cs="Arial" w:eastAsia="Arial" w:hAnsi="Arial"/>
          <w:sz w:val="17"/>
          <w:szCs w:val="17"/>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experience as a company in completing IND-enabling preclinical studies or commencing and conducting clinical trials.</w:t>
      </w:r>
    </w:p>
    <w:p>
      <w:pPr>
        <w:spacing w:after="0" w:line="4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have no experience as a company in completing IND-enabling preclinical studies and then commencing and conducting clinical trials. In part because of this lack of experience, we cannot be certain that our preclinical studies will be completed on time or if our planned clinical trials will begin or be completed on time, if at all. Large-scale clinical trials would require significant additional financial and management resources and reliance on third-party clinical investigators and consultants. Relying on third-party clinical investigators, CROs and consultants may cause us to encounter delays that are outside of our control. In addition, relying on third parties in the conduct of our preclinical studies or clinical trials exposes us to a risk that they may not adequately comply with good laboratory practice, or GLP, or good clinical practice, or GCP, as required for any studies or trials we plan to submit to a regulatory authority. We may be unable to identify and contract with sufficient investigators, CROs and consultants on a timely basis or at all. For each of our lead product candidates, CFT7455 and CFT8634, we are in the process of entering into a master services agreement with CROs to lead our planned first-in-human Phase 1/2 clinical trial for the applicable product candidate. There can be no assurance that we will be able to negotiate and enter into additional master services agreement with this or other CROs, as necessary, on terms that are acceptable to us on a timely basis or at all.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20"/>
          </w:cols>
          <w:pgMar w:left="320" w:top="454" w:right="3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potency, purity and efficacy of any of our product candidates, which would prevent or delay development, regulatory approval and commercialization.</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Before obtaining regulatory approval for the commercial sale of any of our product candidates, including CFT7455 and CFT8634, we must demonstrate through lengthy, complex and expensive preclinical studies and clinical trials that our product candidates are both safe and effective for use in each target indication. Preclinical and clinical testing is expensive and can take many years to complete and the outcome of these activities is inherently uncertain. Failure can occur at any time during the preclinical study and clinical trial processes and, because our product candidates are in an early stage of development and have never been tested in humans, there is a high risk of failure. In addition, because chimeric targeting molecules are a relatively new class of product candidates, any failures or adverse outcomes in preclinical or clinical testing seen by other developers in this class could materially impact the success of our programs. We may never succeed in developing marketable products.</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It is also possible that 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 Product candidates in later stages of clinical trials may fail to show the desired safety, potency, purity and efficacy profile despite having progressed successfully through preclinical studies and/or initial clinical trials. Likewise, early, smaller-scale clinical trials may not be predictive of eventual safety or effectiveness in large-scale pivotal clinical trials. Many companies in the biopharmaceutical industry have suffered significant setbacks in advanced clinical trials due to lack of potency or efficacy, insufficient durability of potency or efficacy or unacceptable safety issues, notwithstanding promising results in earlier trials. Most product candidates that commence preclinical studies and clinical trials are never approved as products.</w:t>
      </w:r>
    </w:p>
    <w:p>
      <w:pPr>
        <w:spacing w:after="0" w:line="11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Additionally, we expect that the first clinical trials for our product candidates may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0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Any preclinical studies or clinical trials that we may conduct may not demonstrate the safety, potency, purity and efficacy necessary to obtain regulatory approval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approval for those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any of our product candidates, as is the case with all oncology drugs, it is likely that there may be side effects associated with their use. Results of our trials could reveal a high and unacceptable severity and prevalence of these or other side effects. If that were to occur, or if other developers of similar chimeric targeting molecules were to find an unacceptable severity or prevalence of side effects with their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Any of these occurrences may significantly harm our business, financial condition and prospects.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454"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4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1"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All of our product candidates are in preclinical development and their risk of failure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studies that support our planned INDs in the United States or similar applications in other jurisdictions. We cannot be certain of the timely completion or outcome of our preclinical studies and cannot predict if the FDA or similar regulatory authorities outside the United States will allow us to commence our proposed clinical trials or if the outcome of our preclinical studies ultimately will support the further development of any of our product candidates.</w:t>
      </w:r>
    </w:p>
    <w:p>
      <w:pPr>
        <w:spacing w:after="0" w:line="121"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approval or commercialize our product candidates, including:</w:t>
      </w:r>
    </w:p>
    <w:p>
      <w:pPr>
        <w:spacing w:after="0" w:line="151" w:lineRule="exact"/>
        <w:rPr>
          <w:sz w:val="20"/>
          <w:szCs w:val="20"/>
          <w:color w:val="auto"/>
        </w:rPr>
      </w:pPr>
    </w:p>
    <w:p>
      <w:pPr>
        <w:ind w:left="880" w:right="600" w:hanging="432"/>
        <w:spacing w:after="0" w:line="255"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delays in reaching, or the failure to reach, a consensus with regulators on clinical trial design or the inability to produce acceptable preclinical results to enable entry into human clinical trials;</w:t>
      </w:r>
    </w:p>
    <w:p>
      <w:pPr>
        <w:spacing w:after="0" w:line="1" w:lineRule="exact"/>
        <w:rPr>
          <w:rFonts w:ascii="MS PGothic" w:cs="MS PGothic" w:eastAsia="MS PGothic" w:hAnsi="MS PGothic"/>
          <w:sz w:val="12"/>
          <w:szCs w:val="12"/>
          <w:color w:val="auto"/>
        </w:rPr>
      </w:pPr>
    </w:p>
    <w:p>
      <w:pPr>
        <w:ind w:left="880" w:right="180" w:hanging="432"/>
        <w:spacing w:after="0" w:line="246"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ind w:left="880" w:right="260" w:hanging="432"/>
        <w:spacing w:after="0" w:line="254"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delays in reaching, or the failure to reach, agreement on acceptable clinical trial contracts or clinical trial protocols with prospective trial sites;</w:t>
      </w:r>
    </w:p>
    <w:p>
      <w:pPr>
        <w:ind w:left="880" w:right="140" w:hanging="432"/>
        <w:spacing w:after="0" w:line="254"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failure of regulators or IRBs to authorize us or our investigators to commence a clinical trial or conduct a clinical trial at a prospective trial site;</w:t>
      </w:r>
    </w:p>
    <w:p>
      <w:pPr>
        <w:ind w:left="880" w:hanging="432"/>
        <w:spacing w:after="0" w:line="254"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difficulty in designing clinical trials and in selecting endpoints for diseases that have not been well studied and for which the natural history and course of the disease is poorly understood;</w:t>
      </w:r>
    </w:p>
    <w:p>
      <w:pPr>
        <w:ind w:left="880" w:hanging="432"/>
        <w:spacing w:after="0"/>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selection of certain clinical endpoints that may require prolonged periods of clinical observation or analysis of the resulting data;</w:t>
      </w:r>
    </w:p>
    <w:p>
      <w:pPr>
        <w:spacing w:after="0" w:line="31" w:lineRule="exact"/>
        <w:rPr>
          <w:rFonts w:ascii="MS PGothic" w:cs="MS PGothic" w:eastAsia="MS PGothic" w:hAnsi="MS PGothic"/>
          <w:sz w:val="12"/>
          <w:szCs w:val="12"/>
          <w:color w:val="auto"/>
        </w:rPr>
      </w:pPr>
    </w:p>
    <w:p>
      <w:pPr>
        <w:ind w:left="880" w:right="60" w:hanging="432"/>
        <w:spacing w:after="0" w:line="246"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the failure to recruit suitable patients to participate in our clinical trials;</w:t>
      </w:r>
    </w:p>
    <w:p>
      <w:pPr>
        <w:ind w:left="880" w:right="60" w:hanging="432"/>
        <w:spacing w:after="0" w:line="254"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our product candidates may have undesirable side effects or other unexpected characteristics, causing us or our investigators, regulators or IRBs to suspend or terminate our clinical trials;</w:t>
      </w:r>
    </w:p>
    <w:p>
      <w:pPr>
        <w:ind w:left="880" w:right="120" w:hanging="432"/>
        <w:spacing w:after="0" w:line="254"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we may have to suspend or terminate clinical trials of our product candidates for various reasons, including a finding that the participants are being exposed to unacceptable health risks;</w:t>
      </w:r>
    </w:p>
    <w:p>
      <w:pPr>
        <w:ind w:left="880" w:right="340" w:hanging="432"/>
        <w:spacing w:after="0" w:line="254"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third parties with whom we contract may fail to comply with regulatory requirements or meet their contractual obligations to us in a timely manner, or at all;</w:t>
      </w:r>
    </w:p>
    <w:p>
      <w:pPr>
        <w:ind w:left="880" w:right="400" w:hanging="432"/>
        <w:spacing w:after="0" w:line="254"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requirement from regulators or IRBs that we or our investigators suspend or terminate clinical trials for various reasons, including noncompliance with regulatory requirements or unacceptable safety risks;</w:t>
      </w:r>
    </w:p>
    <w:p>
      <w:pPr>
        <w:ind w:left="880" w:right="60" w:hanging="432"/>
        <w:spacing w:after="0" w:line="269"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clinical trials of our product candidates may produce negative or inconclusive results and we may decide, or regulators may require us, to conduct additional clinical trials or abandon product development programs;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00"/>
          </w:cols>
          <w:pgMar w:left="320" w:top="454" w:right="3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hanging="432"/>
        <w:spacing w:after="0"/>
        <w:tabs>
          <w:tab w:leader="none" w:pos="880" w:val="left"/>
        </w:tabs>
        <w:numPr>
          <w:ilvl w:val="0"/>
          <w:numId w:val="19"/>
        </w:numPr>
        <w:rPr>
          <w:rFonts w:ascii="MS PGothic" w:cs="MS PGothic" w:eastAsia="MS PGothic" w:hAnsi="MS PGothic"/>
          <w:sz w:val="12"/>
          <w:szCs w:val="12"/>
          <w:color w:val="auto"/>
        </w:rPr>
      </w:pPr>
      <w:r>
        <w:rPr>
          <w:rFonts w:ascii="Arial" w:cs="Arial" w:eastAsia="Arial" w:hAnsi="Arial"/>
          <w:sz w:val="17"/>
          <w:szCs w:val="17"/>
          <w:color w:val="auto"/>
        </w:rPr>
        <w:t>the cost of clinical trials of our product candidates may be greater than we anticipate;</w:t>
      </w:r>
    </w:p>
    <w:p>
      <w:pPr>
        <w:spacing w:after="0" w:line="33" w:lineRule="exact"/>
        <w:rPr>
          <w:rFonts w:ascii="MS PGothic" w:cs="MS PGothic" w:eastAsia="MS PGothic" w:hAnsi="MS PGothic"/>
          <w:sz w:val="12"/>
          <w:szCs w:val="12"/>
          <w:color w:val="auto"/>
        </w:rPr>
      </w:pPr>
    </w:p>
    <w:p>
      <w:pPr>
        <w:ind w:left="880" w:right="60" w:hanging="432"/>
        <w:spacing w:after="0" w:line="254" w:lineRule="auto"/>
        <w:tabs>
          <w:tab w:leader="none" w:pos="880" w:val="left"/>
        </w:tabs>
        <w:numPr>
          <w:ilvl w:val="0"/>
          <w:numId w:val="19"/>
        </w:numPr>
        <w:rPr>
          <w:rFonts w:ascii="MS PGothic" w:cs="MS PGothic" w:eastAsia="MS PGothic" w:hAnsi="MS PGothic"/>
          <w:sz w:val="12"/>
          <w:szCs w:val="12"/>
          <w:color w:val="auto"/>
        </w:rPr>
      </w:pPr>
      <w:r>
        <w:rPr>
          <w:rFonts w:ascii="Arial" w:cs="Arial" w:eastAsia="Arial" w:hAnsi="Arial"/>
          <w:sz w:val="17"/>
          <w:szCs w:val="17"/>
          <w:color w:val="auto"/>
        </w:rPr>
        <w:t>imposition of a clinical hold by regulatory authorities as a result of a serious adverse event, concerns with a class of product candidates or after an inspection of our clinical trial operations, trial sites or manufacturing facilities;</w:t>
      </w:r>
    </w:p>
    <w:p>
      <w:pPr>
        <w:ind w:left="880" w:hanging="432"/>
        <w:spacing w:after="0"/>
        <w:tabs>
          <w:tab w:leader="none" w:pos="880" w:val="left"/>
        </w:tabs>
        <w:numPr>
          <w:ilvl w:val="0"/>
          <w:numId w:val="19"/>
        </w:numPr>
        <w:rPr>
          <w:rFonts w:ascii="MS PGothic" w:cs="MS PGothic" w:eastAsia="MS PGothic" w:hAnsi="MS PGothic"/>
          <w:sz w:val="12"/>
          <w:szCs w:val="12"/>
          <w:color w:val="auto"/>
        </w:rPr>
      </w:pPr>
      <w:r>
        <w:rPr>
          <w:rFonts w:ascii="Arial" w:cs="Arial" w:eastAsia="Arial" w:hAnsi="Arial"/>
          <w:sz w:val="17"/>
          <w:szCs w:val="17"/>
          <w:color w:val="auto"/>
        </w:rPr>
        <w:t>occurrence of serious adverse events associated with the product candidate that are viewed to outweigh its potential benefits; and</w:t>
      </w:r>
    </w:p>
    <w:p>
      <w:pPr>
        <w:spacing w:after="0" w:line="31" w:lineRule="exact"/>
        <w:rPr>
          <w:rFonts w:ascii="MS PGothic" w:cs="MS PGothic" w:eastAsia="MS PGothic" w:hAnsi="MS PGothic"/>
          <w:sz w:val="12"/>
          <w:szCs w:val="12"/>
          <w:color w:val="auto"/>
        </w:rPr>
      </w:pPr>
    </w:p>
    <w:p>
      <w:pPr>
        <w:ind w:left="880" w:right="560" w:hanging="432"/>
        <w:spacing w:after="0" w:line="269" w:lineRule="auto"/>
        <w:tabs>
          <w:tab w:leader="none" w:pos="880" w:val="left"/>
        </w:tabs>
        <w:numPr>
          <w:ilvl w:val="0"/>
          <w:numId w:val="19"/>
        </w:numPr>
        <w:rPr>
          <w:rFonts w:ascii="MS PGothic" w:cs="MS PGothic" w:eastAsia="MS PGothic" w:hAnsi="MS PGothic"/>
          <w:sz w:val="12"/>
          <w:szCs w:val="12"/>
          <w:color w:val="auto"/>
        </w:rPr>
      </w:pPr>
      <w:r>
        <w:rPr>
          <w:rFonts w:ascii="Arial" w:cs="Arial" w:eastAsia="Arial" w:hAnsi="Arial"/>
          <w:sz w:val="17"/>
          <w:szCs w:val="17"/>
          <w:color w:val="auto"/>
        </w:rPr>
        <w:t>disruptions caused by the evolving effects of the COVID-19 pandemic may increase the likelihood that we encounter these types of difficulties or delays in initiating, enrolling, conducting or completing our planned clinical trials.</w:t>
      </w:r>
    </w:p>
    <w:p>
      <w:pPr>
        <w:spacing w:after="0" w:line="9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51" w:lineRule="exact"/>
        <w:rPr>
          <w:sz w:val="20"/>
          <w:szCs w:val="20"/>
          <w:color w:val="auto"/>
        </w:rPr>
      </w:pPr>
    </w:p>
    <w:p>
      <w:pPr>
        <w:ind w:left="880" w:hanging="432"/>
        <w:spacing w:after="0"/>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be delayed in obtaining marketing approval for our product candidates, if at all;</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obtain approval for indications or patient populations that are not as broad as intended or desired;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be required to perform additional clinical trials to support marketing approval;</w:t>
      </w:r>
    </w:p>
    <w:p>
      <w:pPr>
        <w:spacing w:after="0" w:line="31" w:lineRule="exact"/>
        <w:rPr>
          <w:rFonts w:ascii="MS PGothic" w:cs="MS PGothic" w:eastAsia="MS PGothic" w:hAnsi="MS PGothic"/>
          <w:sz w:val="12"/>
          <w:szCs w:val="12"/>
          <w:color w:val="auto"/>
        </w:rPr>
      </w:pPr>
    </w:p>
    <w:p>
      <w:pPr>
        <w:ind w:left="880" w:right="120" w:hanging="432"/>
        <w:spacing w:after="0" w:line="254" w:lineRule="auto"/>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have regulatory authorities withdraw or suspend their approval, or impose restrictions on distribution of a product candidate in the form of a modified risk evaluation and mitigation strategy, or REMS;</w:t>
      </w:r>
    </w:p>
    <w:p>
      <w:pPr>
        <w:ind w:left="880" w:hanging="432"/>
        <w:spacing w:after="0"/>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be subject to additional post-marketing testing requirements or changes in the way the product is administered; or</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have our product removed from the market after obtaining marketing approval.</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11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hormone therapy, surgery, radiation therapy, immunotherapy or a combination of these, is sometimes adequate to cure the cancer or prolong life without a cure. Second-line and third-line therapies are administered to patients when prior therapy is not effective. Our planned clinical trials for our lead product candidates CFT7455 and CFT8634 and other drug candidates will be with patients who have received one or more prior treatments and we expect that we would initially seek regulatory approval of these product candidates for second-line or third-line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w:t>
      </w:r>
    </w:p>
    <w:p>
      <w:pPr>
        <w:spacing w:after="0" w:line="45" w:lineRule="exact"/>
        <w:rPr>
          <w:sz w:val="20"/>
          <w:szCs w:val="20"/>
          <w:color w:val="auto"/>
        </w:rPr>
      </w:pPr>
    </w:p>
    <w:p>
      <w:pPr>
        <w:ind w:right="840"/>
        <w:spacing w:after="0" w:line="258"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 molecule inhibitors. The competition we face and will face is likely to come from multiple sources,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454"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including major pharmaceutical, specialty pharmaceutical and biotechnology companies, academic institutions, government agencies and public and private research institutions.</w:t>
      </w:r>
    </w:p>
    <w:p>
      <w:pPr>
        <w:spacing w:after="0" w:line="9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are aware of several biotechnology companies focused on developing product candidates based on small molecules for targeted protein degradation including Arvinas, Inc., Cullgen Inc., Nurix Therapeutics, Inc., Vividion Therapeutics, Inc. and Kymera Therapeutics, Inc., of which Arvinas, Inc. is in clinical development and the other companies are currently in preclinical development. Further, several large pharmaceutical companies have disclosed preclinical investments in this field, including Amgen, AstraZeneca plc, GlaxoSmithKline plc, Genentech, Inc. and Novartis International AG. In addition to competition from other protein degradation therapies, any products that we develop may also face competition from other types of therapies, such as small molecule, antibody, T cell or gene therapies.</w:t>
      </w:r>
    </w:p>
    <w:p>
      <w:pPr>
        <w:spacing w:after="0" w:line="12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research and development tax credit carryforwards may be limited.</w:t>
      </w:r>
    </w:p>
    <w:p>
      <w:pPr>
        <w:spacing w:after="0" w:line="3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As of December 31, 2019, we had no federal net operating loss carryforwards and $8.2 million in state net operating loss carryforwards, which begin to expire in 2038. We may have federal net operating loss carryforwards in future years. Under legislation enacted in 2017, informally titled the Tax Cuts and Jobs Act, as modified by the Coronavirus Aid, Relief and Economic Security Act, or the CARES Act, federal net operating losses generated after 2017, if any, will not expire and may be carried forward indefinitely, but the deductibility of such federal net operating losses (particularly those generated in tax years beginning after December 31, 2020) in tax years beginning after December 31, 2020, is limited. It is uncertain how various states will respond to the Tax Cuts and Jobs Act, the CARES Act or any newly enacted federal tax law. In addition, at the state level, there may be periods during which the use of net operating losses is suspended or otherwise limited, including a recent California franchise tax law change limiting the usability of California state net operating losses to offset taxable income in tax years beginning after 2019 and before 2023.</w:t>
      </w:r>
    </w:p>
    <w:p>
      <w:pPr>
        <w:spacing w:after="0" w:line="115"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color w:val="auto"/>
        </w:rPr>
        <w:t>As of December 31, 2019, we also had federal and state research and development tax credit carryforwards of $0.4 million and $0.1 million, respectively, which begin to expire in 2039. These tax credit carryforwards could expire unused and be unavailable to offset our future income tax liabilities.</w:t>
      </w:r>
    </w:p>
    <w:p>
      <w:pPr>
        <w:spacing w:after="0" w:line="111"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color w:val="auto"/>
        </w:rPr>
        <w:t>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320" w:top="454"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use its pre-change net operating loss carryforwards and other pre-change tax attributes to offset its post-change income or taxes may be limited. In 2020, the Company completed a study of ownership changes from inception through May 31, 2020, which concluded that we experienced ownership changes as defined by Section 382 of the Code. However, there were no net operating loss carryforwards that were limited or expired unused. We may experience ownership changes in the future as a result of subsequent changes in our stock ownership, including this offering, some of which may be outside of our control. If we determine that an ownership change has occurred and our ability to use our historical net operating loss and tax credit carryforwards is materially limited, that would harm our future operating results by effectively increasing our future tax obligations.</w:t>
      </w:r>
    </w:p>
    <w:p>
      <w:pPr>
        <w:spacing w:after="0" w:line="43"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b w:val="1"/>
          <w:bCs w:val="1"/>
          <w:i w:val="1"/>
          <w:iCs w:val="1"/>
          <w:color w:val="auto"/>
        </w:rPr>
        <w:t>We may not be able to file INDs to commence additional clinical trials on the timelines we expect and, even if we are able to, the FDA may not permit us to proceed.</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We plan to submit an IND for CFT7455 in the fourth quarter of 2020 and for CFT8634 in the second half of 2021, but we may not be able to file these planned INDs on the timelines we expect. For example, we may experience manufacturing delays or other delays with IND-enabling studies. Moreover, we cannot be sure that submission of an IND will result in the FDA allowing us to commence clinical trials or that, once begun, issues will not arise that lead to the suspension or termination of our clinical trials. Additionally, even if the applicable regulatory authorities agree with the design and implementation of the clinical trials set forth in our INDs, we cannot guarantee that those regulatory authorities will not change their requirements in the future. These considerations apply to the INDs described above and also to new clinical trials we may submit as amendments to existing INDs or as part of new INDs in the future. Any failure to file INDs on the timelines we expect or to obtain regulatory approvals for our trials may prevent us from completing our clinical trials or commercializing our products on a timely basis, if at all.</w:t>
      </w:r>
    </w:p>
    <w:p>
      <w:pPr>
        <w:spacing w:after="0" w:line="46"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not evaluated any product candidates in human clinical trials. Moreover, we are not aware of any clinical trials using small molecules for targeted protein degradation, such as those developed using our TORPEDO platform. It is impossible to predict when or if any product candidates we may develop will prove safe in humans. There can be no assurance that any of the product candidates developed through our TORPEDO platform will not cause undesirable side effects, which could arise at any time during preclinical or clinical development.</w:t>
      </w:r>
    </w:p>
    <w:p>
      <w:pPr>
        <w:spacing w:after="0" w:line="119"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A potential risk with product candidates developed through our TORPEDO platform, or in any protein degradation product candidate, is that healthy proteins or proteins not targeted for degradation will be degraded or that the degradation of the targeted protein in and of itself could cause adverse events, undesirable side effects or unexpected characteristics. There is also the potential risk of delayed adverse events following treatment using product candidates developed through our TORPEDO platform.</w:t>
      </w:r>
    </w:p>
    <w:p>
      <w:pPr>
        <w:spacing w:after="0" w:line="11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If any product candidates we develop are associated with serious adverse events or undesirable side effects or have other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The occurrence of any of these sorts of events would have an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keratocanthoma, which is a skin cancer caused by paradoxical activation of BRAF upon inhibitor binding.</w:t>
      </w:r>
    </w:p>
    <w:p>
      <w:pPr>
        <w:spacing w:after="0" w:line="4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The results of preclinical studies may not be predictive of future results in later studies or trials. Initial success in clinical trials may not be indicative of results obtained when these trials are completed or in later stage clinical trials.</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early-stage clinical trials we commence in the future may not be predictive of the results of the later-stage clinical trials. In addition, initial success in clinical trials may not be indicative of results obtained when those trials are completed or in later stage clinical trials. In particular, the small number of patients in our planned early clinical trials may make the results of these trials less predictive of the outcome of later clinical trials. For example, even if successful,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320" w:top="454"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results of the dose escalation portion of our future first-in-human Phase 1/2 clinical trials of CFT7455 and CFT8634 may not be predictive of the results of further clinical trials of these product candidates or any of our other product candidates.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future clinical trials may not ultimately be successful or support further clinical development of any of our product candidates. There is a high failure rate for product candidates proceeding through clinical trials. Many companies in the pharmaceutical and biotechnology industries have suffered significant setbacks in clinical development even after achieving encouraging results in earlier studies. Any setbacks of this nature in our clinical development could materially harm our business, financial condition, results of operations and prospects. In addition, we may conduct some of our clinical trials in a combination Phase 1/2 design and, if the Phase 1 portion of the trial is not successful, we will not be allowed to proceed into the Phase 2 portion of the trial.</w:t>
      </w:r>
    </w:p>
    <w:p>
      <w:pPr>
        <w:spacing w:after="0" w:line="45" w:lineRule="exact"/>
        <w:rPr>
          <w:sz w:val="20"/>
          <w:szCs w:val="20"/>
          <w:color w:val="auto"/>
        </w:rPr>
      </w:pPr>
    </w:p>
    <w:p>
      <w:pPr>
        <w:ind w:right="580"/>
        <w:spacing w:after="0" w:line="258"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our clinical trials, our timelines for submitting for and receiving necessary marketing approvals could be delayed or prevented.</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may not be able to initiate clinical trials for our product candidates if we are unable to locate and enroll a sufficient number of eligible patients to participate in these trials, as required by the FDA or similar regulatory authorities outside of the United States. We are preparing to advance CFT7455 into first-in-human Phase 1/2 clinical trials in MM and NHLs, including PTCL and MCL. In addition, we are planning to advance CFT8634 into first-in-human Phase 1/2 clinical trials in patients with synovial sarcoma or SMARCB1 deleted solid tumors. While we believe that we will be able to enroll a sufficient number of patients into each of these clinical trials, we cannot predict with certainty how difficult it will be to enroll patients for trials in these rare indications generally and during the COVID-19 pandemic, specifically. Our ability to identify and enroll eligible patients for CFT7455 and CFT8634 clinical trials may turn out to be limited or we may be slower in enrolling these trials than we anticipate. In addition, some of our competitors have ongoing clinical trials for product candidates that treat the same indications as our product candidates and, as a result, patients who would otherwise be eligible for our clinical trials may instead elect to enroll in clinical trials of our competitors’ product candidates. Patient enrollment in clinical trials is also affected by other factors including:</w:t>
      </w:r>
    </w:p>
    <w:p>
      <w:pPr>
        <w:spacing w:after="0" w:line="161" w:lineRule="exact"/>
        <w:rPr>
          <w:sz w:val="20"/>
          <w:szCs w:val="20"/>
          <w:color w:val="auto"/>
        </w:rPr>
      </w:pP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severity of the disease under investigation;</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eligibility criteria for the trial in question;</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perceived risks and benefits of the product candidates offered in the clinical trials;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efforts to facilitate timely enrollment in clinical trials;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patient referral practices of physicians;</w:t>
      </w:r>
    </w:p>
    <w:p>
      <w:pPr>
        <w:spacing w:after="0" w:line="31" w:lineRule="exact"/>
        <w:rPr>
          <w:rFonts w:ascii="MS PGothic" w:cs="MS PGothic" w:eastAsia="MS PGothic" w:hAnsi="MS PGothic"/>
          <w:sz w:val="12"/>
          <w:szCs w:val="12"/>
          <w:color w:val="auto"/>
        </w:rPr>
      </w:pPr>
    </w:p>
    <w:p>
      <w:pPr>
        <w:ind w:left="880" w:right="380" w:hanging="432"/>
        <w:spacing w:after="0" w:line="254" w:lineRule="auto"/>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burden on patients due to the scope and invasiveness of required procedures under clinical trial protocols, some of which may be inconvenient and/or uncomfortable;</w:t>
      </w: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ability to monitor patients adequately during and after treatment;</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proximity and availability of clinical trial sites for prospective patients; and</w:t>
      </w:r>
    </w:p>
    <w:p>
      <w:pPr>
        <w:spacing w:after="0" w:line="31" w:lineRule="exact"/>
        <w:rPr>
          <w:rFonts w:ascii="MS PGothic" w:cs="MS PGothic" w:eastAsia="MS PGothic" w:hAnsi="MS PGothic"/>
          <w:sz w:val="12"/>
          <w:szCs w:val="12"/>
          <w:color w:val="auto"/>
        </w:rPr>
      </w:pPr>
    </w:p>
    <w:p>
      <w:pPr>
        <w:ind w:left="880" w:right="100" w:hanging="432"/>
        <w:spacing w:after="0" w:line="269" w:lineRule="auto"/>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impact of the current COVID-19 pandemic, which may affect the conduct of a clinical trial, including by slowing potential enrollment or reducing the number of eligible patients for clinical trials.</w:t>
      </w:r>
    </w:p>
    <w:p>
      <w:pPr>
        <w:spacing w:after="0" w:line="95"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Our inability to enroll a sufficient number of patients for our planned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w:t>
      </w:r>
    </w:p>
    <w:p>
      <w:pPr>
        <w:spacing w:after="0" w:line="4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i w:val="1"/>
          <w:iCs w:val="1"/>
          <w:color w:val="auto"/>
        </w:rPr>
        <w:t>The conclusions and analysis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ind w:right="80"/>
        <w:spacing w:after="0" w:line="236" w:lineRule="auto"/>
        <w:rPr>
          <w:sz w:val="20"/>
          <w:szCs w:val="20"/>
          <w:color w:val="auto"/>
        </w:rPr>
      </w:pPr>
      <w:r>
        <w:rPr>
          <w:rFonts w:ascii="Arial" w:cs="Arial" w:eastAsia="Arial" w:hAnsi="Arial"/>
          <w:sz w:val="17"/>
          <w:szCs w:val="17"/>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In addition, preliminary or top-line data also remain subject to audit and verification procedures that may result in the final data being different, potentially in material ways, from the preliminary data we previously announced or published. As a result, interim</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320" w:top="454" w:right="3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and preliminary data should be viewed with caution until final data are available. Adverse differences between preliminary or interim data and final data could significantly harm our reputation, business, financial condition, results of operations and prospects.</w:t>
      </w:r>
    </w:p>
    <w:p>
      <w:pPr>
        <w:spacing w:after="0" w:line="15"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4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i w:val="1"/>
          <w:iCs w:val="1"/>
          <w:color w:val="auto"/>
        </w:rPr>
        <w:t>We may develop CFT7455 in combination with other drugs for MM. If the FDA or similar regulatory authorities outside of the United States do not approve these other drugs, revoke their approval of these other drugs or if safety, efficacy, manufacturing or supply issues arise with the drugs we choose to evaluate in combination with CFT7455, we may be unable to obtain approval of or market CFT7455.</w:t>
      </w:r>
    </w:p>
    <w:p>
      <w:pPr>
        <w:ind w:right="20"/>
        <w:spacing w:after="0" w:line="234" w:lineRule="auto"/>
        <w:rPr>
          <w:sz w:val="20"/>
          <w:szCs w:val="20"/>
          <w:color w:val="auto"/>
        </w:rPr>
      </w:pPr>
      <w:r>
        <w:rPr>
          <w:rFonts w:ascii="Arial" w:cs="Arial" w:eastAsia="Arial" w:hAnsi="Arial"/>
          <w:sz w:val="17"/>
          <w:szCs w:val="17"/>
          <w:color w:val="auto"/>
        </w:rPr>
        <w:t>Once a recommended dose is identified from the dose escalation portion of our first-in-human Phase 1/2 clinical trial of CFT7455 for the treatment of MM, we may conduct a portion of that clinical trial in combination with a dexamethasone inhibitor. We did not develop or obtain marketing approval for, nor do we manufacture or sell, any of the currently approved drugs that we may study in combination with CFT7455. If the FDA or similar regulatory authorities outside of the United States revoke their approval of the drug or drugs we intend to deliver in combination with CFT7455, we will not be able to market CFT7455 in combination with those revoked drugs.</w:t>
      </w:r>
    </w:p>
    <w:p>
      <w:pPr>
        <w:spacing w:after="0" w:line="122"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CFT7455, the FDA or similar regulatory authorities outside of the United States may require us to conduct additional clinical trials. In addition, if manufacturing or other issues result in a shortage of supply of the drugs with which we determine to combine with CFT7455, we may not be able to complete clinical development of CFT7455 on our current timeline or at all.</w:t>
      </w:r>
    </w:p>
    <w:p>
      <w:pPr>
        <w:spacing w:after="0" w:line="119" w:lineRule="exact"/>
        <w:rPr>
          <w:sz w:val="20"/>
          <w:szCs w:val="20"/>
          <w:color w:val="auto"/>
        </w:rPr>
      </w:pPr>
    </w:p>
    <w:p>
      <w:pPr>
        <w:jc w:val="both"/>
        <w:ind w:right="140"/>
        <w:spacing w:after="0" w:line="250" w:lineRule="auto"/>
        <w:rPr>
          <w:sz w:val="20"/>
          <w:szCs w:val="20"/>
          <w:color w:val="auto"/>
        </w:rPr>
      </w:pPr>
      <w:r>
        <w:rPr>
          <w:rFonts w:ascii="Arial" w:cs="Arial" w:eastAsia="Arial" w:hAnsi="Arial"/>
          <w:sz w:val="17"/>
          <w:szCs w:val="17"/>
          <w:color w:val="auto"/>
        </w:rPr>
        <w:t>Even if CFT7455 were to receive marketing approval or be commercialized for use in combination with other existing drugs, we would continue to be subject to the risks that the FDA or similar regulatory authorities outside of the United States could revoke approval of the drug used in combination with CFT7455 or that safety, efficacy, manufacturing or supply issues could arise with these existing drugs.</w:t>
      </w:r>
    </w:p>
    <w:p>
      <w:pPr>
        <w:spacing w:after="0" w:line="111"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potential product candidates.</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While our two lead programs are focused on oncology targets, a key element of our strategy is to apply our TORPEDO platform to develop product candidates that address a broad array of targets and new therapeutic areas, such as neurodegeneration, diseases of aging and infectious disease.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162" w:lineRule="exact"/>
        <w:rPr>
          <w:sz w:val="20"/>
          <w:szCs w:val="20"/>
          <w:color w:val="auto"/>
        </w:rPr>
      </w:pPr>
    </w:p>
    <w:p>
      <w:pPr>
        <w:ind w:left="880" w:right="280" w:hanging="432"/>
        <w:spacing w:after="0" w:line="271" w:lineRule="auto"/>
        <w:tabs>
          <w:tab w:leader="none" w:pos="88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drugs that will receive marketing approval or achieve market acceptance;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454"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hanging="432"/>
        <w:spacing w:after="0"/>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potential product candidates may not be effective in treating their targeted diseases; or</w:t>
      </w:r>
    </w:p>
    <w:p>
      <w:pPr>
        <w:spacing w:after="0" w:line="33" w:lineRule="exact"/>
        <w:rPr>
          <w:rFonts w:ascii="MS PGothic" w:cs="MS PGothic" w:eastAsia="MS PGothic" w:hAnsi="MS PGothic"/>
          <w:sz w:val="12"/>
          <w:szCs w:val="12"/>
          <w:color w:val="auto"/>
        </w:rPr>
      </w:pPr>
    </w:p>
    <w:p>
      <w:pPr>
        <w:ind w:left="880" w:right="180" w:hanging="432"/>
        <w:spacing w:after="0" w:line="269" w:lineRule="auto"/>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the market size for the target indications of a potential product candidate may diminish over time due to improvements in the standard of care to the point that further development is not warranted.</w:t>
      </w:r>
    </w:p>
    <w:p>
      <w:pPr>
        <w:spacing w:after="0" w:line="95"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40"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1"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73"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b w:val="1"/>
          <w:bCs w:val="1"/>
          <w:i w:val="1"/>
          <w:iCs w:val="1"/>
          <w:color w:val="auto"/>
        </w:rPr>
        <w:t>We expect to depend on collaborations with third parties for the research, development and commercialization of certain of the product candidates we may develop. If any of these collaborations are not successful, we may not be able to capitalize on the market potential of those product candidates.</w:t>
      </w:r>
    </w:p>
    <w:p>
      <w:pPr>
        <w:ind w:right="300"/>
        <w:spacing w:after="0" w:line="244" w:lineRule="auto"/>
        <w:rPr>
          <w:sz w:val="20"/>
          <w:szCs w:val="20"/>
          <w:color w:val="auto"/>
        </w:rPr>
      </w:pPr>
      <w:r>
        <w:rPr>
          <w:rFonts w:ascii="Arial" w:cs="Arial" w:eastAsia="Arial" w:hAnsi="Arial"/>
          <w:sz w:val="17"/>
          <w:szCs w:val="17"/>
          <w:color w:val="auto"/>
        </w:rPr>
        <w:t>We anticipate seeking third-party collaborators for the research, development and commercialization of some of our product candidates developed using our TORPEDO platform. Previously, we entered into the following collaboration agreements:</w:t>
      </w:r>
    </w:p>
    <w:p>
      <w:pPr>
        <w:spacing w:after="0" w:line="156" w:lineRule="exact"/>
        <w:rPr>
          <w:sz w:val="20"/>
          <w:szCs w:val="20"/>
          <w:color w:val="auto"/>
        </w:rPr>
      </w:pPr>
    </w:p>
    <w:p>
      <w:pPr>
        <w:ind w:left="880" w:hanging="432"/>
        <w:spacing w:after="0"/>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a collaboration with Roche in December 2015, which we amended and restated in December 2018;</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a collaboration with Calico in March 2017;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a collaboration with Biogen in December 2018.</w:t>
      </w:r>
    </w:p>
    <w:p>
      <w:pPr>
        <w:spacing w:after="0" w:line="15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likely collaborators in any other collaboration arrangements we may enter into include large and mid-size pharmaceutical companies and biotechnology companies. If we were to enter into any collaboration arrangements with third parties, those arrangements will likely limit our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in which we have entered or may enter.</w:t>
      </w:r>
    </w:p>
    <w:p>
      <w:pPr>
        <w:spacing w:after="0" w:line="12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Collaborations involving our research programs or any product candidates we may develop, including our existing collaborations with Roche, Calico and Biogen, pose the following risks to us:</w:t>
      </w:r>
    </w:p>
    <w:p>
      <w:pPr>
        <w:spacing w:after="0" w:line="134" w:lineRule="exact"/>
        <w:rPr>
          <w:sz w:val="20"/>
          <w:szCs w:val="20"/>
          <w:color w:val="auto"/>
        </w:rPr>
      </w:pPr>
    </w:p>
    <w:p>
      <w:pPr>
        <w:ind w:left="880" w:right="80" w:hanging="432"/>
        <w:spacing w:after="0" w:line="247" w:lineRule="auto"/>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Collaborators have significant discretion in determining the efforts and resources that they will apply to these collaborations. For example, our collaborations with Roche, Biogen and Calico are each managed by a joint governance committee, which is composed of representatives from us and the applicable collaborator.</w:t>
      </w:r>
    </w:p>
    <w:p>
      <w:pPr>
        <w:ind w:left="880" w:hanging="432"/>
        <w:spacing w:after="0" w:line="238" w:lineRule="auto"/>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market considerations or available funding or external factors such as an acquisition or business combination that diverts resources or creates competing priorities. If this were to happen, we may need additional capital to pursue further development or commercialization of the applicable product candidates. For example, in June 2020, Roche notified us that they will not be electing to pursue further development of our EGFR program.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454"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right="60" w:hanging="432"/>
        <w:spacing w:after="0" w:line="247"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Roche, Biogen and Calico have broad rights to select a limited number of targets for protein degradation development, so long as that target is not excluded by us under the terms of each collaboration and may select targets we are considering but have not taken sufficient action (e.g., internal development of, or steps toward partnering, such target) to exclude under the collaboration.</w:t>
      </w:r>
    </w:p>
    <w:p>
      <w:pPr>
        <w:ind w:left="880" w:right="420" w:hanging="432"/>
        <w:spacing w:after="0" w:line="254"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880" w:right="160" w:hanging="432"/>
        <w:spacing w:after="0" w:line="246"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80" w:right="480" w:hanging="432"/>
        <w:spacing w:after="0" w:line="254"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Subject to certain diligence obligations, Collaborators with marketing and distribution rights to one or more products may not commit sufficient resources to the marketing and distribution of such product or products.</w:t>
      </w:r>
    </w:p>
    <w:p>
      <w:pPr>
        <w:ind w:left="880" w:hanging="432"/>
        <w:spacing w:after="0" w:line="238"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Collaborators may not properly obtain, maintain, enforce or defend our intellectual property or proprietary rights or may use our proprietary information in a way that could jeopardize or invalidate our proprietary information or expose us to potential litigation. For example, Roche, Biogen and Calico have the first right to enforce and Roche also has the first right to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ind w:left="880" w:right="240" w:hanging="432"/>
        <w:spacing w:after="0" w:line="254"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Collaborators may own or co-own intellectual property covering our products that results from our collaborating with them, and in cases where that applies, we would not have the exclusive right to commercialize the collaboration intellectual property.</w:t>
      </w:r>
    </w:p>
    <w:p>
      <w:pPr>
        <w:ind w:left="880" w:right="200" w:hanging="432"/>
        <w:spacing w:after="0" w:line="246"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Disputes may arise between our collaborators and us that result in the delay or termination of the research, development or commercialization of our products or product candidates or that result in costly litigation or arbitration that diverts management attention and resources.</w:t>
      </w:r>
    </w:p>
    <w:p>
      <w:pPr>
        <w:ind w:left="880" w:hanging="432"/>
        <w:spacing w:after="0"/>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31" w:lineRule="exact"/>
        <w:rPr>
          <w:rFonts w:ascii="MS PGothic" w:cs="MS PGothic" w:eastAsia="MS PGothic" w:hAnsi="MS PGothic"/>
          <w:sz w:val="12"/>
          <w:szCs w:val="12"/>
          <w:color w:val="auto"/>
        </w:rPr>
      </w:pPr>
    </w:p>
    <w:p>
      <w:pPr>
        <w:ind w:left="880" w:right="40" w:hanging="432"/>
        <w:spacing w:after="0" w:line="242"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 For example, each of Roche, Biogen and Calico can terminate its agreement with us in its entirety or with respect to a specific target for convenience upon written notice ranging from 90 to 270 days’ notice or in connection with a material breach of the agreement by us that remains uncured for a specified period of time.</w:t>
      </w:r>
    </w:p>
    <w:p>
      <w:pPr>
        <w:jc w:val="both"/>
        <w:ind w:left="880" w:hanging="432"/>
        <w:spacing w:after="0" w:line="246"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ind w:left="880" w:right="420" w:hanging="432"/>
        <w:spacing w:after="0" w:line="254"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Collaborators may be unable to maintain compliance with GLP and GCP requirements or to secure approval for clinical development plans from the FDA or foreign regulatory authorities.</w:t>
      </w:r>
    </w:p>
    <w:p>
      <w:pPr>
        <w:ind w:left="880" w:hanging="432"/>
        <w:spacing w:after="0"/>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The amount of revenue we derive from our collaborations may be volatile on a quarterly basis.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If we do not receive the funding we expect under these agreements, our development of product candidates could be delayed and we may need additional resources to develop our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prospectus apply to the activities of our collaborators.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20"/>
          </w:cols>
          <w:pgMar w:left="320" w:top="454"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may in the future decide to collaborate with pharmaceutical and biotechnology companies for the development and potential commercialization of any product candidates we may develop. These and other similar relationships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those transactions if we are unable to successfully integrate them with our existing operations and company culture.</w:t>
      </w:r>
    </w:p>
    <w:p>
      <w:pPr>
        <w:spacing w:after="0" w:line="42" w:lineRule="exact"/>
        <w:rPr>
          <w:sz w:val="20"/>
          <w:szCs w:val="20"/>
          <w:color w:val="auto"/>
        </w:rPr>
      </w:pPr>
    </w:p>
    <w:p>
      <w:pPr>
        <w:ind w:right="420"/>
        <w:spacing w:after="0" w:line="258" w:lineRule="auto"/>
        <w:rPr>
          <w:sz w:val="20"/>
          <w:szCs w:val="20"/>
          <w:color w:val="auto"/>
        </w:rPr>
      </w:pPr>
      <w:r>
        <w:rPr>
          <w:rFonts w:ascii="Arial" w:cs="Arial" w:eastAsia="Arial" w:hAnsi="Arial"/>
          <w:sz w:val="17"/>
          <w:szCs w:val="17"/>
          <w:b w:val="1"/>
          <w:bCs w:val="1"/>
          <w:i w:val="1"/>
          <w:iCs w:val="1"/>
          <w:color w:val="auto"/>
        </w:rPr>
        <w:t>We may form or seek collaborations or strategic alliances or enter into additional licensing arrangements in the future and we may not realize the benefits of those collaborations, alliances or licensing arrangements.</w:t>
      </w:r>
    </w:p>
    <w:p>
      <w:pPr>
        <w:spacing w:after="0" w:line="1"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For example, we may seek to enter into out-licensing arrangements to advance our CFT7455 product candidate in</w:t>
      </w:r>
    </w:p>
    <w:p>
      <w:pPr>
        <w:spacing w:after="0" w:line="1" w:lineRule="exact"/>
        <w:rPr>
          <w:sz w:val="20"/>
          <w:szCs w:val="20"/>
          <w:color w:val="auto"/>
        </w:rPr>
      </w:pPr>
    </w:p>
    <w:p>
      <w:pPr>
        <w:ind w:right="700" w:firstLine="7"/>
        <w:spacing w:after="0" w:line="244" w:lineRule="auto"/>
        <w:tabs>
          <w:tab w:leader="none" w:pos="329" w:val="left"/>
        </w:tabs>
        <w:numPr>
          <w:ilvl w:val="0"/>
          <w:numId w:val="27"/>
        </w:numPr>
        <w:rPr>
          <w:rFonts w:ascii="Arial" w:cs="Arial" w:eastAsia="Arial" w:hAnsi="Arial"/>
          <w:sz w:val="17"/>
          <w:szCs w:val="17"/>
          <w:color w:val="auto"/>
        </w:rPr>
      </w:pPr>
      <w:r>
        <w:rPr>
          <w:rFonts w:ascii="Arial" w:cs="Arial" w:eastAsia="Arial" w:hAnsi="Arial"/>
          <w:sz w:val="17"/>
          <w:szCs w:val="17"/>
          <w:color w:val="auto"/>
        </w:rPr>
        <w:t>or other indications. Any of these relationships may require us to incur non-recurring and other charges, increase our near and long-term expenditures, issue securities that dilute our existing stockholders or disrupt our management and business.</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 Additionally, our existing partners may decide to acquire or partner with other companies developing targeted protein degraders, which may have an adverse impact on our business prospects, financial condition and results of operations.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As a result, if we enter into additional collaboration agreements and strategic partnerships or license our product candidates, we may not be able to realize the benefit of those transactions if we are unable to successfully integrate them with our existing operations and company culture, which could delay our timelines or otherwise adversely affect our business prospects, financial condition and results of operations. We also cannot be certain that, following a strategic transaction or license, we will achieve the revenue or specific net income that justifies the entry into the transaction in the first place.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42"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We expect to rely on third parties to conduct our future clinical trials and those third parties may not perform satisfactorily, including failing to meet deadlines for the completion of such trials.</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expect to rely on CROs to conduct our planned first-in-human Phase 1/2 clinical trial programs for CFT7455 and CFT8634 and our other clinical trials as we currently do not plan to independently conduct clinical trials of our other product candidates. Our agreements with these CROs might terminate for a variety of reasons, including a failure to perform by the third parties. If we were ever to need to enter into alternative arrangements, we would experience delays in our product development activities.</w:t>
      </w:r>
    </w:p>
    <w:p>
      <w:pPr>
        <w:spacing w:after="0" w:line="119" w:lineRule="exact"/>
        <w:rPr>
          <w:sz w:val="20"/>
          <w:szCs w:val="20"/>
          <w:color w:val="auto"/>
        </w:rPr>
      </w:pPr>
    </w:p>
    <w:p>
      <w:pPr>
        <w:jc w:val="both"/>
        <w:ind w:right="80"/>
        <w:spacing w:after="0"/>
        <w:rPr>
          <w:sz w:val="20"/>
          <w:szCs w:val="20"/>
          <w:color w:val="auto"/>
        </w:rPr>
      </w:pPr>
      <w:r>
        <w:rPr>
          <w:rFonts w:ascii="Arial" w:cs="Arial" w:eastAsia="Arial" w:hAnsi="Arial"/>
          <w:sz w:val="17"/>
          <w:szCs w:val="17"/>
          <w:color w:val="auto"/>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454"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Further, these CROs may have relationships with other entities, some of which may be our peers or competitors. If the CROs with whom we work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40"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b w:val="1"/>
          <w:bCs w:val="1"/>
          <w:i w:val="1"/>
          <w:iCs w:val="1"/>
          <w:color w:val="auto"/>
        </w:rPr>
        <w:t>Manufacturing pharmaceutical products is complex and subject to product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p>
    <w:p>
      <w:pPr>
        <w:spacing w:after="0" w:line="1"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on and expect to continue to rely on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w:t>
      </w:r>
    </w:p>
    <w:p>
      <w:pPr>
        <w:spacing w:after="0" w:line="119"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We may be unable to establish agreements with CMOs or to do so on acceptable terms. Even if we are able to establish agreements with CMOs, reliance on third-party manufacturers entails additional risks, including:</w:t>
      </w:r>
    </w:p>
    <w:p>
      <w:pPr>
        <w:spacing w:after="0" w:line="134" w:lineRule="exact"/>
        <w:rPr>
          <w:sz w:val="20"/>
          <w:szCs w:val="20"/>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reliance on the third party for regulatory, compliance and quality assurance;</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the possible breach of the manufacturing agreement by the third-party CMO;</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only limited technology transfer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receive marketing approval for any of our product candidates, we will need to establish an agreement for commercial manufacture with a third party.</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Third-party manufacturers may not be able to comply with current good manufacturing practices, or cGMP, regulations or similar regulatory requirements outside of the United States. Our molecules are highly potent and, in the absence of additional safety data, they receive a high occupational exposure band, or OEB. These assigned OEBs dictate the contaminant and other precautions that must be taken as part of the manufacture of our product candidates. Our failure, or the failure of our CMOs, to comply with applicable regulations, including the ability of our CMOs to work with our highly potent materials and the safety protocols in connection therewith,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Any performance failure or delay in performance on the part of our existing or future manufacturers could delay clinical development or marketing approval. For example, our contract fill/finish manufacturer had a mechanical issue arise in connection with a manufacturing step for our CFT7455 product candidate. While we do not believe this issue will have an impact on our development timelines, in the future, we could experience a manufacturing issue that would have a material impact on development of our product candidates and the occurrence of an event of this nature would largely be outside of our control. We do not currently have arrangements in place for redundant supply or a second source for bulk drug substance. If our current CMOs cannot perform as agreed, we may be required to replace them. Although we believe that there are several potential alternative manufacturers who could manufacture our product candidates, we may incur added costs and delays in identifying and qualifying 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20"/>
          </w:cols>
          <w:pgMar w:left="320" w:top="454"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replacement manufacturers or we may not be able to reach agreement with any alternative manufacturer. While we have identified alternate vendors for CFT7455 and CFT8634, switching vendors could result in significant additional costs of materials and significant delays to our operations.</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Additionally, we currently rely on single source suppliers for certain of the raw materials for our preclinical study and clinical trial supplies. If our current or future suppliers are unable to supply us with sufficient raw materials for our preclinical studies and clinical trials, we may experience delays in our development efforts as we locate and qualify new raw material manufacturers. These third-party manufacturers may incorporate their own proprietary processes into our product candidate manufacturing processes. We have limited control and oversight of a third party’s proprietary process and a third-party manufacturer may elect to modify its process without our consent or knowledge. These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12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As our product candidates progress through preclinical studies and clinical trials towards approval and commercialization, we expect that various aspects of the manufacturing process will be altered in an effort to optimize processes and results. These types of changes may require that we make amendments to our regulatory applications, which could further delay the timeframes under which modified manufacturing processes can be used for any of our product candidates.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conduct additional bridging studies or trials, all of which take would require additional time and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73"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well-established in the medical community, and doctors may continue to rely on these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162" w:lineRule="exact"/>
        <w:rPr>
          <w:sz w:val="20"/>
          <w:szCs w:val="20"/>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efficacy and potential advantages compared to alternative treatments;</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prevalence and severity of any side effects, in particular compared to alternative treatments;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our ability to offer our products for sale at competitive prices;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convenience and ease of administration compared to alternative treatments;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willingness of the target patient population to try new therapies and of physicians treating these patients to prescribe these therapies;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strength of marketing, sales and distribution support;</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availability of third-party insurance coverage and adequate reimbursement;</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timing of any marketing approval in relation to other product approvals;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support from patient advocacy groups;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any restrictions on the use of our products together with other medications.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320" w:top="454"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b w:val="1"/>
          <w:bCs w:val="1"/>
          <w:i w:val="1"/>
          <w:iCs w:val="1"/>
          <w:color w:val="auto"/>
        </w:rPr>
        <w:t>As a company, 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As a company, 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1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2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relatively small as we expect that they will initially be approved only for those patients who are ineligible for or have failed prior treatments. In addition, our estimates of the prevalence of our target patient populations may be inaccurate.</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product candidates may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 usually chemotherapy, antibody drugs, tumor-targeted small molecules, immunotherapy, hormone therapy, radiation therapy, surgery, other targeted therapies or a combination of these therapies, proves unsuccessful, second-line therapy may be administered. Second-line therapies often consist of more chemotherapy, radiation, antibody drugs, tumor-targeted small molecules or a combination of these. Third-line therapies can include chemotherapy, antibody drugs and small molecule tumor-targeted therapies, more invasive forms of surgery and new technologies. We expect initially to seek approval of our product candidates in most instances as a second- or third-line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w:t>
      </w:r>
    </w:p>
    <w:p>
      <w:pPr>
        <w:spacing w:after="0" w:line="12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454"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800"/>
        <w:spacing w:after="0" w:line="259" w:lineRule="auto"/>
        <w:rPr>
          <w:sz w:val="20"/>
          <w:szCs w:val="20"/>
          <w:color w:val="auto"/>
        </w:rPr>
      </w:pPr>
      <w:r>
        <w:rPr>
          <w:rFonts w:ascii="Arial" w:cs="Arial" w:eastAsia="Arial" w:hAnsi="Arial"/>
          <w:sz w:val="17"/>
          <w:szCs w:val="17"/>
          <w:b w:val="1"/>
          <w:bCs w:val="1"/>
          <w:i w:val="1"/>
          <w:iCs w:val="1"/>
          <w:color w:val="auto"/>
        </w:rPr>
        <w:t>Even if we receive marketing approval of any of our product candidates, our products may become subject to unfavorable pricing regulations, third-party reimbursement practices or healthcare reform initiatives, which would harm our business.</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which would negatively impact the revenues, if any, we are able to generate from the sale of the product in that country. Adverse pricing limitations may hinder our ability to recoup our investment in one or more of our product candidates, even if our product candidates obtain marketing approval.</w:t>
      </w:r>
    </w:p>
    <w:p>
      <w:pPr>
        <w:spacing w:after="0" w:line="12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1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20"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any products that we may develop.</w:t>
      </w:r>
    </w:p>
    <w:p>
      <w:pPr>
        <w:spacing w:after="0" w:line="1" w:lineRule="exact"/>
        <w:rPr>
          <w:sz w:val="20"/>
          <w:szCs w:val="20"/>
          <w:color w:val="auto"/>
        </w:rPr>
      </w:pPr>
    </w:p>
    <w:p>
      <w:pPr>
        <w:ind w:right="420"/>
        <w:spacing w:after="0" w:line="259"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or when we commercially sell any products that we may develop. If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320" w:top="454"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we cannot successfully defend ourselves against claims that our product candidates or products caused injuries, we will incur substantial liabilities.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Regardless of merit or eventual outcome, liability claims may result in:</w:t>
      </w:r>
    </w:p>
    <w:p>
      <w:pPr>
        <w:spacing w:after="0" w:line="170" w:lineRule="exact"/>
        <w:rPr>
          <w:sz w:val="20"/>
          <w:szCs w:val="20"/>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decreased demand for any product candidates or products that we may develop;</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termination of clinical trials;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withdrawal of clinical trial participants;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significant costs to defend the related litigation;</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substantial monetary awards to trial participants or patients;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loss of revenue;</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injury to our reputation and significant negative media attention;</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reduced resources of our management to pursue our business strategy;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the inability to commercialize any products that we may develop.</w:t>
      </w:r>
    </w:p>
    <w:p>
      <w:pPr>
        <w:spacing w:after="0" w:line="15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As a preclinical company, we do not currently hold product liability insurance coverage. We will need to purchase product liability insurance coverage as we initiate our clinical trials,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our ability to successfully commercialize our technology and products may be impaired and we may not be able to compete effectively in our market.</w:t>
      </w:r>
    </w:p>
    <w:p>
      <w:pPr>
        <w:spacing w:after="0" w:line="1"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our intellectual property and prevent others from exploiting our pipeline drug product candidates, any future drug product candidates we may develop and our platform technologies, as well as the use or manufacture of our current or future drug product candidates.</w:t>
      </w:r>
    </w:p>
    <w:p>
      <w:pPr>
        <w:spacing w:after="0" w:line="11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commercial success depends in part on our ability to obtain and maintain patent and other proprietary protection in the United States and other countries with respect to our proprietary technology and products. We seek to protect our proprietary position by filing patent applications in the United States and abroad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19"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The patent position of the biopharmaceutical industry generally is highly uncertain, involves complex legal and factual questions and has in recent years been the subject of much litigation.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320" w:top="454"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licensed patents or pending patent applications, or that we were the first inventors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20"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owned, co-owned and licensed patent estate consists principally of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co-owned or licensed patents by developing similar or alternative technologies or products in a non-infringing manner.</w:t>
      </w:r>
    </w:p>
    <w:p>
      <w:pPr>
        <w:spacing w:after="0" w:line="103"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co-owned and licensed patents or patents obtained by our collaborators may be challenged in the courts or patent offices in the United States and abroad. These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our drug product candidates might expire before or shortly after they are commercialized. As a result, our owned, co-owned and licensed patent portfolio, or that of our collaborators, may not provide us with sufficient rights to exclude others from commercializing products similar or identical to ours.</w:t>
      </w:r>
    </w:p>
    <w:p>
      <w:pPr>
        <w:spacing w:after="0" w:line="4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our patents in general or increase third party challenges to our patents, thereby impairing our ability to protect our product candidates.</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and made a number of significant changes to United States patent law. These changes include provisions that affect the way patent applications are prosecuted and may also affect patent litigation. The United States Patent and Trademark Office, or the USPTO, developed new regulations and procedures to govern administration of the Leahy-Smith Act and many of the substantive changes to patent law associated with the Leahy-Smith Act, including the first-inventor-to-file provisions, became effective on March 16, 2013. The Leahy-Smith Act and its implementation could increase the uncertainties and costs surrounding the prosecution of our patent applications and the enforcement or defense of our issued patents, all of which could have an adverse effect on our business and financial condition. The first-to-file provision of the Leahy-Smith Act requires us to act promptly during the period from invention to filing of a patent application. However, even with the intention to act promptly, circumstances could prevent us from promptly filing or prosecuting patent applications on our inventions. The Leahy-Smith Act also enlarged the scope of disclosures that qualify as prior art, which can impact our ability to receive patent protection for an invention.</w:t>
      </w:r>
    </w:p>
    <w:p>
      <w:pPr>
        <w:spacing w:after="0" w:line="12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The Leahy-Smith Act created, for the first time, new procedures under which third parties may challenge issued patents in the United States,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derivations proceedings, all of which are adversarial proceedings conducted at the USPTO. Since the effectiveness of the Leahy-Smith Act, some third parties have been using these types of actions to seek and achieve the cancellation of selected or all claims of issued patents of their competitors. Under the Leahy-Smith Act, for a patent with a priority date of March 16, 2013 or later (which is the case for all of our patent filings), a third party can file a petition for post-grant review at any time during a nine-month window commencing at the time of issuance of the patent. In addition, for a patent with a priority date of March 16, 2013 or later, a third party can file a petition for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after the nine-month period for filing a post-grant review petition has expired. Post-grant review proceedings can be brought on any ground of challenge, whereas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can only be brought to raise a challenge based on published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454"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prior art. Under applicable law, the standard of review for these types of adversarial actions at the USPTO are conducted without the presumption of validity afforded to U.S. patents, which is the standard that applies if a third party were to seek to invalidate a patent through a lawsuit filed in the U.S. federal courts. The USPTO issued a Final Rule on November 11, 2018 announcing that it will now use the same claim construction currently used in the U.S. federal courts—which is the plain and ordinary meaning of words used—to interpret patent claims in these USPTO proceedings. As a result of this regulatory landscape, if any of our patents are challenged by a third party in a USPTO proceeding of this nature, there is no guarantee that we will be successful in defending the challenged patent, which could result in our losing rights under the challenged patent in part or in whole.</w:t>
      </w:r>
    </w:p>
    <w:p>
      <w:pPr>
        <w:spacing w:after="0" w:line="106"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a result, the issuance, scope, validity, enforceability and commercial value of our patent rights, or those of our collaborators, are highly uncertain, which could have an adverse effect on our business, financial condition, results of operations and prospects.</w:t>
      </w:r>
    </w:p>
    <w:p>
      <w:pPr>
        <w:spacing w:after="0" w:line="15"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1"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Competitors may infringe our issued patents, the patents of our licensors or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Even if we successfully assert our patents, a court may not award remedies that sufficiently compensate us for our losses.</w:t>
      </w:r>
    </w:p>
    <w:p>
      <w:pPr>
        <w:spacing w:after="0" w:line="46"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We may need to license intellectual property from third parties and licenses of this nature may not be available or may not be available on commercially reasonable terms.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products. It may, therefore, be necessary for us to use the patented or proprietary technology of a third party to commercialize our own technology or products, in which case we would be required to obtain a license from that third party. A license to that intellectual property may not be available or may not be available on commercially reasonable terms, which could have an adverse effect on our business and financial condition.</w:t>
      </w:r>
    </w:p>
    <w:p>
      <w:pPr>
        <w:spacing w:after="0" w:line="119"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licensing and acquisition of third-party intellectual property rights is a competitive practice.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4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have an adverse effect on the success of our business.</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biopharmaceutical industry, as well as administrative proceedings for challenging patents, including interference, reexamination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and oppositions and other comparable proceedings in foreign jurisdictions.</w:t>
      </w:r>
    </w:p>
    <w:p>
      <w:pPr>
        <w:spacing w:after="0" w:line="119"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 xml:space="preserve">We may become party to or threatened with future adversarial proceedings or litigation regarding intellectual property rights with respect to our products and technology, including interference, derivation,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Third parties may assert infringement claims against us based on existing patents or patents that may be granted in the future. As the bio-pharmaceutical industry expands and more patents are issued, the risk increases that our product candidates may give rise to claims of infringement of the patent rights of others. There may be third-party patents of which we are currently unaware with claims to materials, formulations,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454"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340"/>
        <w:spacing w:after="0" w:line="250" w:lineRule="auto"/>
        <w:rPr>
          <w:sz w:val="20"/>
          <w:szCs w:val="20"/>
          <w:color w:val="auto"/>
        </w:rPr>
      </w:pPr>
      <w:r>
        <w:rPr>
          <w:rFonts w:ascii="Arial" w:cs="Arial" w:eastAsia="Arial" w:hAnsi="Arial"/>
          <w:sz w:val="17"/>
          <w:szCs w:val="17"/>
          <w:color w:val="auto"/>
        </w:rPr>
        <w:t>methods of manufacture or methods for treatment related to the use or manufacture of our drug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1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we are found by a court of competent jurisdiction to infringe a third party’s intellectual property rights, we could be required to obtain a license from the applicable third party intellectual property holder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42"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A number of other companies, as well as universities and other organizations, file and obtain patents in the same areas as our products, which are targeted protein degraders, and these patent filings could be asserted against us or our collaborators in the future, which could have an adverse effect on the success of our business and, if successful, could lead to expensive litigation that could affect the profitability of our products and/or prohibit the sale or use of our products.</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Our MonoDAC and BiDAC product candidates are pharmaceutical small molecule targeted protein degraders. A number of companies and institutions have patent applications and issued patents in this general area, such as, for example, Arvinas, Inc.; Kymera Therapeutics, LLC.; the Dana-Farber Cancer Institute and its Center for Protein Degradation; Foghorn Therapeutics, Inc.; Nurix Therapeutics, Inc.; Roche; Novartis AG; Amgen Inc.; AstraZeneca PLC; GlaxoSmithKline PLC and others. If any of these companies or institutions or others not included in this list were to assert that one of its patents is infringed by any product we might develop or its use or manufacture, we or our collaborators may be drawn into expensive litigation, which could adversely affect our business prospects, financial condition and results of operations, require extensive time from and cause the distraction of members of our management team and employees at large. Further, if litigation of this nature were successful, that could have a material and adverse effect on the profitability of our products or prohibit their sale. We may not be aware of patent claims that are currently or may in the future be pending that could affect our business or products. Patent applications are typical published between six and eighteen months from filing and the presentation of new claims in already pending applications can sometimes not be visible to the public, which would include us, for a period of time. In addition, even after a patent application is publicly available, we may not yet have seen that patent application and may, therefore, not be aware of the claims or scope of filed and published patent applications. As a result, we cannot provide any assurance that a third party practicing in the general area of our technology will not present or has not presented a patent claim that covers one or more of our products or their methods of use or manufacture. If that were to occur, we or our collaborators, as applicable, may have to take steps to try to invalidate the applicable patent or application and, in a situation of that nature, we or our collaborators may either choose not to do so or our attempt may not be successful. If we determine that we require a license to a third party’s patent or patent application, we may discover that a license may not be available on reasonable terms, or at all.</w:t>
      </w:r>
    </w:p>
    <w:p>
      <w:pPr>
        <w:spacing w:after="0" w:line="45"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b w:val="1"/>
          <w:bCs w:val="1"/>
          <w:i w:val="1"/>
          <w:iCs w:val="1"/>
          <w:color w:val="auto"/>
        </w:rPr>
        <w:t>Our products are subject to The Drug Price Competition and Patent Term Restoration Act of 1984, which is also referred to as the Hatch Waxman Act, in the United States, which can increase the risk of litigation with generic companies trying to sell our products and may cause us to lose patent protection.</w:t>
      </w:r>
    </w:p>
    <w:p>
      <w:pPr>
        <w:ind w:right="140"/>
        <w:spacing w:after="0" w:line="233" w:lineRule="auto"/>
        <w:rPr>
          <w:sz w:val="20"/>
          <w:szCs w:val="20"/>
          <w:color w:val="auto"/>
        </w:rPr>
      </w:pPr>
      <w:r>
        <w:rPr>
          <w:rFonts w:ascii="Arial" w:cs="Arial" w:eastAsia="Arial" w:hAnsi="Arial"/>
          <w:sz w:val="17"/>
          <w:szCs w:val="17"/>
          <w:color w:val="auto"/>
        </w:rPr>
        <w:t>Because our clinical candidates are pharmaceutical molecules that will be reviewed by the Center for Drug Evaluation and Research, CDER, of the FDA, after commercialization they will be subject in the United States to the patent litigation process of the Hatch-Waxman Act, as amended to date, which allows a generic company to submit an Abbreviated New Drug Application, or ANDA, to the FDA to obtain approval to sell a generic version of our drug using bioequivalence data only. Under amendments made to the Hatch-Waxman Act, we will have the opportunity to list our patents that cover our drug products or their respective methods of use in the FDA’s compendium of “Approved Drug Products with Therapeutic Equivalence Evaluation,” sometimes referred to as the FDA’s Orange Book.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454"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Currently, in the United States, the FDA may grant five years of exclusivity for new chemical entities, or NCEs, which are drugs that contain no active portion that has been approved by the FDA in any other NDA. We expect that all of our products will qualify as NCEs. A generic company can submit an ANDA to the FDA four years after approval of any of our drug products.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generic manufacturer elects the latter, we will have 45 days to bring a patent infringement lawsuit against the generic company. If we were to do so, that would likely initiate a challenge to one or more of our Orange Book listed patents based on arguments from the generic manufacturer that our listed patents are invalid, unenforceable or not infringed. Under amendments to the Hatch-Waxman Act, if a lawsuit is brought, the FDA is prevented from issuing a final approval on the generic drug until 30 months after the end of the data exclusivity period (7.5 years) or a final decision of a court holding that our asserted patent claims are invalid, unenforceable or not infringed. If we do not properly list our relevant patents in the Orange Book or if we fail to file a lawsuit in response to a certification from a generic company under an ANDA in a timely manner, or if we do not prevail in the resulting patent litigation, we can lose our ability to benefit from a proprietary market based on patent protection covering our drug products and we may find that physicians will switch to prescribing and dispensing generic versions of our drug products. Further, even if we were to list our relevant patents in the Orange Book correctly, bring a lawsuit in a timely manner and prevail in that lawsuit, the generic litigation may come at a significant cost to us, both in terms of attorneys’ fees and employee time and distraction over a long period. Further, it is common for more than one generic company to try to sell an innovator’s drug at the same time and, as a result, we may face the cost and distraction of multiple lawsuits from generic manufacturers at the same time. We may also determine that it is necessary to settle these types of lawsuits in a manner that allows the generic company to enter our market prior to the expiration of our patent or otherwise in a manner that adversely affects the strength, validity or enforceability of our patents.</w:t>
      </w:r>
    </w:p>
    <w:p>
      <w:pPr>
        <w:spacing w:after="0" w:line="5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i w:val="1"/>
          <w:iCs w:val="1"/>
          <w:color w:val="auto"/>
        </w:rPr>
        <w:t>A number of pharmaceutical companies have been the subject of intense review by the U.S. Federal Trade Commission or a corresponding agency in another country based on how they have conducted or settled patent litigation related to pharmaceutical products. In fact, certain reviews have led to an allegation of an anti-trust violation, sometimes resulting in a fine or loss of rights. We cannot be sure that we would not also be subject to a review of this nature or that the result of a review of this nature would be favorable to us, or that any review of this nature would not result in a fine or penalty.</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 xml:space="preserve">The U.S. Federal Trade Commission, or FTC, has brought a number of lawsuits in federal court in the past few years to challenge ANDA litigation settlements reached between innovator companies and generic companies as anti-competitive. As an example, the FTC has taken an aggressive position that anything of value is a payment, whether money is paid or not. Under their approach, if an innovator, as part of a patent settlement, agrees not to launch or delay its launch of an authorized generic during the 180-day period granted to the first generic company to challenge an Orange Book listed patent covering an innovator drug, or negotiates a delay in entry without payment, the FTC may consider it an unacceptable reverse payment. Companies in the pharmaceutical industry have argued that these types of agreements are rational business decisions entered into by drug innovators as a way to address risk and that these settlements should, therefore, be immune from antitrust attack if the terms of the settlement are within the scope of the exclusionary potential of the patent. In 2013, the U.S. Supreme Court in a five-to-three decision in </w:t>
      </w:r>
      <w:r>
        <w:rPr>
          <w:rFonts w:ascii="Arial" w:cs="Arial" w:eastAsia="Arial" w:hAnsi="Arial"/>
          <w:sz w:val="16"/>
          <w:szCs w:val="16"/>
          <w:i w:val="1"/>
          <w:iCs w:val="1"/>
          <w:color w:val="auto"/>
        </w:rPr>
        <w:t>FTC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Actavis, Inc. </w:t>
      </w:r>
      <w:r>
        <w:rPr>
          <w:rFonts w:ascii="Arial" w:cs="Arial" w:eastAsia="Arial" w:hAnsi="Arial"/>
          <w:sz w:val="16"/>
          <w:szCs w:val="16"/>
          <w:color w:val="auto"/>
        </w:rPr>
        <w:t>rejected both the pharmaceutical industry’s and FTC’s arguments with regard to so-called reverse payments. Instead, the Supreme Court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drug to enter the market before the patent expires on the branded drug without the patentee paying the generic manufacturer. Further, whether a reverse payment is justified depends upon its size, scale in relation to the patentee’s anticipated future litigation costs, and independence from other services for which it might represent payment (as was the case in </w:t>
      </w:r>
      <w:r>
        <w:rPr>
          <w:rFonts w:ascii="Arial" w:cs="Arial" w:eastAsia="Arial" w:hAnsi="Arial"/>
          <w:sz w:val="16"/>
          <w:szCs w:val="16"/>
          <w:i w:val="1"/>
          <w:iCs w:val="1"/>
          <w:color w:val="auto"/>
        </w:rPr>
        <w:t>Actavis</w:t>
      </w:r>
      <w:r>
        <w:rPr>
          <w:rFonts w:ascii="Arial" w:cs="Arial" w:eastAsia="Arial" w:hAnsi="Arial"/>
          <w:sz w:val="16"/>
          <w:szCs w:val="16"/>
          <w:color w:val="auto"/>
        </w:rPr>
        <w:t>), as well as the lack of any other convincing justification. The Supreme Court instead held that reverse payment settlements can potentially violate antitrust laws and are subject to the standard antitrust rule-of-reason analysis, with the burden of</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454"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proving that an agreement is unlawful on the FTC. In reaching this decision, the Supreme Court left to the lower courts the structuring of this rule of reason analysis.</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are faced with drug patent litigation, including Hatch-Waxman litigation with a generic company, we could be faced with an FTC challenge of this nature, which challenge could impact how or whether we settle the case and, even if we strongly disagree with the FTC’s position, we could face a significant expense or penalty. Any litigation settlements we enter into with generic companies under the Hatch-Waxman Act could also be challenged by third-party payors such as insurance companies, direct purchasers or others who consider themselves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42" w:lineRule="exact"/>
        <w:rPr>
          <w:sz w:val="20"/>
          <w:szCs w:val="20"/>
          <w:color w:val="auto"/>
        </w:rPr>
      </w:pPr>
    </w:p>
    <w:p>
      <w:pPr>
        <w:ind w:right="540"/>
        <w:spacing w:after="0" w:line="258" w:lineRule="auto"/>
        <w:rPr>
          <w:sz w:val="20"/>
          <w:szCs w:val="20"/>
          <w:color w:val="auto"/>
        </w:rPr>
      </w:pPr>
      <w:r>
        <w:rPr>
          <w:rFonts w:ascii="Arial" w:cs="Arial" w:eastAsia="Arial" w:hAnsi="Arial"/>
          <w:sz w:val="17"/>
          <w:szCs w:val="17"/>
          <w:b w:val="1"/>
          <w:bCs w:val="1"/>
          <w:i w:val="1"/>
          <w:iCs w:val="1"/>
          <w:color w:val="auto"/>
        </w:rPr>
        <w:t>We may not be able to obtain patent term extension under the Drug Price Competition and Patent Term Restoration Act of 1984 in the United States and, as a result, our product candidates, if approved, may not have patent protection for a sufficient period.</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length of the patent term extension is typically calculated as one-half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our failure to apply within the applicable period, failure to apply prior to the expiration of relevant patents or other failure to satisfy any of the numerous applicable requirements. Moreover, the applicable authorities, including the FDA and the USPTO in the United States and any equivalent regulatory authority in other countries, may not agree with our assessment of whether extensions of this nature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an adverse effect on our ability to generate product revenue.</w:t>
      </w:r>
    </w:p>
    <w:p>
      <w:pPr>
        <w:spacing w:after="0" w:line="12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In 1997, as part of the Food &amp; Drug Administration Modernization Act, or FDAMA, Congress enacted a law that provides incentives to drug manufacturers who conduct studies of drugs in children. The law, which provides six-months exclusivity in return for conducting pediatric studies, is referred to as the “pediatric exclusivity provision.” If we were to conduct clinical trials that comply with the FDAMA, we could receive an additional six-month term added to our regulatory data exclusivity period and on the patent term extension period, if received, on our product. However, if we choose not to carry out pediatric studies that comply with the FDAMA, or carry out studies that are not accepted by the FDA for this purpose, we would not receive this additional six-month exclusivity extension to our data exclusivity or our patent term extension.</w:t>
      </w:r>
    </w:p>
    <w:p>
      <w:pPr>
        <w:spacing w:after="0" w:line="12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Europe, supplementary protection certificates are available to extend a patent term up to five years to compensate for patent term lost during regulatory review, and this period can be extended to five and a half years if data from clinical trials is obtained in accordance with an agreed Pediatric Investigation Plan. Although all countries in Europe must provide supplementary protection certificates, there is no unified legislation among European countries and, as a result, drug developers must apply for supplementary protection certificates on a country-by-country basis. As a result, a company may need to expend significant resources to apply for and receive these certificates in all relevant countries and may receive them in some, but not all, countries, if at all.</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Weakening patent laws and enforcement by courts in the United States and foreign countries may impact our ability to protect our markets.</w:t>
      </w:r>
    </w:p>
    <w:p>
      <w:pPr>
        <w:spacing w:after="0" w:line="50"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454"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1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European Patent Office, or patent litigation and other proceedings in a foreign court. If so, uncertainties resulting from the initiation and continuation of such proceedings could have an adverse effect on our ability to compete in the market place. The cost of foreign adversarial proceedings can also be substantial, and in many foreign jurisdictions, the losing party must pay the attorney fees of the winning party.</w:t>
      </w:r>
    </w:p>
    <w:p>
      <w:pPr>
        <w:spacing w:after="0" w:line="42"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consultants or contractors have misappropriated the applicable third party’s intellectual property or claiming ownership of what we regard as our own intellectual property.</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while it is our policy to require our employees, consultants and contractors who may be involved in the development of intellectual property to execute agreements assigning any resulting intellectual property to us, we may be unsuccessful in executing an agreement to that effect with each party who in fact develops intellectual property that we regard as our own. Assignment agreements of this nature may not be self-executing or may be breached and we may be forced to bring claims against third parties or defend claims they may bring against us, to determine the ownership of what we regard as our intellectual property. In addition, an employee or contractor could create an invention but not inform us of it, in which case we could lose the benefit of the invention and the employee or contractor may leave to develop the invention elsewhere.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3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proceedings of this nature more effectively than we can because of their greater financial resources. Uncertainties resulting from the initiation and continuation of patent litigation or other proceedings could compromise our ability to compete in the marketplace.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454"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many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4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These agreements may not effectively prevent disclosure of confidential information nor result in the effective assignment to us of intellectual property and may not provide an adequate remedy in the event of unauthorized disclosure of confidential information or other breaches of the agreements. In addition, others may independently discover our trade secrets and proprietary information. In that case, we could not assert any trade secret rights against that third party.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of a dispute of this nature is inherently unpredictable. Costly and time-consuming litigation could be necessary to seek to enforce and determine the scope of our proprietary rights and our failure to obtain or maintain trade secret protection could adversely affect our competitive business position. In addition, some courts outside of the United States are less willing or unwilling to protect trade secrets. The Defend Trade Secrets Act of 2016 is a U.S. federal law that allows an owner of a trade secret to sue in federal court when its trade secret has been misappropriated. Congress passed this law in an attempt to strengthen the rights of trade secret owners whose valuable assets are taken without authorization.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28" w:lineRule="exact"/>
        <w:rPr>
          <w:sz w:val="20"/>
          <w:szCs w:val="20"/>
          <w:color w:val="auto"/>
        </w:rPr>
      </w:pPr>
    </w:p>
    <w:p>
      <w:pPr>
        <w:ind w:right="520"/>
        <w:spacing w:after="0" w:line="259" w:lineRule="auto"/>
        <w:rPr>
          <w:sz w:val="20"/>
          <w:szCs w:val="20"/>
          <w:color w:val="auto"/>
        </w:rPr>
      </w:pPr>
      <w:r>
        <w:rPr>
          <w:rFonts w:ascii="Arial" w:cs="Arial" w:eastAsia="Arial" w:hAnsi="Arial"/>
          <w:sz w:val="17"/>
          <w:szCs w:val="17"/>
          <w:b w:val="1"/>
          <w:bCs w:val="1"/>
          <w:i w:val="1"/>
          <w:iCs w:val="1"/>
          <w:color w:val="auto"/>
        </w:rPr>
        <w:t>We only have limited geographical protection with respect to certain of our patents and we may not be able to protect our intellectual property rights throughout the world.</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Filing, prosecuting and defending patents covering our product candidates in all countries throughout the world would be prohibitively expensive. As a result, our intellectual property rights in some countries outside the United States can be less extensive than the protection we might have in the United States. In-licensing patents covering our product candidates in all countries throughout the world may similarly be prohibitively expensive, if these in-licensing opportunities are available to us at all. Further, in-licensing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454"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addition, we may decide to abandon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12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11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Proceedings to enforce our patent rights in foreign jurisdictions, whether or not successful, are likely to result in substantial costs and divert our efforts and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120"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7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i w:val="1"/>
          <w:iCs w:val="1"/>
          <w:color w:val="auto"/>
        </w:rPr>
        <w:t>The regulatory approval processes of the FDA and foreign regulatory authorities are lengthy, time-consuming and inherently unpredictable and, if we are ultimately unable to obtain marketing approval for our product candidates, our business will be substantially harmed.</w:t>
      </w:r>
    </w:p>
    <w:p>
      <w:pPr>
        <w:spacing w:after="0" w:line="1"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The time required to obtain approval by the FDA and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will ever obtain marketing approval.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454"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Our product candidates could fail to receive marketing approval for many reasons, including the following:</w:t>
      </w:r>
    </w:p>
    <w:p>
      <w:pPr>
        <w:spacing w:after="0" w:line="192" w:lineRule="exact"/>
        <w:rPr>
          <w:sz w:val="20"/>
          <w:szCs w:val="20"/>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the FDA may disagree with the design or implementation of our clinical trials;</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we may be unable to demonstrate to the satisfaction of the FDA that a product candidate is safe and effective for its proposed indication;</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results of clinical trials may not meet the level of statistical significance required by the FDA for approval;</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the FDA may disagree with our interpretation of data from preclinical studies or clinical trials;</w:t>
      </w:r>
    </w:p>
    <w:p>
      <w:pPr>
        <w:spacing w:after="0" w:line="31" w:lineRule="exact"/>
        <w:rPr>
          <w:rFonts w:ascii="MS PGothic" w:cs="MS PGothic" w:eastAsia="MS PGothic" w:hAnsi="MS PGothic"/>
          <w:sz w:val="12"/>
          <w:szCs w:val="12"/>
          <w:color w:val="auto"/>
        </w:rPr>
      </w:pPr>
    </w:p>
    <w:p>
      <w:pPr>
        <w:ind w:left="880" w:right="80" w:hanging="432"/>
        <w:spacing w:after="0" w:line="254" w:lineRule="auto"/>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data collected from clinical trials of our product candidates may not be sufficient to support the submission of an NDA to the FDA or other submission or to obtain marketing approval in the United States;</w:t>
      </w:r>
    </w:p>
    <w:p>
      <w:pPr>
        <w:ind w:left="880" w:right="140" w:hanging="432"/>
        <w:spacing w:after="0" w:line="254" w:lineRule="auto"/>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the FDA may find deficiencies with or fail to approve the manufacturing processes or facilities of third-party manufacturers with which we contract for clinical and commercial supplies; and</w:t>
      </w: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the approval policies or regulations of the FDA may significantly change in a manner rendering our clinical data insufficient for approval.</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has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w:t>
      </w:r>
    </w:p>
    <w:p>
      <w:pPr>
        <w:spacing w:after="0" w:line="10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4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1"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In order to market any products in any particular jurisdiction, we must establish and comply with numerous and varying regulatory requirements on a country-by-country basis regarding safety and efficacy.</w:t>
      </w:r>
    </w:p>
    <w:p>
      <w:pPr>
        <w:spacing w:after="0" w:line="115"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18"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00"/>
          </w:cols>
          <w:pgMar w:left="320" w:top="454" w:right="3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500"/>
        <w:spacing w:after="0" w:line="249" w:lineRule="auto"/>
        <w:rPr>
          <w:sz w:val="20"/>
          <w:szCs w:val="20"/>
          <w:color w:val="auto"/>
        </w:rPr>
      </w:pPr>
      <w:r>
        <w:rPr>
          <w:rFonts w:ascii="Arial" w:cs="Arial" w:eastAsia="Arial" w:hAnsi="Arial"/>
          <w:sz w:val="17"/>
          <w:szCs w:val="17"/>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1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61" w:lineRule="exact"/>
        <w:rPr>
          <w:sz w:val="20"/>
          <w:szCs w:val="20"/>
          <w:color w:val="auto"/>
        </w:rPr>
      </w:pPr>
    </w:p>
    <w:p>
      <w:pPr>
        <w:ind w:left="880" w:right="520" w:hanging="432"/>
        <w:spacing w:after="0" w:line="255" w:lineRule="auto"/>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restrictions on the marketing or manufacturing of our products, withdrawal of the product from the market or voluntary or mandatory product recalls;</w:t>
      </w:r>
    </w:p>
    <w:p>
      <w:pPr>
        <w:spacing w:after="0" w:line="1" w:lineRule="exact"/>
        <w:rPr>
          <w:rFonts w:ascii="MS PGothic" w:cs="MS PGothic" w:eastAsia="MS PGothic" w:hAnsi="MS PGothic"/>
          <w:sz w:val="12"/>
          <w:szCs w:val="12"/>
          <w:color w:val="auto"/>
        </w:rPr>
      </w:pPr>
    </w:p>
    <w:p>
      <w:pPr>
        <w:ind w:left="880" w:hanging="432"/>
        <w:spacing w:after="0"/>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fines, warning letters or holds on clinical trials;</w:t>
      </w:r>
    </w:p>
    <w:p>
      <w:pPr>
        <w:spacing w:after="0" w:line="31" w:lineRule="exact"/>
        <w:rPr>
          <w:rFonts w:ascii="MS PGothic" w:cs="MS PGothic" w:eastAsia="MS PGothic" w:hAnsi="MS PGothic"/>
          <w:sz w:val="12"/>
          <w:szCs w:val="12"/>
          <w:color w:val="auto"/>
        </w:rPr>
      </w:pPr>
    </w:p>
    <w:p>
      <w:pPr>
        <w:ind w:left="880" w:right="280" w:hanging="432"/>
        <w:spacing w:after="0" w:line="254" w:lineRule="auto"/>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refusal by the FDA to approve pending applications or supplements to approved applications filed by us or suspension or revocation of license approvals;</w:t>
      </w:r>
    </w:p>
    <w:p>
      <w:pPr>
        <w:ind w:left="880" w:hanging="432"/>
        <w:spacing w:after="0"/>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product seizure or detention or refusal to permit the import or export of our product candidates;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injunctions or the imposition of civil or criminal penalties.</w:t>
      </w:r>
    </w:p>
    <w:p>
      <w:pPr>
        <w:spacing w:after="0" w:line="150"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0"/>
          </w:cols>
          <w:pgMar w:left="320" w:top="454"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40"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ind w:right="40"/>
        <w:spacing w:after="0" w:line="233" w:lineRule="auto"/>
        <w:rPr>
          <w:sz w:val="20"/>
          <w:szCs w:val="20"/>
          <w:color w:val="auto"/>
        </w:rPr>
      </w:pPr>
      <w:r>
        <w:rPr>
          <w:rFonts w:ascii="Arial" w:cs="Arial" w:eastAsia="Arial" w:hAnsi="Arial"/>
          <w:sz w:val="17"/>
          <w:szCs w:val="17"/>
          <w:color w:val="auto"/>
        </w:rPr>
        <w:t>We may seek Breakthrough Therapy designation for our CFT7455 and CFT8634 product candidates and some or all of our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intend to seek Breakthrough Therapy designation for CFT7455 and CFT8634 and some or all of our future product candidates for the treatment of various cancers, there can be no assurance that we will receive breakthrough therapy designation.</w:t>
      </w:r>
    </w:p>
    <w:p>
      <w:pPr>
        <w:spacing w:after="0" w:line="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i w:val="1"/>
          <w:iCs w:val="1"/>
          <w:color w:val="auto"/>
        </w:rPr>
        <w:t>A Fast Track designation by the FDA, even if granted for CFT7455 and/or CFT8634, or any of our other current or future product candidates, may not lead to a faster development or regulatory review or approval process and does not increase the likelihood that our product candidates will receive marketing approval.</w:t>
      </w:r>
    </w:p>
    <w:p>
      <w:pPr>
        <w:ind w:right="20"/>
        <w:spacing w:after="0" w:line="232" w:lineRule="auto"/>
        <w:rPr>
          <w:sz w:val="20"/>
          <w:szCs w:val="20"/>
          <w:color w:val="auto"/>
        </w:rPr>
      </w:pPr>
      <w:r>
        <w:rPr>
          <w:rFonts w:ascii="Arial" w:cs="Arial" w:eastAsia="Arial" w:hAnsi="Arial"/>
          <w:sz w:val="17"/>
          <w:szCs w:val="17"/>
          <w:color w:val="auto"/>
        </w:rPr>
        <w:t>We may seek Fast Track designation for one or more of our future product candidates. If a drug is intended for the treatment of a serious or life-threatening condition and the drug demonstrates the potential to address unmet medical needs for this condition, the drug sponsor may apply for FDA Fast Track designation for a particular indication. We may seek Fast Track designation for CFT7455 and/or CFT8634 and certain of our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41" w:lineRule="exact"/>
        <w:rPr>
          <w:sz w:val="20"/>
          <w:szCs w:val="20"/>
          <w:color w:val="auto"/>
        </w:rPr>
      </w:pPr>
    </w:p>
    <w:p>
      <w:pPr>
        <w:jc w:val="both"/>
        <w:ind w:right="460"/>
        <w:spacing w:after="0" w:line="274" w:lineRule="auto"/>
        <w:rPr>
          <w:sz w:val="20"/>
          <w:szCs w:val="20"/>
          <w:color w:val="auto"/>
        </w:rPr>
      </w:pPr>
      <w:r>
        <w:rPr>
          <w:rFonts w:ascii="Arial" w:cs="Arial" w:eastAsia="Arial" w:hAnsi="Arial"/>
          <w:sz w:val="16"/>
          <w:szCs w:val="16"/>
          <w:b w:val="1"/>
          <w:bCs w:val="1"/>
          <w:i w:val="1"/>
          <w:i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seek Orphan Drug Designation for one or more of our current or future product candidates. Regulatory authorities in some jurisdictions, including the United States and Europe, may designate drugs for relatively small patient populations as orphan drugs. Under the Orphan Drug Act, the FDA may grant orphan designation to a drug intended to treat a rare disease or condition, defined as a disease or condition with a patient population of fewer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454"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drugs that have a different active ingredient for use in treating the same indication or disease. Further, the FDA can waive orphan exclusivity if we are unable to manufacture sufficient supply of our product.</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seek orphan drug designation for CFT7455, CFT8634 and some or all of our other current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spacing w:after="0" w:line="45"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b w:val="1"/>
          <w:bCs w:val="1"/>
          <w:i w:val="1"/>
          <w:iCs w:val="1"/>
          <w:color w:val="auto"/>
        </w:rPr>
        <w:t>Accelerated approval by the FDA, even if granted for CFT7455 and/or CFT8634, or any other current or future product candidates, may not lead to a faster development or regulatory review or approval process and it does not increase the likelihood that our product candidates will receive marketing approval.</w:t>
      </w:r>
    </w:p>
    <w:p>
      <w:pPr>
        <w:ind w:right="100"/>
        <w:spacing w:after="0" w:line="232" w:lineRule="auto"/>
        <w:rPr>
          <w:sz w:val="20"/>
          <w:szCs w:val="20"/>
          <w:color w:val="auto"/>
        </w:rPr>
      </w:pPr>
      <w:r>
        <w:rPr>
          <w:rFonts w:ascii="Arial" w:cs="Arial" w:eastAsia="Arial" w:hAnsi="Arial"/>
          <w:sz w:val="17"/>
          <w:szCs w:val="17"/>
          <w:color w:val="auto"/>
        </w:rPr>
        <w:t>We plan to seek accelerated approval of CFT7455 and CFT8634 and may seek approval of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As a condition of approval, the FDA may require that a sponsor of a drug receiving accelerated approval perform adequate and well 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Further, receiving accelerated approval does not provide assurance of ultimate full FDA approval.</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these laws, we could face substantial penalties.</w:t>
      </w:r>
    </w:p>
    <w:p>
      <w:pPr>
        <w:ind w:right="220"/>
        <w:spacing w:after="0" w:line="254"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00"/>
          </w:cols>
          <w:pgMar w:left="320" w:top="454" w:right="3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 The applicable federal, state and foreign healthcare laws and regulations laws that may affect our ability to operate include, but are not limited to those listed under the section titled “Business—Governmental Regulations” in this prospectus.</w:t>
      </w:r>
    </w:p>
    <w:p>
      <w:pPr>
        <w:spacing w:after="0" w:line="12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w:t>
      </w:r>
    </w:p>
    <w:p>
      <w:pPr>
        <w:spacing w:after="0" w:line="2" w:lineRule="exact"/>
        <w:rPr>
          <w:sz w:val="20"/>
          <w:szCs w:val="20"/>
          <w:color w:val="auto"/>
        </w:rPr>
      </w:pPr>
    </w:p>
    <w:p>
      <w:pPr>
        <w:jc w:val="both"/>
        <w:ind w:right="600"/>
        <w:spacing w:after="0" w:line="259" w:lineRule="auto"/>
        <w:rPr>
          <w:sz w:val="20"/>
          <w:szCs w:val="20"/>
          <w:color w:val="auto"/>
        </w:rPr>
      </w:pPr>
      <w:r>
        <w:rPr>
          <w:rFonts w:ascii="Arial" w:cs="Arial" w:eastAsia="Arial" w:hAnsi="Arial"/>
          <w:sz w:val="16"/>
          <w:szCs w:val="16"/>
          <w:color w:val="auto"/>
        </w:rPr>
        <w:t>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0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45"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w:t>
      </w:r>
    </w:p>
    <w:p>
      <w:pPr>
        <w:spacing w:after="0" w:line="112"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158" w:lineRule="exact"/>
        <w:rPr>
          <w:sz w:val="20"/>
          <w:szCs w:val="20"/>
          <w:color w:val="auto"/>
        </w:rPr>
      </w:pPr>
    </w:p>
    <w:p>
      <w:pPr>
        <w:ind w:left="880" w:hanging="432"/>
        <w:spacing w:after="0"/>
        <w:tabs>
          <w:tab w:leader="none" w:pos="88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a covered benefit under its health plan;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320" w:top="454" w:right="3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hanging="432"/>
        <w:spacing w:after="0"/>
        <w:tabs>
          <w:tab w:leader="none" w:pos="88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safe, effective and medically necessary;</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appropriate for the specific patient;</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cost-effective;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neither experimental nor investigational.</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A decision by a third-party payor not to cover or not to separately reimburse for our medical products or therapies using our products could reduce physician utilization of our products once approved. We cannot be sure that coverage and reimbursement in the United States will be available for our current or future product candidates or for any procedures using our current or future product candidates, and any reimbursement that may become available may not be adequate or may be decreased or eliminated in the future.</w:t>
      </w:r>
    </w:p>
    <w:p>
      <w:pPr>
        <w:spacing w:after="0" w:line="123"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2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2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Lastly, in some foreign countries, the proposed pricing for a drug must be approved before it may be lawfully marketed. The requirements governing drug pricing vary widely from country to country. For example, countries in the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Social Security Fund. The price of medicines is negotiated with the Economic Committee for Health Products.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454"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structures of the United States and generally prices in the European Union tend to be significantly lower than prices in the United States.</w:t>
      </w:r>
    </w:p>
    <w:p>
      <w:pPr>
        <w:spacing w:after="0" w:line="74" w:lineRule="exact"/>
        <w:rPr>
          <w:sz w:val="20"/>
          <w:szCs w:val="20"/>
          <w:color w:val="auto"/>
        </w:rPr>
      </w:pPr>
    </w:p>
    <w:p>
      <w:pPr>
        <w:ind w:right="820"/>
        <w:spacing w:after="0" w:line="258" w:lineRule="auto"/>
        <w:rPr>
          <w:sz w:val="20"/>
          <w:szCs w:val="20"/>
          <w:color w:val="auto"/>
        </w:rPr>
      </w:pPr>
      <w:r>
        <w:rPr>
          <w:rFonts w:ascii="Arial" w:cs="Arial" w:eastAsia="Arial" w:hAnsi="Arial"/>
          <w:sz w:val="17"/>
          <w:szCs w:val="17"/>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1"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Affordable Care Act, or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63" w:lineRule="exact"/>
        <w:rPr>
          <w:sz w:val="20"/>
          <w:szCs w:val="20"/>
          <w:color w:val="auto"/>
        </w:rPr>
      </w:pPr>
    </w:p>
    <w:p>
      <w:pPr>
        <w:ind w:left="880" w:right="140" w:hanging="432"/>
        <w:spacing w:after="0" w:line="247" w:lineRule="auto"/>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ind w:left="880" w:right="120" w:hanging="432"/>
        <w:spacing w:after="0" w:line="254" w:lineRule="auto"/>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ind w:left="880" w:right="360" w:hanging="432"/>
        <w:spacing w:after="0" w:line="246" w:lineRule="auto"/>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a licensure framework for follow-on biologic products;</w:t>
      </w:r>
    </w:p>
    <w:p>
      <w:pPr>
        <w:spacing w:after="0" w:line="31" w:lineRule="exact"/>
        <w:rPr>
          <w:rFonts w:ascii="MS PGothic" w:cs="MS PGothic" w:eastAsia="MS PGothic" w:hAnsi="MS PGothic"/>
          <w:sz w:val="12"/>
          <w:szCs w:val="12"/>
          <w:color w:val="auto"/>
        </w:rPr>
      </w:pPr>
    </w:p>
    <w:p>
      <w:pPr>
        <w:ind w:left="880" w:right="140" w:hanging="432"/>
        <w:spacing w:after="0" w:line="254" w:lineRule="auto"/>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creation of a new Patient-Centered Outcomes Research Institute to oversee and conduct comparative clinical effectiveness research, as well as funding for such research; and</w:t>
      </w:r>
    </w:p>
    <w:p>
      <w:pPr>
        <w:ind w:left="880" w:right="300" w:hanging="432"/>
        <w:spacing w:after="0" w:line="269" w:lineRule="auto"/>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establishment of a Center for Medicare &amp; Medicaid Innovation at CMS to test innovative payment and service delivery models to lower Medicare and Medicaid spending, potentially including prescription drug spending.</w:t>
      </w:r>
    </w:p>
    <w:p>
      <w:pPr>
        <w:spacing w:after="0" w:line="9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There remain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Tax Cuts and Jobs Act.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It is unclear when oral arguments on this case are to be held and when a decision on this case might be made. It is also unclear how such litigation and other efforts to repeal and replace the ACA will impact the ACA and our business.</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pursuant to the CARES Act, these Medicare sequester reductions have been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454"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statute of limitations period for the government to recover overpayments to providers from three to five years. Additionally, the Bipartisan Budget Act of 2018, or BBA, among other things,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 These new laws or any other similar laws introduced in the future may result in additional reductions in Medicare and other health care funding, which could negatively affect our customers and accordingly, our financial operations.</w:t>
      </w:r>
    </w:p>
    <w:p>
      <w:pPr>
        <w:spacing w:after="0" w:line="11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w:t>
      </w:r>
    </w:p>
    <w:p>
      <w:pPr>
        <w:spacing w:after="0" w:line="2"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beneficiary out-of-pocket pharmacy expenses, provide an option to cap Medicare Part D beneficiary monthly out-of-pocket expenses and place limits on pharmaceutical price increases. On May 11, 2018, President Trump laid out his administration’s “Blueprint” to lower drug prices and</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reduce out-of-pocket costs of prescription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The Trump administration’s recent budget proposal for fiscal year 2021 includes a $135 billion allowance to support legislative proposals seeking to reduce drug prices, increase competition, lower out-of-pocket drug costs for patients, and increase patient access to lower-cost generic and biosimilar drugs. Although such measures may require additional authorization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20"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adversely affect our business prospects,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2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the federal and state governments will pay for healthcare products and services. This could result in reduced demand for any product candidate we develop or could result in additional pricing pressures.</w:t>
      </w:r>
    </w:p>
    <w:p>
      <w:pPr>
        <w:spacing w:after="0" w:line="11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20"/>
          </w:cols>
          <w:pgMar w:left="320" w:top="454" w:right="3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further uncertainty is introduced if and when these laws change. For example, in Canada, price control legislation for patented medicines is currently undergoing significant change that may have significant effects on profitability for companies selling products in Canada.</w:t>
      </w:r>
    </w:p>
    <w:p>
      <w:pPr>
        <w:spacing w:after="0" w:line="9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any other jurisdiction. It is possible that additional governmental action will be taken to address the COVID-19 pandemic. 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spacing w:after="0" w:line="41"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b w:val="1"/>
          <w:bCs w:val="1"/>
          <w:i w:val="1"/>
          <w:iCs w:val="1"/>
          <w:color w:val="auto"/>
        </w:rPr>
        <w:t>We may face potential liability under the applicable privacy laws if we obtain identifiable patient health information from clinical trials sponsored by us.</w:t>
      </w:r>
    </w:p>
    <w:p>
      <w:pPr>
        <w:spacing w:after="0" w:line="1"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Most healthcare providers, including certain research institutions from which we may obtain patient health information, are subject to privacy and security regulations promulgated under the Health Insurance Portability and Accountability Act of 1966, or HIPAA, as amended by the Health Information Technology for Economic and Clinical Health Act, or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and/or directly from individuals (or their healthcare providers) who may enroll in patient assistance programs if we choose to implement these types of programs. As a result, we may be subject to state laws requiring notification of affected individuals and state regulators in the event of a breach of personal information, which is a broader class of information than the health information protected by HIPAA.</w:t>
      </w:r>
    </w:p>
    <w:p>
      <w:pPr>
        <w:spacing w:after="0" w:line="11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Recently, California passed the California Data Privacy Protection Act of 2018, or the CCPA, which went into effect in January 2020. The CCPA provides new data privacy rights for consumers and new operational requirements for companies, including placing increased privacy and security obligations on entities handling certain personal data of consumers or households. These requirements could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new California law may lead to similar laws in other U.S. states or at a national level, which could increase our potential liability and adversely affect our business, which exemplifies the vulnerability of our business to the evolving regulatory environment related to personal data and protected health information.</w:t>
      </w:r>
    </w:p>
    <w:p>
      <w:pPr>
        <w:spacing w:after="0" w:line="11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454"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process where that processing is subject to the GDPR. In addition, we may be required to put in place additional mechanisms to ensure compliance with the GDPR, including GDPR requirements as implemented by individual countries. Compliance with the GDPR will be a rigorous and time-intensive process that may increase our cost of doing business or require us to change our business practices. Despite those efforts, there is a risk that we may be subject to fines and penalties, litigation and reputational harm in connection with our European activities.</w:t>
      </w:r>
    </w:p>
    <w:p>
      <w:pPr>
        <w:spacing w:after="0" w:line="11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may not be able to do so in the future, which could increase our costs and limit our ability to process personal data from the European Union.</w:t>
      </w:r>
    </w:p>
    <w:p>
      <w:pPr>
        <w:spacing w:after="0" w:line="123"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the GDPR. During the period of “transition” (i.e., until December 31, 2020), EU law will continue to apply in the United Kingdom, including the GDPR, after which the GDPR will be converted into UK law. Beginning in 2021, the United Kingdom will be a “third country” under the GDPR. We may, however, incur liabilities, expenses, costs and other operational losses under the GDPR and applicable EU Member States and the UK privacy laws in connection with any measures we take to comply with them.</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Further,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2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2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Additionally, we are subject to state and foreign equivalents of each of the healthcare laws described above, among others, some of which may be broader in scope and may apply regardless of the payor.</w:t>
      </w:r>
    </w:p>
    <w:p>
      <w:pPr>
        <w:spacing w:after="0" w:line="15"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an adverse effect on the success of our business.</w:t>
      </w:r>
    </w:p>
    <w:p>
      <w:pPr>
        <w:spacing w:after="0" w:line="1" w:lineRule="exact"/>
        <w:rPr>
          <w:sz w:val="20"/>
          <w:szCs w:val="20"/>
          <w:color w:val="auto"/>
        </w:rPr>
      </w:pPr>
    </w:p>
    <w:p>
      <w:pPr>
        <w:ind w:right="700"/>
        <w:spacing w:after="0" w:line="24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320" w:top="454"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Upon an event of this nature, we may be held liable for any resulting damages and such liability could exceed our resources and state or federal or other applicable authorities 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27"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40"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31"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Operational Matters</w:t>
      </w:r>
    </w:p>
    <w:p>
      <w:pPr>
        <w:spacing w:after="0" w:line="7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medical personnel, sales and marketing and other personnel. We are highly dependent on our management, scientific and medical personnel, including our President and Chief Executive Officer, our Chief Scientific Officer, our Chief Medical Officer, our Chief Financial Officer and our Chief Legal Officer. Our Chief Financial Officer is presently a consultant. While we expect to engage in an orderly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454"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1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 For example, the president’s Proclamation Suspending Entry of Aliens Who Present a Risk to the U.S. Labor Market Following the Coronavirus Outbreak, which was issued in June 2020, may adversely affect our ability to hire and retain highly qualified personnel who are not U.S. citizens or permanent residents.</w:t>
      </w:r>
    </w:p>
    <w:p>
      <w:pPr>
        <w:spacing w:after="0" w:line="12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To encourage valuable employees to remain at our company, in addition to salary and cash incentives, we have provided stock options that vest over time. The value to our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 notice. Our success also depends on our ability to continue to attract, retain and motivate highly skilled junior, mid-level and senior managers, as well as junior, mid-level and senior scientific, medical and general and administrative personnel.</w:t>
      </w:r>
    </w:p>
    <w:p>
      <w:pPr>
        <w:spacing w:after="0" w:line="12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40" w:lineRule="exact"/>
        <w:rPr>
          <w:sz w:val="20"/>
          <w:szCs w:val="20"/>
          <w:color w:val="auto"/>
        </w:rPr>
      </w:pPr>
    </w:p>
    <w:p>
      <w:pPr>
        <w:ind w:right="460"/>
        <w:spacing w:after="0" w:line="258" w:lineRule="auto"/>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 which could disrupt our operations.</w:t>
      </w:r>
    </w:p>
    <w:p>
      <w:pPr>
        <w:spacing w:after="0" w:line="1"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As of June 30, 2020, we had 88 full-time employees, including 74 employees engaged in research and development. We also engage additional full-time equivalent researchers through our Indian CRO. We expect to experience significant growth in the number of our employees and the scope of our operations, particularly in the areas of drug development, manufacturing, regulatory affairs and, if any of our product candidates receives marketing approval, sales, marketing and distribution. In addition, in connection with our transition to being a publicly traded company, we expect to increase the size of our general and administrative teams to support the growth of our business and the requirements of being a publicly traded company. To manage our anticipated future growth, we must continue to implement and improve our managerial, operational and financial systems, expand our facilities and continue to recruit and train additional qualified personnel. Future growth would impose significant added responsibilities on members of management, including:</w:t>
      </w:r>
    </w:p>
    <w:p>
      <w:pPr>
        <w:spacing w:after="0" w:line="165" w:lineRule="exact"/>
        <w:rPr>
          <w:sz w:val="20"/>
          <w:szCs w:val="20"/>
          <w:color w:val="auto"/>
        </w:rPr>
      </w:pPr>
    </w:p>
    <w:p>
      <w:pPr>
        <w:ind w:left="880" w:hanging="432"/>
        <w:spacing w:after="0"/>
        <w:tabs>
          <w:tab w:leader="none" w:pos="88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identifying, recruiting, integrating, maintaining and motivating additional employees;</w:t>
      </w:r>
    </w:p>
    <w:p>
      <w:pPr>
        <w:spacing w:after="0" w:line="33" w:lineRule="exact"/>
        <w:rPr>
          <w:rFonts w:ascii="MS PGothic" w:cs="MS PGothic" w:eastAsia="MS PGothic" w:hAnsi="MS PGothic"/>
          <w:sz w:val="12"/>
          <w:szCs w:val="12"/>
          <w:color w:val="auto"/>
        </w:rPr>
      </w:pPr>
    </w:p>
    <w:p>
      <w:pPr>
        <w:ind w:left="880" w:hanging="432"/>
        <w:spacing w:after="0" w:line="254" w:lineRule="auto"/>
        <w:tabs>
          <w:tab w:leader="none" w:pos="88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managing our internal development efforts effectively, including the clinical and FDA review process for CFT7455, CFT8634 and any other product candidates we develop, while complying with our contractual obligations to contractors and other third parties; and</w:t>
      </w:r>
    </w:p>
    <w:p>
      <w:pPr>
        <w:ind w:left="880" w:hanging="432"/>
        <w:spacing w:after="0"/>
        <w:tabs>
          <w:tab w:leader="none" w:pos="88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improving our operational, financial and management controls, reporting systems and procedures.</w:t>
      </w:r>
    </w:p>
    <w:p>
      <w:pPr>
        <w:spacing w:after="0" w:line="150"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Our future financial performance and our ability to advance into clinical development and, if approved, commercialize CFT7455, CFT8634 and any of our other product candidates we develop will depend, in part, on our ability to effectively manage any future growth. Due to our limited financial resources and the limited experience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320" w:top="454"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our management team in managing a company with this type of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Further, research at our Indian CROs also exposes us to various risks, including regulatory, economic and political instability, potentially unfavorable tax, import and export policies, fluctuations in foreign exchange and inflation rates, international and civil hostilities, terrorism, natural disasters and pandemics.</w:t>
      </w:r>
    </w:p>
    <w:p>
      <w:pPr>
        <w:spacing w:after="0" w:line="43"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Our internal computer systems, or those of any of our collaborators, contractors or consultants, may fail or suffer security breaches, which could result in a material disruption of our product development programs.</w:t>
      </w:r>
    </w:p>
    <w:p>
      <w:pPr>
        <w:spacing w:after="0" w:line="1"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Our internal computer systems and those of any collaborators, contractors or consultants are vulnerable to damage from computer viruses, unauthorized access, natural disasters, terrorism, war and telecommunication and electrical failures. While we have not experienced any material system failure, accidents or security breaches of this nature to date,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the inappropriate disclosure of confidential or proprietary information, we could incur liability, 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w:t>
      </w:r>
    </w:p>
    <w:p>
      <w:pPr>
        <w:spacing w:after="0" w:line="41"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1" w:lineRule="exact"/>
        <w:rPr>
          <w:sz w:val="20"/>
          <w:szCs w:val="20"/>
          <w:color w:val="auto"/>
        </w:rPr>
      </w:pPr>
    </w:p>
    <w:p>
      <w:pPr>
        <w:ind w:right="440"/>
        <w:spacing w:after="0" w:line="244"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and consultants may engage in fraudulent conduct or other illegal activity. Misconduct by these parties could include, among other things:</w:t>
      </w:r>
    </w:p>
    <w:p>
      <w:pPr>
        <w:spacing w:after="0" w:line="156" w:lineRule="exact"/>
        <w:rPr>
          <w:sz w:val="20"/>
          <w:szCs w:val="20"/>
          <w:color w:val="auto"/>
        </w:rPr>
      </w:pPr>
    </w:p>
    <w:p>
      <w:pPr>
        <w:ind w:left="880" w:right="320" w:hanging="432"/>
        <w:spacing w:after="0" w:line="255" w:lineRule="auto"/>
        <w:tabs>
          <w:tab w:leader="none" w:pos="880" w:val="left"/>
        </w:tabs>
        <w:numPr>
          <w:ilvl w:val="0"/>
          <w:numId w:val="37"/>
        </w:numPr>
        <w:rPr>
          <w:rFonts w:ascii="MS PGothic" w:cs="MS PGothic" w:eastAsia="MS PGothic" w:hAnsi="MS PGothic"/>
          <w:sz w:val="12"/>
          <w:szCs w:val="12"/>
          <w:color w:val="auto"/>
        </w:rPr>
      </w:pPr>
      <w:r>
        <w:rPr>
          <w:rFonts w:ascii="Arial" w:cs="Arial" w:eastAsia="Arial" w:hAnsi="Arial"/>
          <w:sz w:val="17"/>
          <w:szCs w:val="17"/>
          <w:color w:val="auto"/>
        </w:rPr>
        <w:t>intentional, reckless or negligent conduct or disclosure of unauthorized activities to us that violate the regulations of the FDA or similar foreign regulatory authorities;</w:t>
      </w:r>
    </w:p>
    <w:p>
      <w:pPr>
        <w:spacing w:after="0" w:line="1" w:lineRule="exact"/>
        <w:rPr>
          <w:rFonts w:ascii="MS PGothic" w:cs="MS PGothic" w:eastAsia="MS PGothic" w:hAnsi="MS PGothic"/>
          <w:sz w:val="12"/>
          <w:szCs w:val="12"/>
          <w:color w:val="auto"/>
        </w:rPr>
      </w:pPr>
    </w:p>
    <w:p>
      <w:pPr>
        <w:ind w:left="880" w:hanging="432"/>
        <w:spacing w:after="0"/>
        <w:tabs>
          <w:tab w:leader="none" w:pos="880" w:val="left"/>
        </w:tabs>
        <w:numPr>
          <w:ilvl w:val="0"/>
          <w:numId w:val="37"/>
        </w:numPr>
        <w:rPr>
          <w:rFonts w:ascii="MS PGothic" w:cs="MS PGothic" w:eastAsia="MS PGothic" w:hAnsi="MS PGothic"/>
          <w:sz w:val="12"/>
          <w:szCs w:val="12"/>
          <w:color w:val="auto"/>
        </w:rPr>
      </w:pPr>
      <w:r>
        <w:rPr>
          <w:rFonts w:ascii="Arial" w:cs="Arial" w:eastAsia="Arial" w:hAnsi="Arial"/>
          <w:sz w:val="17"/>
          <w:szCs w:val="17"/>
          <w:color w:val="auto"/>
        </w:rPr>
        <w:t>healthcare fraud and abuse laws and regulations in the United States and abroad;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7"/>
        </w:numPr>
        <w:rPr>
          <w:rFonts w:ascii="MS PGothic" w:cs="MS PGothic" w:eastAsia="MS PGothic" w:hAnsi="MS PGothic"/>
          <w:sz w:val="12"/>
          <w:szCs w:val="12"/>
          <w:color w:val="auto"/>
        </w:rPr>
      </w:pPr>
      <w:r>
        <w:rPr>
          <w:rFonts w:ascii="Arial" w:cs="Arial" w:eastAsia="Arial" w:hAnsi="Arial"/>
          <w:sz w:val="17"/>
          <w:szCs w:val="17"/>
          <w:color w:val="auto"/>
        </w:rPr>
        <w:t>violations of United States federal securities laws relating to trading in our common stock;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7"/>
        </w:numPr>
        <w:rPr>
          <w:rFonts w:ascii="MS PGothic" w:cs="MS PGothic" w:eastAsia="MS PGothic" w:hAnsi="MS PGothic"/>
          <w:sz w:val="12"/>
          <w:szCs w:val="12"/>
          <w:color w:val="auto"/>
        </w:rPr>
      </w:pPr>
      <w:r>
        <w:rPr>
          <w:rFonts w:ascii="Arial" w:cs="Arial" w:eastAsia="Arial" w:hAnsi="Arial"/>
          <w:sz w:val="17"/>
          <w:szCs w:val="17"/>
          <w:color w:val="auto"/>
        </w:rPr>
        <w:t>failures to report financial information or data accurately.</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this offering, a code of business conduct and ethics and implement other corporate governance and compliance documents, policies and charters applicable to all of our employees. 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20"/>
          </w:cols>
          <w:pgMar w:left="320" w:top="454"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contractual damages, reputational harm, diminished profits and future earnings and curtailment of our operations, any of which could adversely affect our business prospects,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will suffer immediate dilution of your investment.</w:t>
      </w:r>
    </w:p>
    <w:p>
      <w:pPr>
        <w:spacing w:after="0" w:line="39"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The initial public offering price per share of our common stock will be substantially higher than the as adjusted net tangible book value per share of our common stock. Based on an assumed initial public offering price of $17.00 per share, which is the midpoint of the price range set forth on the cover page of this prospectus, you will experience immediate dilution of $10.62 per share, representing the difference between our pro forma as adjusted net tangible book value per share, after giving effect to this offering, and the assumed initial public offering price. To the extent shares are subsequently issued upon exercise of outstanding options, you will incur further dilution. In addition, purchasers of common stock in this offering will have contributed approximately 36% of the aggregate price paid by all purchasers of shares of our common stock but will own only approximately</w:t>
      </w:r>
    </w:p>
    <w:p>
      <w:pPr>
        <w:spacing w:after="0" w:line="4"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22% of our common stock outstanding after this offering (assuming no exercise of the underwriters’ option to purchase additional shares). See the section titled “Dilution” for more information.</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we raise additional capital through the sale and issuance of shares or other securities convertible into shares, our stockholders will be diluted. 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43"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Prior to this offering, there was no public trading market for shares of our common stock. Although we have applied to list our common stock on The Nasdaq Global Market, an active trading market for our shares may never develop or be sustained following this offering. You may not be able to sell your shares quickly or at the market price if trading in shares of our common stock is not active. The initial public offering price for our common stock will be determined through negotiations with the underwriters and the negotiated price may not be indicative of the market price of the common stock after the offering. As a result of these and other factors, you may be unable to resell your shares of our common stock at or above the initial public offering price.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42"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our business or the targeted protein degradation space.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46"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1" w:lineRule="exact"/>
        <w:rPr>
          <w:sz w:val="20"/>
          <w:szCs w:val="20"/>
          <w:color w:val="auto"/>
        </w:rPr>
      </w:pPr>
    </w:p>
    <w:p>
      <w:pPr>
        <w:jc w:val="both"/>
        <w:ind w:right="280"/>
        <w:spacing w:after="0" w:line="236" w:lineRule="auto"/>
        <w:rPr>
          <w:sz w:val="20"/>
          <w:szCs w:val="20"/>
          <w:color w:val="auto"/>
        </w:rPr>
      </w:pPr>
      <w:r>
        <w:rPr>
          <w:rFonts w:ascii="Arial" w:cs="Arial" w:eastAsia="Arial" w:hAnsi="Arial"/>
          <w:sz w:val="17"/>
          <w:szCs w:val="17"/>
          <w:color w:val="auto"/>
        </w:rPr>
        <w:t>The trading price of shares of our common stock following this offering is likely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454"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able to sell your common stock at or above the initial public offering price or at or above the price at which you acquired it. The market price for our common stock may be influenced by many factors, including:</w:t>
      </w:r>
    </w:p>
    <w:p>
      <w:pPr>
        <w:spacing w:after="0" w:line="134" w:lineRule="exact"/>
        <w:rPr>
          <w:sz w:val="20"/>
          <w:szCs w:val="20"/>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degree of success of competitive products or technologies;</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results of preclinical studies and clinical trials of our product candidates or those of our competitors;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regulatory or legal developments in the United States and other countries;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developments or disputes concerning patent applications, issued patents or other proprietary rights;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recruitment or departure of key personnel;</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level of expenses related to any of our product candidates or clinical development programs;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results of our efforts to discover, develop, acquire or in-license additional technologies or product candidates;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variations in our financial results or those of companies that are perceived to be similar to us;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changes in the structure of healthcare payment systems;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market conditions in the pharmaceutical and biotechnology sectors;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effects of public health crises, pandemics and epidemics, such as COVID-19;</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general economic, industry and market conditions;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other factors described in this “Risk Factors” section.</w:t>
      </w:r>
    </w:p>
    <w:p>
      <w:pPr>
        <w:spacing w:after="0" w:line="15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If any of the foregoing matters were to occur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3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43" w:lineRule="exact"/>
        <w:rPr>
          <w:sz w:val="20"/>
          <w:szCs w:val="20"/>
          <w:color w:val="auto"/>
        </w:rPr>
      </w:pPr>
    </w:p>
    <w:p>
      <w:pPr>
        <w:ind w:right="460"/>
        <w:spacing w:after="0" w:line="258" w:lineRule="auto"/>
        <w:rPr>
          <w:sz w:val="20"/>
          <w:szCs w:val="20"/>
          <w:color w:val="auto"/>
        </w:rPr>
      </w:pPr>
      <w:r>
        <w:rPr>
          <w:rFonts w:ascii="Arial" w:cs="Arial" w:eastAsia="Arial" w:hAnsi="Arial"/>
          <w:sz w:val="17"/>
          <w:szCs w:val="17"/>
          <w:b w:val="1"/>
          <w:bCs w:val="1"/>
          <w:i w:val="1"/>
          <w:iCs w:val="1"/>
          <w:color w:val="auto"/>
        </w:rPr>
        <w:t>After this offering, our executive officers, directors and principal stockholders will have the ability to control or significantly influence matters submitted to stockholders for approval.</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Upon the closing of this offering, our executive officers and directors, combined with our stockholders who owned more than 5% of our outstanding common stock before this offering will, in the aggregate, beneficially own shares representing approximately 25.2% of our capital stock (assuming no exercise of the underwriters’ option to purchase additional shares, no exercise of outstanding options and no purchases of shares in this offering by any member of this group). Certain of these stockholders may be eligible to and elect to participate in a directed share program, pursuant to which the underwriters have reserved an aggregate of up to 5% of the common stock in this offering for sale at the initial public offering price to certain of our officers, directors, employees and other persons who do business with us. After this offering, our executive officers and directors, combined with our stockholders who owned more than 5% of our outstanding common stock, will have the ability to control us through this ownership position even if they do not purchase any additional shares in this offering. As a result, these stockholders, if acting together, will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160" w:lineRule="exact"/>
        <w:rPr>
          <w:sz w:val="20"/>
          <w:szCs w:val="20"/>
          <w:color w:val="auto"/>
        </w:rPr>
      </w:pPr>
    </w:p>
    <w:p>
      <w:pPr>
        <w:ind w:left="880" w:hanging="432"/>
        <w:spacing w:after="0"/>
        <w:tabs>
          <w:tab w:leader="none" w:pos="880" w:val="left"/>
        </w:tabs>
        <w:numPr>
          <w:ilvl w:val="0"/>
          <w:numId w:val="39"/>
        </w:numPr>
        <w:rPr>
          <w:rFonts w:ascii="MS PGothic" w:cs="MS PGothic" w:eastAsia="MS PGothic" w:hAnsi="MS PGothic"/>
          <w:sz w:val="12"/>
          <w:szCs w:val="12"/>
          <w:color w:val="auto"/>
        </w:rPr>
      </w:pPr>
      <w:r>
        <w:rPr>
          <w:rFonts w:ascii="Arial" w:cs="Arial" w:eastAsia="Arial" w:hAnsi="Arial"/>
          <w:sz w:val="17"/>
          <w:szCs w:val="17"/>
          <w:color w:val="auto"/>
        </w:rPr>
        <w:t>delay, defer or prevent a change in control;</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00"/>
          </w:cols>
          <w:pgMar w:left="320" w:top="454" w:right="3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hanging="432"/>
        <w:spacing w:after="0"/>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entrench our management and the board of directors; or</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impede a merger, consolidation, takeover or other business combination involving us that other stockholders may desire.</w:t>
      </w:r>
    </w:p>
    <w:p>
      <w:pPr>
        <w:spacing w:after="0" w:line="7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ind w:right="460"/>
        <w:spacing w:after="0" w:line="238" w:lineRule="auto"/>
        <w:rPr>
          <w:sz w:val="20"/>
          <w:szCs w:val="20"/>
          <w:color w:val="auto"/>
        </w:rPr>
      </w:pPr>
      <w:r>
        <w:rPr>
          <w:rFonts w:ascii="Arial" w:cs="Arial" w:eastAsia="Arial" w:hAnsi="Arial"/>
          <w:sz w:val="17"/>
          <w:szCs w:val="17"/>
          <w:color w:val="auto"/>
        </w:rPr>
        <w:t>Our amended and restated certificate of incorporation and amended and restated bylaws, which are to become effective upon the closing of this offering, will contain provisions that could delay or prevent a change of control of our company or changes in our board of directors that our stockholders might consider favorable. Some of these provisions include:</w:t>
      </w:r>
    </w:p>
    <w:p>
      <w:pPr>
        <w:spacing w:after="0" w:line="159" w:lineRule="exact"/>
        <w:rPr>
          <w:sz w:val="20"/>
          <w:szCs w:val="20"/>
          <w:color w:val="auto"/>
        </w:rPr>
      </w:pPr>
    </w:p>
    <w:p>
      <w:pPr>
        <w:ind w:left="880" w:right="80" w:hanging="432"/>
        <w:spacing w:after="0" w:line="255" w:lineRule="auto"/>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 board of directors divided into three classes serving staggered three-year terms, the result of which is that not all members of the board will be elected at one time;</w:t>
      </w:r>
    </w:p>
    <w:p>
      <w:pPr>
        <w:spacing w:after="0" w:line="1" w:lineRule="exact"/>
        <w:rPr>
          <w:rFonts w:ascii="MS PGothic" w:cs="MS PGothic" w:eastAsia="MS PGothic" w:hAnsi="MS PGothic"/>
          <w:sz w:val="12"/>
          <w:szCs w:val="12"/>
          <w:color w:val="auto"/>
        </w:rPr>
      </w:pPr>
    </w:p>
    <w:p>
      <w:pPr>
        <w:ind w:left="880" w:right="380" w:hanging="432"/>
        <w:spacing w:after="0" w:line="254" w:lineRule="auto"/>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 prohibition on stockholder action through written consent, the result of which is that all stockholder actions will have to be taken at a meeting of our stockholders;</w:t>
      </w:r>
    </w:p>
    <w:p>
      <w:pPr>
        <w:ind w:left="880" w:right="220" w:hanging="432"/>
        <w:spacing w:after="0" w:line="254" w:lineRule="auto"/>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ind w:left="880" w:hanging="432"/>
        <w:spacing w:after="0"/>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31" w:lineRule="exact"/>
        <w:rPr>
          <w:rFonts w:ascii="MS PGothic" w:cs="MS PGothic" w:eastAsia="MS PGothic" w:hAnsi="MS PGothic"/>
          <w:sz w:val="12"/>
          <w:szCs w:val="12"/>
          <w:color w:val="auto"/>
        </w:rPr>
      </w:pPr>
    </w:p>
    <w:p>
      <w:pPr>
        <w:ind w:left="880" w:hanging="432"/>
        <w:spacing w:after="0" w:line="246" w:lineRule="auto"/>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ind w:left="880" w:right="340" w:hanging="432"/>
        <w:spacing w:after="0" w:line="254" w:lineRule="auto"/>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ind w:left="880" w:right="100" w:hanging="432"/>
        <w:spacing w:after="0" w:line="269" w:lineRule="auto"/>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42"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Upon completion of this offering, we will have 40,669,715 outstanding shares of common stock based on the number of shares outstanding as of June 30, 2020 (assuming no exercise of the underwriters’ option to purchase additional shares). This includes the shares that we are selling in this offering, which may be resold in the public market immediately without restriction, unless purchased by our affiliates. Of the remaining shares, 31,845,715 shares are currently restricted as a result of securities laws or lock-up agreements but will become eligible to be sold at various times after the offering. Moreover, after this offering securityholders holding an aggregate of 30,694,163 shares of our common stock (on an as-converted basis) will have rights, subject to specified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20"/>
          </w:cols>
          <w:pgMar w:left="320" w:top="454"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color w:val="auto"/>
        </w:rPr>
        <w:t>freely sold in the public market upon issuance, subject to volume limitations applicable to affiliates and the lock-up agreements described in the “Shares Eligible For Future Sale” section of this prospectus.</w:t>
      </w:r>
    </w:p>
    <w:p>
      <w:pPr>
        <w:spacing w:after="0" w:line="15"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We are an “emerging growth company,” or EGC, as defined in the Jumpstart Our Business Startups Act of 2012, or the JOBS Act. We will remain an EGC until the earlier of: (1) the last day of the fiscal year in which we have total annual gross revenue of $1.07 billion or more; (2) the last day of 2025;</w:t>
      </w:r>
    </w:p>
    <w:p>
      <w:pPr>
        <w:ind w:right="60" w:firstLine="7"/>
        <w:spacing w:after="0" w:line="236" w:lineRule="auto"/>
        <w:tabs>
          <w:tab w:leader="none" w:pos="25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during the previous three years; and (4) the date on which we are deemed to be a large accelerated filer under the rules of the SEC, which means the last day of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EGCs. These exemptions include:</w:t>
      </w:r>
    </w:p>
    <w:p>
      <w:pPr>
        <w:spacing w:after="0" w:line="158" w:lineRule="exact"/>
        <w:rPr>
          <w:rFonts w:ascii="Arial" w:cs="Arial" w:eastAsia="Arial" w:hAnsi="Arial"/>
          <w:sz w:val="17"/>
          <w:szCs w:val="17"/>
          <w:color w:val="auto"/>
        </w:rPr>
      </w:pPr>
    </w:p>
    <w:p>
      <w:pPr>
        <w:ind w:left="880" w:right="400" w:hanging="432"/>
        <w:spacing w:after="0" w:line="247" w:lineRule="auto"/>
        <w:tabs>
          <w:tab w:leader="none" w:pos="880" w:val="left"/>
        </w:tabs>
        <w:numPr>
          <w:ilvl w:val="1"/>
          <w:numId w:val="42"/>
        </w:numPr>
        <w:rPr>
          <w:rFonts w:ascii="MS PGothic" w:cs="MS PGothic" w:eastAsia="MS PGothic" w:hAnsi="MS PGothic"/>
          <w:sz w:val="12"/>
          <w:szCs w:val="12"/>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ind w:left="880" w:hanging="432"/>
        <w:spacing w:after="0"/>
        <w:tabs>
          <w:tab w:leader="none" w:pos="880" w:val="left"/>
        </w:tabs>
        <w:numPr>
          <w:ilvl w:val="1"/>
          <w:numId w:val="42"/>
        </w:numPr>
        <w:rPr>
          <w:rFonts w:ascii="MS PGothic" w:cs="MS PGothic" w:eastAsia="MS PGothic" w:hAnsi="MS PGothic"/>
          <w:sz w:val="12"/>
          <w:szCs w:val="12"/>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1"/>
          <w:numId w:val="42"/>
        </w:numPr>
        <w:rPr>
          <w:rFonts w:ascii="MS PGothic" w:cs="MS PGothic" w:eastAsia="MS PGothic" w:hAnsi="MS PGothic"/>
          <w:sz w:val="12"/>
          <w:szCs w:val="12"/>
          <w:color w:val="auto"/>
        </w:rPr>
      </w:pPr>
      <w:r>
        <w:rPr>
          <w:rFonts w:ascii="Arial" w:cs="Arial" w:eastAsia="Arial" w:hAnsi="Arial"/>
          <w:sz w:val="17"/>
          <w:szCs w:val="17"/>
          <w:color w:val="auto"/>
        </w:rPr>
        <w:t>reduced disclosure obligations regarding executive compensation;</w:t>
      </w:r>
    </w:p>
    <w:p>
      <w:pPr>
        <w:spacing w:after="0" w:line="31" w:lineRule="exact"/>
        <w:rPr>
          <w:rFonts w:ascii="MS PGothic" w:cs="MS PGothic" w:eastAsia="MS PGothic" w:hAnsi="MS PGothic"/>
          <w:sz w:val="12"/>
          <w:szCs w:val="12"/>
          <w:color w:val="auto"/>
        </w:rPr>
      </w:pPr>
    </w:p>
    <w:p>
      <w:pPr>
        <w:ind w:left="880" w:right="400" w:hanging="432"/>
        <w:spacing w:after="0" w:line="254" w:lineRule="auto"/>
        <w:tabs>
          <w:tab w:leader="none" w:pos="880" w:val="left"/>
        </w:tabs>
        <w:numPr>
          <w:ilvl w:val="1"/>
          <w:numId w:val="42"/>
        </w:numPr>
        <w:rPr>
          <w:rFonts w:ascii="MS PGothic" w:cs="MS PGothic" w:eastAsia="MS PGothic" w:hAnsi="MS PGothic"/>
          <w:sz w:val="12"/>
          <w:szCs w:val="12"/>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 and</w:t>
      </w:r>
    </w:p>
    <w:p>
      <w:pPr>
        <w:ind w:left="880" w:right="140" w:hanging="432"/>
        <w:spacing w:after="0" w:line="269" w:lineRule="auto"/>
        <w:tabs>
          <w:tab w:leader="none" w:pos="880" w:val="left"/>
        </w:tabs>
        <w:numPr>
          <w:ilvl w:val="1"/>
          <w:numId w:val="42"/>
        </w:numPr>
        <w:rPr>
          <w:rFonts w:ascii="MS PGothic" w:cs="MS PGothic" w:eastAsia="MS PGothic" w:hAnsi="MS PGothic"/>
          <w:sz w:val="12"/>
          <w:szCs w:val="12"/>
          <w:color w:val="auto"/>
        </w:rPr>
      </w:pPr>
      <w:r>
        <w:rPr>
          <w:rFonts w:ascii="Arial" w:cs="Arial" w:eastAsia="Arial" w:hAnsi="Arial"/>
          <w:sz w:val="17"/>
          <w:szCs w:val="17"/>
          <w:color w:val="auto"/>
        </w:rPr>
        <w:t>an exemption from compliance with the requirement of the Public Company Accounting Oversight Board regarding the communication of critical audit matters in the auditor’s report on the financial statements.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may choose to take advantage of some, but not all, of these available exemptions. We have taken advantage of reduced reporting requirements in this prospectus. In particular, we have not included all of the executive compensation information that would be required if we were not an EGC and we have presented only two years of audited financial statements and correspondingly reduced “Management’s Discussion and Analysis of Financial Condition and Results of Operations” disclosure.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2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until the earlier of the date that we (i) are no longer an emerging growth company or (ii) affirmatively and irrevocably opt out of the extended transition period provided in the JOBS Act.</w:t>
      </w:r>
    </w:p>
    <w:p>
      <w:pPr>
        <w:spacing w:after="0" w:line="118"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We also are a “smaller reporting company,” meaning that the market value of our stock held by non-affiliates plus the proposed aggregate amount of gross proceeds to us as a result of this offering is less than $700 million as of the prior June 30 and our annual revenue is less than $100 million during the most recently completed fiscal year. We may continue to be a smaller reporting company after this offering if either (i) the market value of our stock held by non-affiliates is less than $250 million as of the prior June 30 or (ii) our annual revenue is less than $100 million during the most recently completed fiscal year and the market value of our stock held by non-affiliates is less than $700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454"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 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and insurance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2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these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1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Pursuant to Section 404 of Sarbanes-Oxley,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In the preparation of our consolidated financial statements to meet the requirements of this offering, we determined that a material weakness in our internal control over financial reporting existed as of December 31, 2019. The material weakness identified in our internal control over financial reporting arose because we did not maintain effective segregation of duties in the process and recording of journal entries. We are taking measures to remediate this material weakness during 2020, including implementing system controls that prevent one person from initiating and approving the same journal entry. However, we cannot assure you that these measures will be sufficient to prevent future material weaknesses or significant deficiencies in our internal control over financial reporting from occurring. If we identify one or more material weaknesses in the future, it could result in an adverse reaction in the financial markets and restrict our future access to the capital markets due to a loss of confidence in the reliability of our financial statements.</w:t>
      </w:r>
    </w:p>
    <w:p>
      <w:pPr>
        <w:spacing w:after="0" w:line="28"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i w:val="1"/>
          <w:iCs w:val="1"/>
          <w:color w:val="auto"/>
        </w:rPr>
        <w:t>Our amended and restated bylaws, as will be effective upon the closing of this offering,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Pursuant to our amended and restated bylaws that will become effective upon the completion of this offering, unless we consent in writing to the selection of an alternative forum, the Court of Chancery of the State of Delaware is the sole and exclusive forum for state law claims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or our certificate of incorporation or bylaws; (4) any action to interpret, apply, enforce or determine the validity of our certificate of incorporation or bylaws; or (5) any action asserting a claim governed by the internal affairs doctrine. We refer to this provision in our bylaws as the Delaware Forum Provision. The Delaware Forum Provision will not apply to any causes of action arising under the Securities Act or the Exchange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454"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as our headquarters are located in Watertown, Massachusetts. We refer to this provision in our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2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45"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1" w:lineRule="exact"/>
        <w:rPr>
          <w:sz w:val="20"/>
          <w:szCs w:val="20"/>
          <w:color w:val="auto"/>
        </w:rPr>
      </w:pPr>
    </w:p>
    <w:p>
      <w:pPr>
        <w:ind w:right="480"/>
        <w:spacing w:after="0" w:line="238"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our Credit Agreement with Perceptive Credit also preclude us from paying dividends. As a result, capital appreciation, if any, of our common stock will be your sole source of gain for the foreseeable future.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39"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recent significant volatility associated with the COVID-19 pandemic has caused significant instability and disruptions in the capital and credit markets. A severe or prolonged economic downturn could result in a variety of risks to 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w:t>
      </w:r>
    </w:p>
    <w:p>
      <w:pPr>
        <w:spacing w:after="0" w:line="12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Failure to secure any necessary financing in a timely manner and on favorable terms could have an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1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454"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160" w:lineRule="exact"/>
        <w:rPr>
          <w:sz w:val="20"/>
          <w:szCs w:val="20"/>
          <w:color w:val="auto"/>
        </w:rPr>
      </w:pPr>
    </w:p>
    <w:p>
      <w:pPr>
        <w:ind w:left="880" w:right="220" w:hanging="432"/>
        <w:spacing w:after="0" w:line="255"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the initiation, timing, progress and results of our research and development programs, preclinical studies, any clinical trials and IND and other regulatory submissions;</w:t>
      </w:r>
    </w:p>
    <w:p>
      <w:pPr>
        <w:spacing w:after="0" w:line="1" w:lineRule="exact"/>
        <w:rPr>
          <w:rFonts w:ascii="MS PGothic" w:cs="MS PGothic" w:eastAsia="MS PGothic" w:hAnsi="MS PGothic"/>
          <w:sz w:val="12"/>
          <w:szCs w:val="12"/>
          <w:color w:val="auto"/>
        </w:rPr>
      </w:pP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ability to obtain and maintain regulatory approval for any of our current or future product candidates;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need to raise additional funding before we can expect to generate any revenues from product sales;</w:t>
      </w:r>
    </w:p>
    <w:p>
      <w:pPr>
        <w:spacing w:after="0" w:line="31" w:lineRule="exact"/>
        <w:rPr>
          <w:rFonts w:ascii="MS PGothic" w:cs="MS PGothic" w:eastAsia="MS PGothic" w:hAnsi="MS PGothic"/>
          <w:sz w:val="12"/>
          <w:szCs w:val="12"/>
          <w:color w:val="auto"/>
        </w:rPr>
      </w:pPr>
    </w:p>
    <w:p>
      <w:pPr>
        <w:ind w:left="880" w:right="420" w:hanging="432"/>
        <w:spacing w:after="0" w:line="254"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the period over which we anticipate the proceeds of this offering, together with our existing cash and cash equivalents and short term investments, will be sufficient to fund our operating expenses and capital expenditure requirements;</w:t>
      </w: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ability to identify and develop product candidates for treatment of additional disease indications;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the potential attributes and benefits of our product candidates;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31" w:lineRule="exact"/>
        <w:rPr>
          <w:rFonts w:ascii="MS PGothic" w:cs="MS PGothic" w:eastAsia="MS PGothic" w:hAnsi="MS PGothic"/>
          <w:sz w:val="12"/>
          <w:szCs w:val="12"/>
          <w:color w:val="auto"/>
        </w:rPr>
      </w:pPr>
    </w:p>
    <w:p>
      <w:pPr>
        <w:ind w:left="880" w:right="460" w:hanging="432"/>
        <w:spacing w:after="0" w:line="254"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the effects of competition with respect to any of our current or future product candidates, as well as innovations by current and future competitors in our industry;</w:t>
      </w: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the implementation of our strategic plans for our business, any product candidates we may develop and our TORPEDO platform;</w:t>
      </w:r>
    </w:p>
    <w:p>
      <w:pPr>
        <w:spacing w:after="0" w:line="31" w:lineRule="exact"/>
        <w:rPr>
          <w:rFonts w:ascii="MS PGothic" w:cs="MS PGothic" w:eastAsia="MS PGothic" w:hAnsi="MS PGothic"/>
          <w:sz w:val="12"/>
          <w:szCs w:val="12"/>
          <w:color w:val="auto"/>
        </w:rPr>
      </w:pPr>
    </w:p>
    <w:p>
      <w:pPr>
        <w:ind w:left="880" w:right="860" w:hanging="432"/>
        <w:spacing w:after="0" w:line="254"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ability to advance programs under our existing collaboration agreements with Roche, Biogen and Calico and enter into new collaboration agreements;</w:t>
      </w: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the continuing effects of the novel coronavirus disease, COVID-19, on our business, including our preclinical studies and clinical trials;</w:t>
      </w:r>
    </w:p>
    <w:p>
      <w:pPr>
        <w:spacing w:after="0" w:line="31" w:lineRule="exact"/>
        <w:rPr>
          <w:rFonts w:ascii="MS PGothic" w:cs="MS PGothic" w:eastAsia="MS PGothic" w:hAnsi="MS PGothic"/>
          <w:sz w:val="12"/>
          <w:szCs w:val="12"/>
          <w:color w:val="auto"/>
        </w:rPr>
      </w:pPr>
    </w:p>
    <w:p>
      <w:pPr>
        <w:ind w:left="880" w:right="180" w:hanging="432"/>
        <w:spacing w:after="0" w:line="254"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belief that we are taking the appropriate measures to remediate the material weakness identified in our internal control over financial reporting;</w:t>
      </w:r>
    </w:p>
    <w:p>
      <w:pPr>
        <w:ind w:left="880" w:right="180" w:hanging="432"/>
        <w:spacing w:after="0" w:line="254"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intellectual property position, including the scope of protection we are able to establish, maintain and enforce for intellectual property rights covering our product candidates and TORPEDO platform;</w:t>
      </w: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ability to use the proceeds of this offering in ways that increase the value of your investment;</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financial performance and our ability to effectively manage our anticipated growth;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estimates regarding the market opportunities for our product candidates.</w:t>
      </w:r>
    </w:p>
    <w:p>
      <w:pPr>
        <w:spacing w:after="0" w:line="15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as exhibits to the registration statement, of which this prospectus forms a part, completely and with the understanding that our actual future results may be materially different from any future results expressed or implied by these forward-looking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454"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000"/>
          </w:cols>
          <w:pgMar w:left="320" w:top="454" w:right="5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INDUSTRY AND OTHER DATA</w:t>
      </w:r>
    </w:p>
    <w:p>
      <w:pPr>
        <w:spacing w:after="0" w:line="31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You are cautioned not to give undue weight to any such information, projections and estimates.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080"/>
          </w:cols>
          <w:pgMar w:left="320" w:top="454" w:right="4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3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estimate that the net proceeds to us from the sale of 8,824,000 shares of our common stock in this offering will be $135.5 million, or $156.4 million if the underwriters exercise their option to purchase additional shares in full, assuming an initial public offering price of $17.00 per share, which is the midpoint of the price range set forth on the cover page of this prospectus, and after deducting estimated underwriting discounts and commissions and estimated offering expenses payable by us.</w:t>
      </w:r>
    </w:p>
    <w:p>
      <w:pPr>
        <w:spacing w:after="0" w:line="11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A $1.00 increase (decrease) in the assumed initial public offering price of $17.00 per share, which is the midpoint of the price range set forth on the cover page of this prospectus, would increase (decrease) the net proceeds to us from this offering by $8.2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net proceeds to us from this offering by $15.8 million, assuming no change in the assumed initial public offering price per share, and after deducting estimated underwriting discounts and commissions and estimated offering expenses payable by us.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23"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As of June 30, 2020, we had cash and cash equivalents and short-term investments of $211.6 million. We currently intend to use the net proceeds from this offering, together with our existing cash resources, as follows:</w:t>
      </w:r>
    </w:p>
    <w:p>
      <w:pPr>
        <w:spacing w:after="0" w:line="134" w:lineRule="exact"/>
        <w:rPr>
          <w:sz w:val="20"/>
          <w:szCs w:val="20"/>
          <w:color w:val="auto"/>
        </w:rPr>
      </w:pPr>
    </w:p>
    <w:p>
      <w:pPr>
        <w:ind w:left="880" w:right="120" w:hanging="432"/>
        <w:spacing w:after="0" w:line="247" w:lineRule="auto"/>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approximately $40.0 million to complete the Phase 1 portion of our planned first-in-human Phase 1/2 clinical trial of CFT7455 for patients with MM or NHL, such as PTCL or MCL, as well as to fund a portion of the Phase 2 expansion component of that clinical trial in these indications;</w:t>
      </w:r>
    </w:p>
    <w:p>
      <w:pPr>
        <w:ind w:left="880" w:right="120" w:hanging="432"/>
        <w:spacing w:after="0" w:line="246" w:lineRule="auto"/>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approximately $56.0 million to complete the Phase 1 portion of our planned first-in-human Phase 1/2 clinical trial of CFT8634 for patients with synovial sarcoma or solid tumors with SMARCB1 loss, as well as to fund a portion of the Phase 2 expansion component of this trial and initiate a Phase 3 confirmatory clinical trial of this product candidate in synovial sarcoma;</w:t>
      </w:r>
    </w:p>
    <w:p>
      <w:pPr>
        <w:ind w:left="880" w:right="120" w:hanging="432"/>
        <w:spacing w:after="0" w:line="246" w:lineRule="auto"/>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approximately $62.0 million to conduct and complete IND-enabling studies with respect to BRAF V600E and RET, substantially complete the Phase 1 portion of our planned first-in-human Phase 1 /2 clinical trials for each of these programs and fund initial portions of our planned phase 2 expansion component for the clinical trials for each of these product candidates; and</w:t>
      </w:r>
    </w:p>
    <w:p>
      <w:pPr>
        <w:ind w:left="880" w:right="240" w:hanging="432"/>
        <w:spacing w:after="0" w:line="249" w:lineRule="auto"/>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the remainder for continued development of our TORPEDO platform and advancement and identification of additional targets and development candidates, hiring of additional personnel, capital expenditures, costs of operating as a public company and other general corporate purposes.</w:t>
      </w:r>
    </w:p>
    <w:p>
      <w:pPr>
        <w:spacing w:after="0" w:line="112"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Based on our current plans, we believe our existing cash and cash equivalents and short-term investments of $211.6 million as of June 30, 2020, combined with the proceeds from the Series B Financing of $4.5 million received in July 2020, anticipated payments from collaboration partners and the net proceeds from this offering will be sufficient to fund our operations and capital expenditure requirements through the second quarter of 2023.</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and the extent of clinical development may vary significantly depending on numerous factors, including the timing and progress of our development, the status of and results from preclinical studies or clinical trials we may commence in the future, as well as any collaborations that we may enter into with third parties for our product candidates or strategic opportunities that become available to us and any unforeseen cash needs. As a result, our management will retain broad discretion over the allocation of the net proceeds from this offering.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20"/>
          </w:cols>
          <w:pgMar w:left="320" w:top="454" w:right="3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Pending our use of proceeds from this offering, we intend to invest the net proceeds in a variety of capital preservation instruments, including short-term, investment-grade, interest-bearing instruments and U.S. government securities.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020"/>
          </w:cols>
          <w:pgMar w:left="320" w:top="454" w:right="5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311"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w:t>
      </w:r>
    </w:p>
    <w:p>
      <w:pPr>
        <w:spacing w:after="0" w:line="6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960"/>
          </w:cols>
          <w:pgMar w:left="320" w:top="454" w:right="61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short-term investments and our capitalization as of June 30, 2020:</w:t>
      </w:r>
    </w:p>
    <w:p>
      <w:pPr>
        <w:spacing w:after="0" w:line="192" w:lineRule="exact"/>
        <w:rPr>
          <w:sz w:val="20"/>
          <w:szCs w:val="20"/>
          <w:color w:val="auto"/>
        </w:rPr>
      </w:pPr>
    </w:p>
    <w:p>
      <w:pPr>
        <w:ind w:left="880" w:hanging="432"/>
        <w:spacing w:after="0"/>
        <w:tabs>
          <w:tab w:leader="none" w:pos="88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on an actual basis;</w:t>
      </w:r>
    </w:p>
    <w:p>
      <w:pPr>
        <w:spacing w:after="0" w:line="33" w:lineRule="exact"/>
        <w:rPr>
          <w:rFonts w:ascii="MS PGothic" w:cs="MS PGothic" w:eastAsia="MS PGothic" w:hAnsi="MS PGothic"/>
          <w:sz w:val="12"/>
          <w:szCs w:val="12"/>
          <w:color w:val="auto"/>
        </w:rPr>
      </w:pPr>
    </w:p>
    <w:p>
      <w:pPr>
        <w:ind w:left="880" w:right="100" w:hanging="432"/>
        <w:spacing w:after="0" w:line="242" w:lineRule="auto"/>
        <w:tabs>
          <w:tab w:leader="none" w:pos="88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on a pro forma basis to give effect to (i) the sale and issuance of shares of our Series B preferred stock for gross proceeds of $4.5 million subsequent to June 30, 2020, (ii) the automatic conversion of all outstanding shares of our preferred stock into an aggregate of</w:t>
      </w:r>
    </w:p>
    <w:p>
      <w:pPr>
        <w:ind w:left="880" w:right="20"/>
        <w:spacing w:after="0" w:line="238" w:lineRule="auto"/>
        <w:rPr>
          <w:rFonts w:ascii="MS PGothic" w:cs="MS PGothic" w:eastAsia="MS PGothic" w:hAnsi="MS PGothic"/>
          <w:sz w:val="12"/>
          <w:szCs w:val="12"/>
          <w:color w:val="auto"/>
        </w:rPr>
      </w:pPr>
      <w:r>
        <w:rPr>
          <w:rFonts w:ascii="Arial" w:cs="Arial" w:eastAsia="Arial" w:hAnsi="Arial"/>
          <w:sz w:val="17"/>
          <w:szCs w:val="17"/>
          <w:color w:val="auto"/>
        </w:rPr>
        <w:t>30,355,379 shares of common stock upon the closing of this offering, (iii) the reclassification of the warrant liability to additional paid-in capital upon the automatic conversion of preferred stock warrants into common stock warrants upon the closing of this offering and (iv) the filing and effectiveness of our amended and restated certificate of incorporation, which will occur upon the closing of this offering; and</w:t>
      </w:r>
    </w:p>
    <w:p>
      <w:pPr>
        <w:ind w:left="880" w:right="180" w:hanging="432"/>
        <w:spacing w:after="0" w:line="239" w:lineRule="auto"/>
        <w:tabs>
          <w:tab w:leader="none" w:pos="88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on a pro forma as-adjusted basis to give further effect to the sale and issuance by us of 8,824,000 shares of our common stock in this offering at an assumed initial public offering price of $17.00 per share, the midpoint of the price range set forth on the cover page of this prospectus, after deducting estimated underwriting discounts and commissions and estimated offering expenses payable by us. We had incurred $0.3 million of expenses related to this offering as of June 30, 2020, which were reflected as deferred offering costs in our financial statements.</w:t>
      </w:r>
    </w:p>
    <w:p>
      <w:pPr>
        <w:spacing w:after="0" w:line="121"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You should read this table below with our unaudited condensed consolidated financial statements and the related notes appearing elsewhere in this prospectus and the “Selected Consolidated Financial Data” and “Management’s Discussion and Analysis of Financial Condition and Results of Operations” sections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35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2"/>
                <w:szCs w:val="12"/>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11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9"/>
              </w:rPr>
              <w:t>PRO FORMA AS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9"/>
        </w:trPr>
        <w:tc>
          <w:tcPr>
            <w:tcW w:w="7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9"/>
              </w:rPr>
              <w:t>(unaudited)</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Cash and cash equivalents and short-term investments</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211,594</w:t>
            </w:r>
          </w:p>
        </w:tc>
        <w:tc>
          <w:tcPr>
            <w:tcW w:w="4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216,094</w:t>
            </w:r>
          </w:p>
        </w:tc>
        <w:tc>
          <w:tcPr>
            <w:tcW w:w="1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351,882</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7"/>
                <w:szCs w:val="17"/>
                <w:color w:val="auto"/>
              </w:rPr>
              <w:t>Warrant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00" w:type="dxa"/>
            <w:vAlign w:val="bottom"/>
            <w:vMerge w:val="continue"/>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line="180" w:lineRule="exact"/>
              <w:rPr>
                <w:sz w:val="20"/>
                <w:szCs w:val="20"/>
                <w:color w:val="auto"/>
              </w:rPr>
            </w:pPr>
            <w:r>
              <w:rPr>
                <w:rFonts w:ascii="Arial" w:cs="Arial" w:eastAsia="Arial" w:hAnsi="Arial"/>
                <w:sz w:val="17"/>
                <w:szCs w:val="17"/>
                <w:color w:val="auto"/>
              </w:rPr>
              <w:t>2,325</w:t>
            </w: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40" w:type="dxa"/>
            <w:vAlign w:val="bottom"/>
          </w:tcPr>
          <w:p>
            <w:pPr>
              <w:spacing w:after="0" w:line="180"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80" w:lineRule="exact"/>
              <w:rPr>
                <w:sz w:val="20"/>
                <w:szCs w:val="20"/>
                <w:color w:val="auto"/>
              </w:rPr>
            </w:pPr>
            <w:r>
              <w:rPr>
                <w:rFonts w:ascii="Arial" w:cs="Arial" w:eastAsia="Arial" w:hAnsi="Arial"/>
                <w:sz w:val="17"/>
                <w:szCs w:val="17"/>
                <w:color w:val="auto"/>
              </w:rPr>
              <w:t>—</w:t>
            </w:r>
          </w:p>
        </w:tc>
        <w:tc>
          <w:tcPr>
            <w:tcW w:w="420" w:type="dxa"/>
            <w:vAlign w:val="bottom"/>
            <w:vMerge w:val="continue"/>
          </w:tcPr>
          <w:p>
            <w:pPr>
              <w:spacing w:after="0"/>
              <w:rPr>
                <w:sz w:val="15"/>
                <w:szCs w:val="15"/>
                <w:color w:val="auto"/>
              </w:rPr>
            </w:pPr>
          </w:p>
        </w:tc>
        <w:tc>
          <w:tcPr>
            <w:tcW w:w="140" w:type="dxa"/>
            <w:vAlign w:val="bottom"/>
          </w:tcPr>
          <w:p>
            <w:pPr>
              <w:spacing w:after="0" w:line="180"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0" w:lineRule="exact"/>
              <w:rPr>
                <w:sz w:val="20"/>
                <w:szCs w:val="20"/>
                <w:color w:val="auto"/>
              </w:rPr>
            </w:pPr>
            <w:r>
              <w:rPr>
                <w:rFonts w:ascii="Arial" w:cs="Arial" w:eastAsia="Arial" w:hAnsi="Arial"/>
                <w:sz w:val="17"/>
                <w:szCs w:val="17"/>
                <w:color w:val="auto"/>
              </w:rPr>
              <w:t>—</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9,674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9,674</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9,674</w:t>
            </w:r>
          </w:p>
        </w:tc>
        <w:tc>
          <w:tcPr>
            <w:tcW w:w="0" w:type="dxa"/>
            <w:vAlign w:val="bottom"/>
          </w:tcPr>
          <w:p>
            <w:pPr>
              <w:spacing w:after="0"/>
              <w:rPr>
                <w:sz w:val="1"/>
                <w:szCs w:val="1"/>
                <w:color w:val="auto"/>
              </w:rPr>
            </w:pPr>
          </w:p>
        </w:tc>
      </w:tr>
      <w:tr>
        <w:trPr>
          <w:trHeight w:val="159"/>
        </w:trPr>
        <w:tc>
          <w:tcPr>
            <w:tcW w:w="7500" w:type="dxa"/>
            <w:vAlign w:val="bottom"/>
          </w:tcPr>
          <w:p>
            <w:pPr>
              <w:spacing w:after="0" w:line="159" w:lineRule="exact"/>
              <w:rPr>
                <w:sz w:val="20"/>
                <w:szCs w:val="20"/>
                <w:color w:val="auto"/>
              </w:rPr>
            </w:pPr>
            <w:r>
              <w:rPr>
                <w:rFonts w:ascii="Arial" w:cs="Arial" w:eastAsia="Arial" w:hAnsi="Arial"/>
                <w:sz w:val="17"/>
                <w:szCs w:val="17"/>
                <w:color w:val="auto"/>
              </w:rPr>
              <w:t>Redeemable convertible preferred stock (Series Seed, Series A and Series B), $0.0005 par</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500" w:type="dxa"/>
            <w:vAlign w:val="bottom"/>
          </w:tcPr>
          <w:p>
            <w:pPr>
              <w:ind w:left="260"/>
              <w:spacing w:after="0" w:line="187" w:lineRule="exact"/>
              <w:rPr>
                <w:sz w:val="20"/>
                <w:szCs w:val="20"/>
                <w:color w:val="auto"/>
              </w:rPr>
            </w:pPr>
            <w:r>
              <w:rPr>
                <w:rFonts w:ascii="Arial" w:cs="Arial" w:eastAsia="Arial" w:hAnsi="Arial"/>
                <w:sz w:val="17"/>
                <w:szCs w:val="17"/>
                <w:color w:val="auto"/>
              </w:rPr>
              <w:t>value; 264,000,000 shares authorized and 256,003,042 shares issued and outstanding,</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00" w:type="dxa"/>
            <w:vAlign w:val="bottom"/>
          </w:tcPr>
          <w:p>
            <w:pPr>
              <w:ind w:left="260"/>
              <w:spacing w:after="0"/>
              <w:rPr>
                <w:sz w:val="20"/>
                <w:szCs w:val="20"/>
                <w:color w:val="auto"/>
              </w:rPr>
            </w:pPr>
            <w:r>
              <w:rPr>
                <w:rFonts w:ascii="Arial" w:cs="Arial" w:eastAsia="Arial" w:hAnsi="Arial"/>
                <w:sz w:val="17"/>
                <w:szCs w:val="17"/>
                <w:color w:val="auto"/>
              </w:rPr>
              <w:t>actual; no shares authorized, issued or outstanding, pro forma and pro forma as adjusted</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252,021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Stockholders’ equity (deficit):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500" w:type="dxa"/>
            <w:vAlign w:val="bottom"/>
          </w:tcPr>
          <w:p>
            <w:pPr>
              <w:ind w:left="260"/>
              <w:spacing w:after="0" w:line="159" w:lineRule="exact"/>
              <w:rPr>
                <w:sz w:val="20"/>
                <w:szCs w:val="20"/>
                <w:color w:val="auto"/>
              </w:rPr>
            </w:pPr>
            <w:r>
              <w:rPr>
                <w:rFonts w:ascii="Arial" w:cs="Arial" w:eastAsia="Arial" w:hAnsi="Arial"/>
                <w:sz w:val="17"/>
                <w:szCs w:val="17"/>
                <w:color w:val="auto"/>
              </w:rPr>
              <w:t>Preferred stock, $0.0001 par value; no shares authorized, issued or outstanding, actual;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500" w:type="dxa"/>
            <w:vAlign w:val="bottom"/>
          </w:tcPr>
          <w:p>
            <w:pPr>
              <w:ind w:left="500"/>
              <w:spacing w:after="0" w:line="187" w:lineRule="exact"/>
              <w:rPr>
                <w:sz w:val="20"/>
                <w:szCs w:val="20"/>
                <w:color w:val="auto"/>
              </w:rPr>
            </w:pPr>
            <w:r>
              <w:rPr>
                <w:rFonts w:ascii="Arial" w:cs="Arial" w:eastAsia="Arial" w:hAnsi="Arial"/>
                <w:sz w:val="17"/>
                <w:szCs w:val="17"/>
                <w:color w:val="auto"/>
              </w:rPr>
              <w:t>10,000,000 shares authorized and no shares issued and outstanding, pro forma and pro</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00" w:type="dxa"/>
            <w:vAlign w:val="bottom"/>
          </w:tcPr>
          <w:p>
            <w:pPr>
              <w:ind w:left="500"/>
              <w:spacing w:after="0"/>
              <w:rPr>
                <w:sz w:val="20"/>
                <w:szCs w:val="20"/>
                <w:color w:val="auto"/>
              </w:rPr>
            </w:pPr>
            <w:r>
              <w:rPr>
                <w:rFonts w:ascii="Arial" w:cs="Arial" w:eastAsia="Arial" w:hAnsi="Arial"/>
                <w:sz w:val="17"/>
                <w:szCs w:val="17"/>
                <w:color w:val="auto"/>
              </w:rPr>
              <w:t>forma as adjusted</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9"/>
        </w:trPr>
        <w:tc>
          <w:tcPr>
            <w:tcW w:w="7500" w:type="dxa"/>
            <w:vAlign w:val="bottom"/>
            <w:shd w:val="clear" w:color="auto" w:fill="CCEEFF"/>
          </w:tcPr>
          <w:p>
            <w:pPr>
              <w:ind w:left="260"/>
              <w:spacing w:after="0" w:line="159" w:lineRule="exact"/>
              <w:rPr>
                <w:sz w:val="20"/>
                <w:szCs w:val="20"/>
                <w:color w:val="auto"/>
              </w:rPr>
            </w:pPr>
            <w:r>
              <w:rPr>
                <w:rFonts w:ascii="Arial" w:cs="Arial" w:eastAsia="Arial" w:hAnsi="Arial"/>
                <w:sz w:val="17"/>
                <w:szCs w:val="17"/>
                <w:color w:val="auto"/>
              </w:rPr>
              <w:t>Common stock, $0.0001 par value; 370,000,000 shares authorized, 1,490,336 shares</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issued and outstanding, actual; 150,000,000 shares authorized, 31,845,715 shares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issued and outstanding, pro forma; 150,000,000 shares authorized, 40,669,715 shares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issued and outstanding, pro forma as adjusted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7"/>
        </w:trPr>
        <w:tc>
          <w:tcPr>
            <w:tcW w:w="7500" w:type="dxa"/>
            <w:vAlign w:val="bottom"/>
          </w:tcPr>
          <w:p>
            <w:pPr>
              <w:ind w:left="260"/>
              <w:spacing w:after="0" w:line="187"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5,130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263,972</w:t>
            </w:r>
          </w:p>
        </w:tc>
        <w:tc>
          <w:tcPr>
            <w:tcW w:w="140" w:type="dxa"/>
            <w:vAlign w:val="bottom"/>
          </w:tcPr>
          <w:p>
            <w:pPr>
              <w:spacing w:after="0"/>
              <w:rPr>
                <w:sz w:val="16"/>
                <w:szCs w:val="16"/>
                <w:color w:val="auto"/>
              </w:rPr>
            </w:pPr>
          </w:p>
        </w:tc>
        <w:tc>
          <w:tcPr>
            <w:tcW w:w="10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399,479</w:t>
            </w: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7"/>
        </w:trPr>
        <w:tc>
          <w:tcPr>
            <w:tcW w:w="7500" w:type="dxa"/>
            <w:vAlign w:val="bottom"/>
          </w:tcPr>
          <w:p>
            <w:pPr>
              <w:ind w:left="260"/>
              <w:spacing w:after="0" w:line="187" w:lineRule="exact"/>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w w:val="98"/>
              </w:rPr>
              <w:t>(140,193)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(140,193)</w:t>
            </w:r>
          </w:p>
        </w:tc>
        <w:tc>
          <w:tcPr>
            <w:tcW w:w="140" w:type="dxa"/>
            <w:vAlign w:val="bottom"/>
          </w:tcPr>
          <w:p>
            <w:pPr>
              <w:spacing w:after="0"/>
              <w:rPr>
                <w:sz w:val="16"/>
                <w:szCs w:val="16"/>
                <w:color w:val="auto"/>
              </w:rPr>
            </w:pPr>
          </w:p>
        </w:tc>
        <w:tc>
          <w:tcPr>
            <w:tcW w:w="10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(140,193)</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50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Total stockholders’ equity (deficit)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w w:val="98"/>
              </w:rPr>
              <w:t>(135,065)</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123,781</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259,289</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Total capitalization</w:t>
            </w: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128,955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133,455</w:t>
            </w:r>
          </w:p>
        </w:tc>
        <w:tc>
          <w:tcPr>
            <w:tcW w:w="4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268,963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ind w:left="554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 $1.00 increase (decrease) in the assumed initial public offering price of $17.00 per share, which is the midpoint of the price range set forth on the cover page of this prospectus, would increase (decrease) the pro forma as adjusted amount of each of cash and cash equivalents and short-term investments, additional paid-in capital, total stockholders’ equity and total capitalization by $8.2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and short-term investments, additional paid-in capital, total stockholders’ equity and total capitalization by $15.8 million, assuming the assumed initial public offering price of $17.00 per share, the midpoint of the price range set forth on the cover page of this prospectus, remains the same and after deducting estimated underwriting discounts and commissions and estimated offering expenses payable by us.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table above excludes the following as of June 30, 2020:</w:t>
      </w:r>
    </w:p>
    <w:p>
      <w:pPr>
        <w:spacing w:after="0" w:line="192" w:lineRule="exact"/>
        <w:rPr>
          <w:sz w:val="20"/>
          <w:szCs w:val="20"/>
          <w:color w:val="auto"/>
        </w:rPr>
      </w:pPr>
    </w:p>
    <w:p>
      <w:pPr>
        <w:ind w:left="880" w:right="160" w:hanging="432"/>
        <w:spacing w:after="0" w:line="255" w:lineRule="auto"/>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1,052,531 shares of common stock issuable upon exercise of stock options outstanding under our 2015 Stock Option and Grant Plan, or the 2015 Plan, and stock options outstanding outside the 2015 Plan, at a weighted-average exercise price of $4.37 per share;</w:t>
      </w:r>
    </w:p>
    <w:p>
      <w:pPr>
        <w:spacing w:after="0" w:line="1" w:lineRule="exact"/>
        <w:rPr>
          <w:rFonts w:ascii="MS PGothic" w:cs="MS PGothic" w:eastAsia="MS PGothic" w:hAnsi="MS PGothic"/>
          <w:sz w:val="12"/>
          <w:szCs w:val="12"/>
          <w:color w:val="auto"/>
        </w:rPr>
      </w:pPr>
    </w:p>
    <w:p>
      <w:pPr>
        <w:ind w:left="880" w:right="440" w:hanging="432"/>
        <w:spacing w:after="0" w:line="254" w:lineRule="auto"/>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1,467,424 shares of common stock issuable upon the exercise of stock options granted under the 2015 Plan subsequent to June 30, 2020, with an exercise price of $4.98 per share;</w:t>
      </w:r>
    </w:p>
    <w:p>
      <w:pPr>
        <w:ind w:left="880" w:right="20" w:hanging="432"/>
        <w:spacing w:after="0" w:line="239" w:lineRule="auto"/>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2,300,043 shares of common stock issuable upon the exercise of stock options we have agreed to grant under our 2020 Stock Option and Incentive Plan, or the 2020 Plan, to some of our executive officers immediately following the effectiveness of the registration statement of which this prospectus forms a part, assuming that we sell 8,824,000 shares in this offering, with an exercise price per share equal to the initial public offering price per share in this offering, as described in more detail under the caption “Certain Relationships and Related Person Transactions—Stock Option Grants to Directors and Executive Officers”;</w:t>
      </w:r>
    </w:p>
    <w:p>
      <w:pPr>
        <w:spacing w:after="0" w:line="2" w:lineRule="exact"/>
        <w:rPr>
          <w:rFonts w:ascii="MS PGothic" w:cs="MS PGothic" w:eastAsia="MS PGothic" w:hAnsi="MS PGothic"/>
          <w:sz w:val="12"/>
          <w:szCs w:val="12"/>
          <w:color w:val="auto"/>
        </w:rPr>
      </w:pPr>
    </w:p>
    <w:p>
      <w:pPr>
        <w:ind w:left="880" w:right="100" w:hanging="432"/>
        <w:spacing w:after="0" w:line="242" w:lineRule="auto"/>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192,681 shares of common stock issuable upon the exercise of stock options we will grant under the 2020 Plan immediately following the effectiveness of the registration statement of which this prospectus is a part to certain employees and our non-employee directors who remain on our board of directors at such time, with an exercise price per share equal to the initial public offering price per share in this offering;</w:t>
      </w:r>
    </w:p>
    <w:p>
      <w:pPr>
        <w:jc w:val="both"/>
        <w:ind w:left="880" w:hanging="432"/>
        <w:spacing w:after="0" w:line="246" w:lineRule="auto"/>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338,784 shares of our common stock issuable upon the exercise of warrants to purchase 2,857,142 shares of our Series B preferred stock at an exercise price of $1.05 per share, which warrants will automatically convert into warrants to purchase shares of our common stock at an exercise price of $8.86 per share upon closing of this offering;</w:t>
      </w:r>
    </w:p>
    <w:p>
      <w:pPr>
        <w:jc w:val="both"/>
        <w:ind w:left="880" w:right="80" w:hanging="432"/>
        <w:spacing w:after="0" w:line="246" w:lineRule="auto"/>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4,074,420 shares of common stock to be reserved for future issuance under our 2020 Plan to be effective on the day immediately prior to the effectiveness of the registration statement of which this prospectus forms a part, excluding the shares of common stock issuable upon the exercise of stock options we have agreed to grant under the 2020 Plan as described above; and</w:t>
      </w:r>
    </w:p>
    <w:p>
      <w:pPr>
        <w:ind w:left="880" w:right="60" w:hanging="432"/>
        <w:spacing w:after="0" w:line="269" w:lineRule="auto"/>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437,089 shares of common stock to be reserved for future issuance under our 2020 Employee Stock Purchase Plan to be effective on the day immediately prior to the effectiveness of the registration statement of which this prospectus forms a part.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454"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1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 As of June 30, 2020, our historical net tangible book value (deficit) was $(135.3) million, or $(90.82) per share of common stock. Our historical net tangible book value (deficit) is the amount of our total tangible assets less deferred offering costs, less our total liabilities and the carrying value of our preferred stock, which is not included in stockholders’ deficit. Historical net tangible book value (deficit) per share represents historical net tangible book value (deficit) divided by 1,490,336 shares of common stock outstanding as of June 30, 2020.</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pro forma net tangible book value as of June 30, 2020 was $123.5 million, or $3.88 per share of common stock, after giving effect to the issuance and sale of shares of our Series B preferred stock for gross proceeds of $4.5 million subsequent to June 30, 2020 and the automatic conversion of all outstanding shares of our preferred stock into an aggregate of 30,355,379 shares of our common stock upon the closing of this offering and the reclassification of the warrant liability to additional paid-in capital upon the automatic conversion of preferred stock warrants into common stock warrants. Pro forma net tangible book value per share represents pro forma net tangible book value divided by the total number of shares outstanding as of June 30, 2020, after giving effect to the pro forma adjustments described above.</w:t>
      </w:r>
    </w:p>
    <w:p>
      <w:pPr>
        <w:spacing w:after="0" w:line="12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After giving further effect to our issuance and sale of 8,824,000 shares of our common stock in this offering at an assumed initial public offering price of $17.00 per share, which is the midpoint of the price range set forth on the cover page of this prospectus, after deducting estimated underwriting discounts and commissions and estimated offering expenses payable by us, our pro forma as adjusted net tangible book value as of June 30, 2020 would have been $259.3 million, or $6.38 per share of common stock. This represents an immediate increase in pro forma as adjusted net tangible book value of $2.50 per share to existing stockholders and an immediate dilution of $10.62 in pro forma as adjusted net tangible book value per share to new investors purchasing common stock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335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5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$17.00</w:t>
            </w:r>
          </w:p>
        </w:tc>
      </w:tr>
      <w:tr>
        <w:trPr>
          <w:trHeight w:val="187"/>
        </w:trPr>
        <w:tc>
          <w:tcPr>
            <w:tcW w:w="9740" w:type="dxa"/>
            <w:vAlign w:val="bottom"/>
          </w:tcPr>
          <w:p>
            <w:pPr>
              <w:ind w:left="260"/>
              <w:spacing w:after="0" w:line="187" w:lineRule="exact"/>
              <w:rPr>
                <w:sz w:val="20"/>
                <w:szCs w:val="20"/>
                <w:color w:val="auto"/>
              </w:rPr>
            </w:pPr>
            <w:r>
              <w:rPr>
                <w:rFonts w:ascii="Arial" w:cs="Arial" w:eastAsia="Arial" w:hAnsi="Arial"/>
                <w:sz w:val="17"/>
                <w:szCs w:val="17"/>
                <w:color w:val="auto"/>
              </w:rPr>
              <w:t>Historical net tangible book value (deficit) per share as of June 30, 2020</w:t>
            </w:r>
          </w:p>
        </w:tc>
        <w:tc>
          <w:tcPr>
            <w:tcW w:w="92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w w:val="97"/>
              </w:rPr>
              <w:t>$(90.82)</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974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Increase per share attributable to issuance of Series B preferred stock and conversion of all shares of our preferred stock</w:t>
            </w:r>
          </w:p>
        </w:tc>
        <w:tc>
          <w:tcPr>
            <w:tcW w:w="9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94.70</w:t>
            </w: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4"/>
        </w:trPr>
        <w:tc>
          <w:tcPr>
            <w:tcW w:w="9740" w:type="dxa"/>
            <w:vAlign w:val="bottom"/>
          </w:tcPr>
          <w:p>
            <w:pPr>
              <w:ind w:left="260"/>
              <w:spacing w:after="0" w:line="194" w:lineRule="exact"/>
              <w:rPr>
                <w:sz w:val="20"/>
                <w:szCs w:val="20"/>
                <w:color w:val="auto"/>
              </w:rPr>
            </w:pPr>
            <w:r>
              <w:rPr>
                <w:rFonts w:ascii="Arial" w:cs="Arial" w:eastAsia="Arial" w:hAnsi="Arial"/>
                <w:sz w:val="17"/>
                <w:szCs w:val="17"/>
                <w:color w:val="auto"/>
              </w:rPr>
              <w:t>Pro forma net tangible book value per share as of June 30, 2020, before giving effect to this offering</w:t>
            </w:r>
          </w:p>
        </w:tc>
        <w:tc>
          <w:tcPr>
            <w:tcW w:w="6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3.88</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9"/>
        </w:trPr>
        <w:tc>
          <w:tcPr>
            <w:tcW w:w="9740" w:type="dxa"/>
            <w:vAlign w:val="bottom"/>
            <w:shd w:val="clear" w:color="auto" w:fill="CCEEFF"/>
          </w:tcPr>
          <w:p>
            <w:pPr>
              <w:ind w:left="260"/>
              <w:spacing w:after="0" w:line="159" w:lineRule="exact"/>
              <w:rPr>
                <w:sz w:val="20"/>
                <w:szCs w:val="20"/>
                <w:color w:val="auto"/>
              </w:rPr>
            </w:pPr>
            <w:r>
              <w:rPr>
                <w:rFonts w:ascii="Arial" w:cs="Arial" w:eastAsia="Arial" w:hAnsi="Arial"/>
                <w:sz w:val="17"/>
                <w:szCs w:val="17"/>
                <w:color w:val="auto"/>
              </w:rPr>
              <w:t>Increase in pro forma as adjusted net tangible book value per share attributable to new investors purchasing common stock</w:t>
            </w: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15"/>
        </w:trPr>
        <w:tc>
          <w:tcPr>
            <w:tcW w:w="97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 this offering</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2.50</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4"/>
        </w:trPr>
        <w:tc>
          <w:tcPr>
            <w:tcW w:w="9740" w:type="dxa"/>
            <w:vAlign w:val="bottom"/>
          </w:tcPr>
          <w:p>
            <w:pPr>
              <w:spacing w:after="0" w:line="194" w:lineRule="exact"/>
              <w:rPr>
                <w:sz w:val="20"/>
                <w:szCs w:val="20"/>
                <w:color w:val="auto"/>
              </w:rPr>
            </w:pPr>
            <w:r>
              <w:rPr>
                <w:rFonts w:ascii="Arial" w:cs="Arial" w:eastAsia="Arial" w:hAnsi="Arial"/>
                <w:sz w:val="17"/>
                <w:szCs w:val="17"/>
                <w:color w:val="auto"/>
              </w:rPr>
              <w:t>Pro forma as adjusted net tangible book value per share after giving effect to this offering</w:t>
            </w:r>
          </w:p>
        </w:tc>
        <w:tc>
          <w:tcPr>
            <w:tcW w:w="6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6.38</w:t>
            </w:r>
          </w:p>
        </w:tc>
      </w:tr>
      <w:tr>
        <w:trPr>
          <w:trHeight w:val="27"/>
        </w:trPr>
        <w:tc>
          <w:tcPr>
            <w:tcW w:w="9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9740" w:type="dxa"/>
            <w:vAlign w:val="bottom"/>
            <w:shd w:val="clear" w:color="auto" w:fill="CCEEFF"/>
          </w:tcPr>
          <w:p>
            <w:pPr>
              <w:spacing w:after="0"/>
              <w:rPr>
                <w:sz w:val="20"/>
                <w:szCs w:val="20"/>
                <w:color w:val="auto"/>
              </w:rPr>
            </w:pPr>
            <w:r>
              <w:rPr>
                <w:rFonts w:ascii="Arial" w:cs="Arial" w:eastAsia="Arial" w:hAnsi="Arial"/>
                <w:sz w:val="17"/>
                <w:szCs w:val="17"/>
                <w:color w:val="auto"/>
              </w:rPr>
              <w:t>Dilution in pro forma as adjusted net tangible book value per share to new investors purchasing common stock in this offering</w:t>
            </w:r>
          </w:p>
        </w:tc>
        <w:tc>
          <w:tcPr>
            <w:tcW w:w="15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10.62</w:t>
            </w:r>
          </w:p>
        </w:tc>
      </w:tr>
      <w:tr>
        <w:trPr>
          <w:trHeight w:val="20"/>
        </w:trPr>
        <w:tc>
          <w:tcPr>
            <w:tcW w:w="9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9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dilution information discussed above is illustrative only and will depend on the actual initial public offering price and other terms of this offering determined at pricing. A $1.00 increase (decrease) in the assumed initial public offering price of $17.00 per share, which is the midpoint of the price range set forth on the cover page of this prospectus, would increase (decrease) the pro forma as adjusted net tangible book value by $0.20 per share and the dilution to investors purchasing common stock in this offering by $0.80 per share, assuming the number of shares offered by us, as set forth on the cover page of this prospectus, remains the same, and after deducting estimated underwriting discounts and commissions and estimated offering expenses payable by us. An increase of 1,000,000 shares in the number of shares offered by us in this offering would increase the pro forma as adjusted net tangible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454"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book value by $0.22 per share and would decrease the dilution per share to new investors purchasing common stock in this offering by $0.22 per share, assuming no change in the assumed initial public offering price of $17.00 per share, and after deducting estimated underwriting discounts and commissions and estimated offering expenses payable by us. A decrease of 1,000,000 shares in the number of shares offered by us, as set forth on the cover page of this prospectus, would decrease our pro forma as adjusted net tangible book value after this offering by $0.24 per share and increase the dilution to new investors purchasing common stock in this offering by $0.24 per share, assuming no change in the assumed initial public offering price and after deducting estimated underwriting discounts and commissions and estimated offering expenses payable by us.</w:t>
      </w:r>
    </w:p>
    <w:p>
      <w:pPr>
        <w:spacing w:after="0" w:line="12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the underwriters exercise their option to purchase additional shares in full, our pro forma as adjusted net tangible book value per share after this offering would be $6.67, representing an immediate increase in pro forma as adjusted net tangible book value per share of $2.79 to existing stockholders and immediate dilution in pro forma as adjusted net tangible book value per share of $10.33 to new investors purchasing common stock in this offering, assuming an initial public offering price of $17.00 per share, which is the midpoint of the price range set forth on the cover page of this prospectus, and after deducting estimated underwriting discounts and commissions and estimated offering expenses payable by us.</w:t>
      </w:r>
    </w:p>
    <w:p>
      <w:pPr>
        <w:spacing w:after="0" w:line="119"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The following table summarizes, on the pro forma as adjusted basis described above as of June 30, 2020, the total number of shares of common stock purchased from us on an as-converted basis, the total consideration paid or to be paid and the average price per share paid or to be paid by existing stockholders and by new investors in this offering, based on the assumed initial public offering price of $17.00 per share, which is the midpoint of the price range set forth on the cover of this prospectus before deducting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25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SHARES PURCHASED</w:t>
            </w:r>
          </w:p>
        </w:tc>
        <w:tc>
          <w:tcPr>
            <w:tcW w:w="2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5"/>
                <w:szCs w:val="15"/>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AVERAGE PRICE</w:t>
            </w:r>
          </w:p>
        </w:tc>
      </w:tr>
      <w:tr>
        <w:trPr>
          <w:trHeight w:val="154"/>
        </w:trPr>
        <w:tc>
          <w:tcPr>
            <w:tcW w:w="49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61"/>
              <w:spacing w:after="0" w:line="154"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8"/>
              </w:rPr>
              <w:t>PERCENT</w:t>
            </w:r>
          </w:p>
        </w:tc>
        <w:tc>
          <w:tcPr>
            <w:tcW w:w="56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PERCENT</w:t>
            </w:r>
          </w:p>
        </w:tc>
        <w:tc>
          <w:tcPr>
            <w:tcW w:w="3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0"/>
              <w:spacing w:after="0" w:line="154" w:lineRule="exact"/>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CCEEFF"/>
            </w:tcBorders>
          </w:tcPr>
          <w:p>
            <w:pPr>
              <w:spacing w:after="0"/>
              <w:rPr>
                <w:sz w:val="13"/>
                <w:szCs w:val="13"/>
                <w:color w:val="auto"/>
              </w:rPr>
            </w:pPr>
          </w:p>
        </w:tc>
      </w:tr>
      <w:tr>
        <w:trPr>
          <w:trHeight w:val="181"/>
        </w:trPr>
        <w:tc>
          <w:tcPr>
            <w:tcW w:w="49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Existing stockholders</w:t>
            </w:r>
          </w:p>
        </w:tc>
        <w:tc>
          <w:tcPr>
            <w:tcW w:w="9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31,845,715</w:t>
            </w:r>
          </w:p>
        </w:tc>
        <w:tc>
          <w:tcPr>
            <w:tcW w:w="4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20"/>
              <w:spacing w:after="0" w:line="180" w:lineRule="exact"/>
              <w:rPr>
                <w:sz w:val="20"/>
                <w:szCs w:val="20"/>
                <w:color w:val="auto"/>
              </w:rPr>
            </w:pPr>
            <w:r>
              <w:rPr>
                <w:rFonts w:ascii="Arial" w:cs="Arial" w:eastAsia="Arial" w:hAnsi="Arial"/>
                <w:sz w:val="17"/>
                <w:szCs w:val="17"/>
                <w:color w:val="auto"/>
              </w:rPr>
              <w:t>78%</w:t>
            </w:r>
          </w:p>
        </w:tc>
        <w:tc>
          <w:tcPr>
            <w:tcW w:w="7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7"/>
              </w:rPr>
              <w:t>$ 261,824</w:t>
            </w:r>
          </w:p>
        </w:tc>
        <w:tc>
          <w:tcPr>
            <w:tcW w:w="4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7"/>
                <w:szCs w:val="17"/>
                <w:color w:val="auto"/>
              </w:rPr>
              <w:t>64%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8.22</w:t>
            </w:r>
          </w:p>
        </w:tc>
        <w:tc>
          <w:tcPr>
            <w:tcW w:w="60" w:type="dxa"/>
            <w:vAlign w:val="bottom"/>
            <w:shd w:val="clear" w:color="auto" w:fill="CCEEFF"/>
          </w:tcPr>
          <w:p>
            <w:pPr>
              <w:spacing w:after="0"/>
              <w:rPr>
                <w:sz w:val="15"/>
                <w:szCs w:val="15"/>
                <w:color w:val="auto"/>
              </w:rPr>
            </w:pPr>
          </w:p>
        </w:tc>
      </w:tr>
      <w:tr>
        <w:trPr>
          <w:trHeight w:val="187"/>
        </w:trPr>
        <w:tc>
          <w:tcPr>
            <w:tcW w:w="4920" w:type="dxa"/>
            <w:vAlign w:val="bottom"/>
          </w:tcPr>
          <w:p>
            <w:pPr>
              <w:spacing w:after="0" w:line="187" w:lineRule="exact"/>
              <w:rPr>
                <w:sz w:val="20"/>
                <w:szCs w:val="20"/>
                <w:color w:val="auto"/>
              </w:rPr>
            </w:pPr>
            <w:r>
              <w:rPr>
                <w:rFonts w:ascii="Arial" w:cs="Arial" w:eastAsia="Arial" w:hAnsi="Arial"/>
                <w:sz w:val="17"/>
                <w:szCs w:val="17"/>
                <w:color w:val="auto"/>
              </w:rPr>
              <w:t>New investors</w:t>
            </w:r>
          </w:p>
        </w:tc>
        <w:tc>
          <w:tcPr>
            <w:tcW w:w="134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8,824,000</w:t>
            </w:r>
          </w:p>
        </w:tc>
        <w:tc>
          <w:tcPr>
            <w:tcW w:w="1240" w:type="dxa"/>
            <w:vAlign w:val="bottom"/>
            <w:gridSpan w:val="2"/>
          </w:tcPr>
          <w:p>
            <w:pPr>
              <w:jc w:val="right"/>
              <w:ind w:right="560"/>
              <w:spacing w:after="0" w:line="187" w:lineRule="exact"/>
              <w:rPr>
                <w:sz w:val="20"/>
                <w:szCs w:val="20"/>
                <w:color w:val="auto"/>
              </w:rPr>
            </w:pPr>
            <w:r>
              <w:rPr>
                <w:rFonts w:ascii="Arial" w:cs="Arial" w:eastAsia="Arial" w:hAnsi="Arial"/>
                <w:sz w:val="17"/>
                <w:szCs w:val="17"/>
                <w:color w:val="auto"/>
              </w:rPr>
              <w:t>22</w:t>
            </w:r>
          </w:p>
        </w:tc>
        <w:tc>
          <w:tcPr>
            <w:tcW w:w="118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150,008</w:t>
            </w:r>
          </w:p>
        </w:tc>
        <w:tc>
          <w:tcPr>
            <w:tcW w:w="112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36</w:t>
            </w:r>
          </w:p>
        </w:tc>
        <w:tc>
          <w:tcPr>
            <w:tcW w:w="3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17.00</w:t>
            </w:r>
          </w:p>
        </w:tc>
      </w:tr>
      <w:tr>
        <w:trPr>
          <w:trHeight w:val="27"/>
        </w:trPr>
        <w:tc>
          <w:tcPr>
            <w:tcW w:w="49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4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w:t>
            </w:r>
          </w:p>
        </w:tc>
        <w:tc>
          <w:tcPr>
            <w:tcW w:w="134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40,669,715</w:t>
            </w:r>
          </w:p>
        </w:tc>
        <w:tc>
          <w:tcPr>
            <w:tcW w:w="124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100%</w:t>
            </w:r>
          </w:p>
        </w:tc>
        <w:tc>
          <w:tcPr>
            <w:tcW w:w="118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w w:val="97"/>
              </w:rPr>
              <w:t>$ 411,832</w:t>
            </w:r>
          </w:p>
        </w:tc>
        <w:tc>
          <w:tcPr>
            <w:tcW w:w="112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4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 $1.00 increase (decrease) in the assumed initial public offering price of $17.00 per share, which is the midpoint of the price range set forth on the cover page of this prospectus, would increase (decrease) the total consideration paid by new investors by $8.2 million and, in the case of an increase, would increase the percentage of total consideration paid by new investors to 38% and, in the case of a decrease, would decrease the percentage of total consideration paid by new investors to 35%, assuming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in this offering would increase (decrease) the total consideration paid by new investors in this offering by $15.8 million and, in the case of an increase, would increase the percentage of total consideration paid by new investors to 39% percentage points and, in the case of a decrease, would decrease the percentage of total consideration paid by new investors to 34%, assuming the assumed initial public offering price of $17.00 per share, the midpoint of the price range set forth on the cover page of this prospectus, remains the same, and after deducting estimated underwriting discounts and commissions and estimated offering expenses payable by us.</w:t>
      </w:r>
    </w:p>
    <w:p>
      <w:pPr>
        <w:spacing w:after="0" w:line="124"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exercise their option to purchase additional shares of our common stock in full, the number of shares of our common stock held by existing stockholders and new investors would be 76% and 24%, respectively, of the total number of shares of our common stock outstanding after this offering.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454"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foregoing tables and calculations exclude as of June 30, 2020:</w:t>
      </w:r>
    </w:p>
    <w:p>
      <w:pPr>
        <w:spacing w:after="0" w:line="192" w:lineRule="exact"/>
        <w:rPr>
          <w:sz w:val="20"/>
          <w:szCs w:val="20"/>
          <w:color w:val="auto"/>
        </w:rPr>
      </w:pPr>
    </w:p>
    <w:p>
      <w:pPr>
        <w:ind w:left="880" w:right="160" w:hanging="432"/>
        <w:spacing w:after="0" w:line="255" w:lineRule="auto"/>
        <w:tabs>
          <w:tab w:leader="none" w:pos="88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1,052,531 shares of common stock issuable upon exercise of stock options outstanding under our 2015 Stock Option and Grant Plan, or the 2015 Plan, and stock options outstanding outside the 2015 Plan, at a weighted-average exercise price of $4.37 per share;</w:t>
      </w:r>
    </w:p>
    <w:p>
      <w:pPr>
        <w:spacing w:after="0" w:line="1" w:lineRule="exact"/>
        <w:rPr>
          <w:rFonts w:ascii="MS PGothic" w:cs="MS PGothic" w:eastAsia="MS PGothic" w:hAnsi="MS PGothic"/>
          <w:sz w:val="12"/>
          <w:szCs w:val="12"/>
          <w:color w:val="auto"/>
        </w:rPr>
      </w:pPr>
    </w:p>
    <w:p>
      <w:pPr>
        <w:ind w:left="880" w:right="440" w:hanging="432"/>
        <w:spacing w:after="0" w:line="254" w:lineRule="auto"/>
        <w:tabs>
          <w:tab w:leader="none" w:pos="88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1,467,424 shares of common stock issuable upon the exercise of stock options granted under the 2015 Plan subsequent to June 30, 2020, with an exercise price of $4.98 per share;</w:t>
      </w:r>
    </w:p>
    <w:p>
      <w:pPr>
        <w:ind w:left="880" w:right="20" w:hanging="432"/>
        <w:spacing w:after="0" w:line="239" w:lineRule="auto"/>
        <w:tabs>
          <w:tab w:leader="none" w:pos="88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2,300,043 shares of common stock issuable upon the exercise of stock options we have agreed to grant under our 2020 Stock Option and Incentive Plan, or the 2020 Plan to some of our executive officers immediately following the effectiveness of the registration statement of which this prospectus forms a part, assuming that we sell 8,824,000 shares in this offering, with an exercise price per share equal to the initial public offering price per share in this offering, as described in more detail under the caption “Certain Relationships and Related Person Transactions—Stock Option Grants to Directors and Executive Officers”;</w:t>
      </w:r>
    </w:p>
    <w:p>
      <w:pPr>
        <w:spacing w:after="0" w:line="2" w:lineRule="exact"/>
        <w:rPr>
          <w:rFonts w:ascii="MS PGothic" w:cs="MS PGothic" w:eastAsia="MS PGothic" w:hAnsi="MS PGothic"/>
          <w:sz w:val="12"/>
          <w:szCs w:val="12"/>
          <w:color w:val="auto"/>
        </w:rPr>
      </w:pPr>
    </w:p>
    <w:p>
      <w:pPr>
        <w:ind w:left="880" w:right="100" w:hanging="432"/>
        <w:spacing w:after="0" w:line="242" w:lineRule="auto"/>
        <w:tabs>
          <w:tab w:leader="none" w:pos="88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192,681 shares of common stock issuable upon the exercise of stock options we will grant under the 2020 Plan immediately following the effectiveness of the registration statement of which this prospectus is a part to certain employees and our non-employee directors who remain on our board of directors at such time, with an exercise price per share equal to the initial public offering price per share in this offering;</w:t>
      </w:r>
    </w:p>
    <w:p>
      <w:pPr>
        <w:jc w:val="both"/>
        <w:ind w:left="880" w:hanging="432"/>
        <w:spacing w:after="0" w:line="246" w:lineRule="auto"/>
        <w:tabs>
          <w:tab w:leader="none" w:pos="88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338,784 shares of our common stock issuable upon the exercise of warrants to purchase 2,857,142 shares of our Series B preferred stock at an exercise price of $1.05 per share, which warrants will automatically convert into warrants to purchase shares of our common stock at an exercise price of $8.86 per share upon closing of this offering;</w:t>
      </w:r>
    </w:p>
    <w:p>
      <w:pPr>
        <w:jc w:val="both"/>
        <w:ind w:left="880" w:right="80" w:hanging="432"/>
        <w:spacing w:after="0" w:line="246" w:lineRule="auto"/>
        <w:tabs>
          <w:tab w:leader="none" w:pos="88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4,074,420 shares of common stock to be reserved for future issuance under our 2020 Plan to be effective on the day immediately prior to the effectiveness of the registration statement of which this prospectus forms a part, excluding the shares of common stock issuable upon the exercise of stock options we have agreed to grant under the 2020 Plan as described above; and</w:t>
      </w:r>
    </w:p>
    <w:p>
      <w:pPr>
        <w:ind w:left="880" w:right="60" w:hanging="432"/>
        <w:spacing w:after="0" w:line="269" w:lineRule="auto"/>
        <w:tabs>
          <w:tab w:leader="none" w:pos="88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437,809 shares of common stock to be reserved for future issuance under our 2020 Employee Stock Purchase Plan to be effective on the day immediately prior to the effectiveness of the registration statement of which this prospectus forms a part.</w:t>
      </w:r>
    </w:p>
    <w:p>
      <w:pPr>
        <w:spacing w:after="0" w:line="95"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To the extent that outstanding stock options or warrants are exercised, new stock options are issued,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454"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13"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i w:val="1"/>
          <w:iCs w:val="1"/>
          <w:color w:val="auto"/>
        </w:rPr>
        <w:t>You should read the following selected consolidated financial data together with our audited consolidated and unaudited condensed consolidated financial statements and the related notes appearing elsewhere in this prospectus and the “Management’s Discussion and Analysis of Financial Condition and Results of Operations” section of this prospectus. We have derived the consolidated statement of operations data for the years ended December 31, 2018 and 2019 and the consolidated balance sheet data as of December 31, 2018 and 2019 from our audited consolidated financial statements appearing elsewhere in this prospectus. The unaudited condensed consolidated statement of operations data for the six months ended June 30, 2019 and 2020 and the unaudited condensed consolidated balance sheet data as of June 30, 2020 are derived from our unaudited condensed consolidated financial statements included elsewhere in this prospectus, which have been prepared on the same basis as the audited financial statements. In the opinion of management, the unaudited data reflects all adjustments, consisting only of normal recurring adjustments, necessary for a fair presentation of the financial information in those statements. You should read this data together with our financial statements and related notes included elsewhere in this prospectus and the information under the caption “Management’s Discussion and Analysis of Financial Condition and Results of Operations.” Our historical results are not necessarily indicative of the results that may be expected in the future, and our results for any interim period are not necessarily indicative of results that may be expected for any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133350</wp:posOffset>
            </wp:positionV>
            <wp:extent cx="71335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580" w:type="dxa"/>
            <w:vAlign w:val="bottom"/>
            <w:gridSpan w:val="3"/>
          </w:tcPr>
          <w:p>
            <w:pPr>
              <w:jc w:val="center"/>
              <w:ind w:left="598"/>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6"/>
              <w:spacing w:after="0" w:line="154"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8"/>
              <w:spacing w:after="0" w:line="154"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6"/>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left="598"/>
              <w:spacing w:after="0" w:line="139" w:lineRule="exact"/>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8"/>
          </w:tcPr>
          <w:p>
            <w:pPr>
              <w:jc w:val="right"/>
              <w:ind w:right="75"/>
              <w:spacing w:after="0"/>
              <w:rPr>
                <w:sz w:val="20"/>
                <w:szCs w:val="20"/>
                <w:color w:val="auto"/>
              </w:rPr>
            </w:pPr>
            <w:r>
              <w:rPr>
                <w:rFonts w:ascii="Arial" w:cs="Arial" w:eastAsia="Arial" w:hAnsi="Arial"/>
                <w:sz w:val="14"/>
                <w:szCs w:val="14"/>
                <w:b w:val="1"/>
                <w:bCs w:val="1"/>
                <w:color w:val="auto"/>
              </w:rPr>
              <w:t>(in thousands, except share and per share data)</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Consolidated statement of operations data:</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line="187" w:lineRule="exact"/>
              <w:rPr>
                <w:sz w:val="20"/>
                <w:szCs w:val="20"/>
                <w:color w:val="auto"/>
              </w:rPr>
            </w:pPr>
            <w:r>
              <w:rPr>
                <w:rFonts w:ascii="Arial" w:cs="Arial" w:eastAsia="Arial" w:hAnsi="Arial"/>
                <w:sz w:val="17"/>
                <w:szCs w:val="17"/>
                <w:color w:val="auto"/>
              </w:rPr>
              <w:t>Revenue from collaboration agreements</w:t>
            </w:r>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19,364</w:t>
            </w:r>
          </w:p>
        </w:tc>
        <w:tc>
          <w:tcPr>
            <w:tcW w:w="40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21,381</w:t>
            </w:r>
          </w:p>
        </w:tc>
        <w:tc>
          <w:tcPr>
            <w:tcW w:w="220" w:type="dxa"/>
            <w:vAlign w:val="bottom"/>
          </w:tcPr>
          <w:p>
            <w:pPr>
              <w:jc w:val="right"/>
              <w:ind w:right="35"/>
              <w:spacing w:after="0" w:line="187" w:lineRule="exact"/>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7,807</w:t>
            </w:r>
          </w:p>
        </w:tc>
        <w:tc>
          <w:tcPr>
            <w:tcW w:w="280" w:type="dxa"/>
            <w:vAlign w:val="bottom"/>
          </w:tcPr>
          <w:p>
            <w:pPr>
              <w:jc w:val="right"/>
              <w:ind w:right="95"/>
              <w:spacing w:after="0" w:line="187"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16,486</w:t>
            </w: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tcPr>
          <w:p>
            <w:pPr>
              <w:ind w:left="260"/>
              <w:spacing w:after="0" w:line="187" w:lineRule="exact"/>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7,161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8,774</w:t>
            </w:r>
          </w:p>
        </w:tc>
        <w:tc>
          <w:tcPr>
            <w:tcW w:w="220" w:type="dxa"/>
            <w:vAlign w:val="bottom"/>
          </w:tcPr>
          <w:p>
            <w:pPr>
              <w:spacing w:after="0"/>
              <w:rPr>
                <w:sz w:val="16"/>
                <w:szCs w:val="16"/>
                <w:color w:val="auto"/>
              </w:rPr>
            </w:pPr>
          </w:p>
        </w:tc>
        <w:tc>
          <w:tcPr>
            <w:tcW w:w="130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3,667</w:t>
            </w:r>
          </w:p>
        </w:tc>
        <w:tc>
          <w:tcPr>
            <w:tcW w:w="280" w:type="dxa"/>
            <w:vAlign w:val="bottom"/>
          </w:tcPr>
          <w:p>
            <w:pPr>
              <w:spacing w:after="0"/>
              <w:rPr>
                <w:sz w:val="16"/>
                <w:szCs w:val="16"/>
                <w:color w:val="auto"/>
              </w:rPr>
            </w:pPr>
          </w:p>
        </w:tc>
        <w:tc>
          <w:tcPr>
            <w:tcW w:w="10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5,611</w:t>
            </w: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28,592</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48,059</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19,093</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34,072</w:t>
            </w:r>
          </w:p>
        </w:tc>
        <w:tc>
          <w:tcPr>
            <w:tcW w:w="0" w:type="dxa"/>
            <w:vAlign w:val="bottom"/>
          </w:tcPr>
          <w:p>
            <w:pPr>
              <w:spacing w:after="0"/>
              <w:rPr>
                <w:sz w:val="1"/>
                <w:szCs w:val="1"/>
                <w:color w:val="auto"/>
              </w:rPr>
            </w:pPr>
          </w:p>
        </w:tc>
      </w:tr>
      <w:tr>
        <w:trPr>
          <w:trHeight w:val="201"/>
        </w:trPr>
        <w:tc>
          <w:tcPr>
            <w:tcW w:w="5380" w:type="dxa"/>
            <w:vAlign w:val="bottom"/>
          </w:tcPr>
          <w:p>
            <w:pPr>
              <w:ind w:left="500"/>
              <w:spacing w:after="0" w:line="194" w:lineRule="exact"/>
              <w:rPr>
                <w:sz w:val="20"/>
                <w:szCs w:val="20"/>
                <w:color w:val="auto"/>
              </w:rPr>
            </w:pPr>
            <w:r>
              <w:rPr>
                <w:rFonts w:ascii="Arial" w:cs="Arial" w:eastAsia="Arial" w:hAnsi="Arial"/>
                <w:sz w:val="17"/>
                <w:szCs w:val="17"/>
                <w:color w:val="auto"/>
              </w:rPr>
              <w:t>Total operating expenses</w:t>
            </w:r>
          </w:p>
        </w:tc>
        <w:tc>
          <w:tcPr>
            <w:tcW w:w="3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35,753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56,833</w:t>
            </w:r>
          </w:p>
        </w:tc>
        <w:tc>
          <w:tcPr>
            <w:tcW w:w="4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22,760</w:t>
            </w:r>
          </w:p>
        </w:tc>
        <w:tc>
          <w:tcPr>
            <w:tcW w:w="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39,683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Operating loss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(16,389)</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(35,452)</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(14,953)</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(23,197)</w:t>
            </w:r>
          </w:p>
        </w:tc>
        <w:tc>
          <w:tcPr>
            <w:tcW w:w="0" w:type="dxa"/>
            <w:vAlign w:val="bottom"/>
          </w:tcPr>
          <w:p>
            <w:pPr>
              <w:spacing w:after="0"/>
              <w:rPr>
                <w:sz w:val="1"/>
                <w:szCs w:val="1"/>
                <w:color w:val="auto"/>
              </w:rPr>
            </w:pPr>
          </w:p>
        </w:tc>
      </w:tr>
      <w:tr>
        <w:trPr>
          <w:trHeight w:val="187"/>
        </w:trPr>
        <w:tc>
          <w:tcPr>
            <w:tcW w:w="5380" w:type="dxa"/>
            <w:vAlign w:val="bottom"/>
          </w:tcPr>
          <w:p>
            <w:pPr>
              <w:spacing w:after="0" w:line="187" w:lineRule="exact"/>
              <w:rPr>
                <w:sz w:val="20"/>
                <w:szCs w:val="20"/>
                <w:color w:val="auto"/>
              </w:rPr>
            </w:pPr>
            <w:r>
              <w:rPr>
                <w:rFonts w:ascii="Arial" w:cs="Arial" w:eastAsia="Arial" w:hAnsi="Arial"/>
                <w:sz w:val="17"/>
                <w:szCs w:val="17"/>
                <w:color w:val="auto"/>
              </w:rPr>
              <w:t>Other income, net: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Interest income, net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685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1,832</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928</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187"/>
        </w:trPr>
        <w:tc>
          <w:tcPr>
            <w:tcW w:w="5380" w:type="dxa"/>
            <w:vAlign w:val="bottom"/>
          </w:tcPr>
          <w:p>
            <w:pPr>
              <w:ind w:left="260"/>
              <w:spacing w:after="0" w:line="187" w:lineRule="exact"/>
              <w:rPr>
                <w:sz w:val="20"/>
                <w:szCs w:val="20"/>
                <w:color w:val="auto"/>
              </w:rPr>
            </w:pPr>
            <w:r>
              <w:rPr>
                <w:rFonts w:ascii="Arial" w:cs="Arial" w:eastAsia="Arial" w:hAnsi="Arial"/>
                <w:sz w:val="17"/>
                <w:szCs w:val="17"/>
                <w:color w:val="auto"/>
              </w:rPr>
              <w:t>Other (expense) income, net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325</w:t>
            </w:r>
          </w:p>
        </w:tc>
        <w:tc>
          <w:tcPr>
            <w:tcW w:w="220" w:type="dxa"/>
            <w:vAlign w:val="bottom"/>
          </w:tcPr>
          <w:p>
            <w:pPr>
              <w:spacing w:after="0"/>
              <w:rPr>
                <w:sz w:val="16"/>
                <w:szCs w:val="16"/>
                <w:color w:val="auto"/>
              </w:rPr>
            </w:pPr>
          </w:p>
        </w:tc>
        <w:tc>
          <w:tcPr>
            <w:tcW w:w="130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293</w:t>
            </w:r>
          </w:p>
        </w:tc>
        <w:tc>
          <w:tcPr>
            <w:tcW w:w="280" w:type="dxa"/>
            <w:vAlign w:val="bottom"/>
          </w:tcPr>
          <w:p>
            <w:pPr>
              <w:spacing w:after="0"/>
              <w:rPr>
                <w:sz w:val="16"/>
                <w:szCs w:val="16"/>
                <w:color w:val="auto"/>
              </w:rPr>
            </w:pPr>
          </w:p>
        </w:tc>
        <w:tc>
          <w:tcPr>
            <w:tcW w:w="102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38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Total other income, net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678</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2,157</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1,221</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Loss before income taxes</w:t>
            </w: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(15,711)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(33,295)</w:t>
            </w:r>
          </w:p>
        </w:tc>
        <w:tc>
          <w:tcPr>
            <w:tcW w:w="4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(13,732)</w:t>
            </w:r>
          </w:p>
        </w:tc>
        <w:tc>
          <w:tcPr>
            <w:tcW w:w="4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(23,040)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Income tax (expense) benefit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(804)</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(250)</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Net loss</w:t>
            </w: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(15,711)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(34,099)</w:t>
            </w:r>
          </w:p>
        </w:tc>
        <w:tc>
          <w:tcPr>
            <w:tcW w:w="4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(13,982)</w:t>
            </w:r>
          </w:p>
        </w:tc>
        <w:tc>
          <w:tcPr>
            <w:tcW w:w="4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(22,705)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comprehensive gain (loss):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tcPr>
          <w:p>
            <w:pPr>
              <w:ind w:left="260"/>
              <w:spacing w:after="0" w:line="187" w:lineRule="exact"/>
              <w:rPr>
                <w:sz w:val="20"/>
                <w:szCs w:val="20"/>
                <w:color w:val="auto"/>
              </w:rPr>
            </w:pPr>
            <w:r>
              <w:rPr>
                <w:rFonts w:ascii="Arial" w:cs="Arial" w:eastAsia="Arial" w:hAnsi="Arial"/>
                <w:sz w:val="17"/>
                <w:szCs w:val="17"/>
                <w:color w:val="auto"/>
              </w:rPr>
              <w:t>Unrealized gain (loss) on investments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46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(4)</w:t>
            </w:r>
          </w:p>
        </w:tc>
        <w:tc>
          <w:tcPr>
            <w:tcW w:w="280" w:type="dxa"/>
            <w:vAlign w:val="bottom"/>
          </w:tcPr>
          <w:p>
            <w:pPr>
              <w:spacing w:after="0"/>
              <w:rPr>
                <w:sz w:val="16"/>
                <w:szCs w:val="16"/>
                <w:color w:val="auto"/>
              </w:rPr>
            </w:pPr>
          </w:p>
        </w:tc>
        <w:tc>
          <w:tcPr>
            <w:tcW w:w="102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3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Comprehensive loss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(15,665)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(34,099)</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(13,986)</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(22,707)</w:t>
            </w:r>
          </w:p>
        </w:tc>
        <w:tc>
          <w:tcPr>
            <w:tcW w:w="0" w:type="dxa"/>
            <w:vAlign w:val="bottom"/>
          </w:tcPr>
          <w:p>
            <w:pPr>
              <w:spacing w:after="0"/>
              <w:rPr>
                <w:sz w:val="1"/>
                <w:szCs w:val="1"/>
                <w:color w:val="auto"/>
              </w:rPr>
            </w:pPr>
          </w:p>
        </w:tc>
      </w:tr>
      <w:tr>
        <w:trPr>
          <w:trHeight w:val="187"/>
        </w:trPr>
        <w:tc>
          <w:tcPr>
            <w:tcW w:w="5380" w:type="dxa"/>
            <w:vAlign w:val="bottom"/>
          </w:tcPr>
          <w:p>
            <w:pPr>
              <w:spacing w:after="0" w:line="187" w:lineRule="exact"/>
              <w:rPr>
                <w:sz w:val="20"/>
                <w:szCs w:val="20"/>
                <w:color w:val="auto"/>
              </w:rPr>
            </w:pPr>
            <w:r>
              <w:rPr>
                <w:rFonts w:ascii="Arial" w:cs="Arial" w:eastAsia="Arial" w:hAnsi="Arial"/>
                <w:sz w:val="17"/>
                <w:szCs w:val="17"/>
                <w:color w:val="auto"/>
              </w:rPr>
              <w:t>Accrual of preferred stock dividends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(8,396)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(8,468)</w:t>
            </w:r>
          </w:p>
        </w:tc>
        <w:tc>
          <w:tcPr>
            <w:tcW w:w="220" w:type="dxa"/>
            <w:vAlign w:val="bottom"/>
          </w:tcPr>
          <w:p>
            <w:pPr>
              <w:spacing w:after="0"/>
              <w:rPr>
                <w:sz w:val="16"/>
                <w:szCs w:val="16"/>
                <w:color w:val="auto"/>
              </w:rPr>
            </w:pPr>
          </w:p>
        </w:tc>
        <w:tc>
          <w:tcPr>
            <w:tcW w:w="130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(4,199)</w:t>
            </w:r>
          </w:p>
        </w:tc>
        <w:tc>
          <w:tcPr>
            <w:tcW w:w="280" w:type="dxa"/>
            <w:vAlign w:val="bottom"/>
          </w:tcPr>
          <w:p>
            <w:pPr>
              <w:spacing w:after="0"/>
              <w:rPr>
                <w:sz w:val="16"/>
                <w:szCs w:val="16"/>
                <w:color w:val="auto"/>
              </w:rPr>
            </w:pPr>
          </w:p>
        </w:tc>
        <w:tc>
          <w:tcPr>
            <w:tcW w:w="102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(5,019)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3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loss attributable to common stockholders</w:t>
            </w:r>
          </w:p>
        </w:tc>
        <w:tc>
          <w:tcPr>
            <w:tcW w:w="4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(24,107)</w:t>
            </w:r>
          </w:p>
        </w:tc>
        <w:tc>
          <w:tcPr>
            <w:tcW w:w="40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(42,567)</w:t>
            </w:r>
          </w:p>
        </w:tc>
        <w:tc>
          <w:tcPr>
            <w:tcW w:w="220" w:type="dxa"/>
            <w:vAlign w:val="bottom"/>
            <w:shd w:val="clear" w:color="auto" w:fill="CCEEFF"/>
          </w:tcPr>
          <w:p>
            <w:pPr>
              <w:jc w:val="right"/>
              <w:ind w:right="35"/>
              <w:spacing w:after="0" w:line="187" w:lineRule="exact"/>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(18,181)</w:t>
            </w:r>
          </w:p>
        </w:tc>
        <w:tc>
          <w:tcPr>
            <w:tcW w:w="280" w:type="dxa"/>
            <w:vAlign w:val="bottom"/>
            <w:shd w:val="clear" w:color="auto" w:fill="CCEEFF"/>
          </w:tcPr>
          <w:p>
            <w:pPr>
              <w:jc w:val="right"/>
              <w:ind w:right="95"/>
              <w:spacing w:after="0" w:line="187"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(27,727)</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193" w:lineRule="exact"/>
              <w:rPr>
                <w:sz w:val="20"/>
                <w:szCs w:val="20"/>
                <w:color w:val="auto"/>
              </w:rPr>
            </w:pPr>
            <w:r>
              <w:rPr>
                <w:rFonts w:ascii="Arial" w:cs="Arial" w:eastAsia="Arial" w:hAnsi="Arial"/>
                <w:sz w:val="17"/>
                <w:szCs w:val="17"/>
                <w:color w:val="auto"/>
              </w:rPr>
              <w:t>Net loss per share attributable to common stockholders—basic and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60"/>
              <w:spacing w:after="0"/>
              <w:rPr>
                <w:sz w:val="20"/>
                <w:szCs w:val="20"/>
                <w:color w:val="auto"/>
              </w:rPr>
            </w:pPr>
            <w:r>
              <w:rPr>
                <w:rFonts w:ascii="Arial" w:cs="Arial" w:eastAsia="Arial" w:hAnsi="Arial"/>
                <w:sz w:val="17"/>
                <w:szCs w:val="17"/>
                <w:color w:val="auto"/>
              </w:rPr>
              <w:t xml:space="preserve">diluted </w:t>
            </w:r>
            <w:r>
              <w:rPr>
                <w:rFonts w:ascii="Arial" w:cs="Arial" w:eastAsia="Arial" w:hAnsi="Arial"/>
                <w:sz w:val="14"/>
                <w:szCs w:val="14"/>
                <w:color w:val="auto"/>
              </w:rPr>
              <w:t>(1)</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(18.64)</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(31.03)</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360"/>
              <w:spacing w:after="0"/>
              <w:rPr>
                <w:sz w:val="20"/>
                <w:szCs w:val="20"/>
                <w:color w:val="auto"/>
              </w:rPr>
            </w:pPr>
            <w:r>
              <w:rPr>
                <w:rFonts w:ascii="Arial" w:cs="Arial" w:eastAsia="Arial" w:hAnsi="Arial"/>
                <w:sz w:val="17"/>
                <w:szCs w:val="17"/>
                <w:color w:val="auto"/>
              </w:rPr>
              <w:t>(13.53)</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(18.87)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 xml:space="preserve">Weighted-average common shares outstanding—basic and diluted </w:t>
            </w:r>
            <w:r>
              <w:rPr>
                <w:rFonts w:ascii="Arial" w:cs="Arial" w:eastAsia="Arial" w:hAnsi="Arial"/>
                <w:sz w:val="14"/>
                <w:szCs w:val="14"/>
                <w:color w:val="auto"/>
              </w:rPr>
              <w:t>(1)</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7"/>
                <w:szCs w:val="17"/>
                <w:color w:val="auto"/>
                <w:w w:val="97"/>
              </w:rPr>
              <w:t>1,293,103</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20"/>
              <w:spacing w:after="0" w:line="180" w:lineRule="exact"/>
              <w:rPr>
                <w:sz w:val="20"/>
                <w:szCs w:val="20"/>
                <w:color w:val="auto"/>
              </w:rPr>
            </w:pPr>
            <w:r>
              <w:rPr>
                <w:rFonts w:ascii="Arial" w:cs="Arial" w:eastAsia="Arial" w:hAnsi="Arial"/>
                <w:sz w:val="17"/>
                <w:szCs w:val="17"/>
                <w:color w:val="auto"/>
              </w:rPr>
              <w:t>1,371,905</w:t>
            </w: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20"/>
              <w:spacing w:after="0" w:line="180" w:lineRule="exact"/>
              <w:rPr>
                <w:sz w:val="20"/>
                <w:szCs w:val="20"/>
                <w:color w:val="auto"/>
              </w:rPr>
            </w:pPr>
            <w:r>
              <w:rPr>
                <w:rFonts w:ascii="Arial" w:cs="Arial" w:eastAsia="Arial" w:hAnsi="Arial"/>
                <w:sz w:val="17"/>
                <w:szCs w:val="17"/>
                <w:color w:val="auto"/>
              </w:rPr>
              <w:t>1,343,739</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1,469,571</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193" w:lineRule="exact"/>
              <w:rPr>
                <w:sz w:val="20"/>
                <w:szCs w:val="20"/>
                <w:color w:val="auto"/>
              </w:rPr>
            </w:pPr>
            <w:r>
              <w:rPr>
                <w:rFonts w:ascii="Arial" w:cs="Arial" w:eastAsia="Arial" w:hAnsi="Arial"/>
                <w:sz w:val="17"/>
                <w:szCs w:val="17"/>
                <w:color w:val="auto"/>
              </w:rPr>
              <w:t>Pro forma net loss per share attributable to common stockholders—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60"/>
              <w:spacing w:after="0"/>
              <w:rPr>
                <w:sz w:val="20"/>
                <w:szCs w:val="20"/>
                <w:color w:val="auto"/>
              </w:rPr>
            </w:pPr>
            <w:r>
              <w:rPr>
                <w:rFonts w:ascii="Arial" w:cs="Arial" w:eastAsia="Arial" w:hAnsi="Arial"/>
                <w:sz w:val="17"/>
                <w:szCs w:val="17"/>
                <w:color w:val="auto"/>
              </w:rPr>
              <w:t xml:space="preserve">basic and diluted (unaudited) </w:t>
            </w:r>
            <w:r>
              <w:rPr>
                <w:rFonts w:ascii="Arial" w:cs="Arial" w:eastAsia="Arial" w:hAnsi="Arial"/>
                <w:sz w:val="14"/>
                <w:szCs w:val="14"/>
                <w:color w:val="auto"/>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(2.31)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80" w:type="dxa"/>
            <w:vAlign w:val="bottom"/>
            <w:shd w:val="clear" w:color="auto" w:fill="CCEEFF"/>
          </w:tcPr>
          <w:p>
            <w:pPr>
              <w:spacing w:after="0" w:line="153" w:lineRule="exact"/>
              <w:rPr>
                <w:sz w:val="20"/>
                <w:szCs w:val="20"/>
                <w:color w:val="auto"/>
              </w:rPr>
            </w:pPr>
            <w:r>
              <w:rPr>
                <w:rFonts w:ascii="Arial" w:cs="Arial" w:eastAsia="Arial" w:hAnsi="Arial"/>
                <w:sz w:val="17"/>
                <w:szCs w:val="17"/>
                <w:color w:val="auto"/>
              </w:rPr>
              <w:t>Pro forma weighted-average common shares outstanding—basic and</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xml:space="preserve">diluted (unaudited) </w:t>
            </w:r>
            <w:r>
              <w:rPr>
                <w:rFonts w:ascii="Arial" w:cs="Arial" w:eastAsia="Arial" w:hAnsi="Arial"/>
                <w:sz w:val="14"/>
                <w:szCs w:val="14"/>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8"/>
              </w:rPr>
              <w:t>14,788,060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17,233,018</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3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40" w:right="120" w:hanging="286"/>
        <w:spacing w:after="0" w:line="213" w:lineRule="auto"/>
        <w:tabs>
          <w:tab w:leader="none" w:pos="4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See Note 11 to our consolidated financial statements appearing elsewhere in this prospectus for details on the calculation of basic and diluted net loss per share attributable to common stockholders for the years ending December 31, 2018 and 2019 and Note 12 to our unaudited condensed consolidated financial statements appearing elsewhere in this prospectus for details on the calculation of basic and diluted net loss per share attributable to common stockholders for the six months ending June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35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60" w:type="dxa"/>
            <w:vAlign w:val="bottom"/>
          </w:tcPr>
          <w:p>
            <w:pPr>
              <w:spacing w:after="0"/>
              <w:rPr>
                <w:sz w:val="15"/>
                <w:szCs w:val="15"/>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54"/>
        </w:trPr>
        <w:tc>
          <w:tcPr>
            <w:tcW w:w="746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38"/>
              <w:spacing w:after="0" w:line="154"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40"/>
              <w:spacing w:after="0" w:line="154"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177"/>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7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46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Consolidated balance sheet data:</w:t>
            </w: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tcPr>
          <w:p>
            <w:pPr>
              <w:spacing w:after="0" w:line="187" w:lineRule="exact"/>
              <w:rPr>
                <w:sz w:val="20"/>
                <w:szCs w:val="20"/>
                <w:color w:val="auto"/>
              </w:rPr>
            </w:pPr>
            <w:r>
              <w:rPr>
                <w:rFonts w:ascii="Arial" w:cs="Arial" w:eastAsia="Arial" w:hAnsi="Arial"/>
                <w:sz w:val="17"/>
                <w:szCs w:val="17"/>
                <w:color w:val="auto"/>
              </w:rPr>
              <w:t>Cash and cash equivalents and short-term investments</w:t>
            </w:r>
          </w:p>
        </w:tc>
        <w:tc>
          <w:tcPr>
            <w:tcW w:w="100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  36,311</w:t>
            </w:r>
          </w:p>
        </w:tc>
        <w:tc>
          <w:tcPr>
            <w:tcW w:w="1580" w:type="dxa"/>
            <w:vAlign w:val="bottom"/>
            <w:gridSpan w:val="3"/>
          </w:tcPr>
          <w:p>
            <w:pPr>
              <w:jc w:val="right"/>
              <w:ind w:right="540"/>
              <w:spacing w:after="0" w:line="187" w:lineRule="exact"/>
              <w:rPr>
                <w:sz w:val="20"/>
                <w:szCs w:val="20"/>
                <w:color w:val="auto"/>
              </w:rPr>
            </w:pPr>
            <w:r>
              <w:rPr>
                <w:rFonts w:ascii="Arial" w:cs="Arial" w:eastAsia="Arial" w:hAnsi="Arial"/>
                <w:sz w:val="17"/>
                <w:szCs w:val="17"/>
                <w:color w:val="auto"/>
              </w:rPr>
              <w:t>$  90,549</w:t>
            </w:r>
          </w:p>
        </w:tc>
        <w:tc>
          <w:tcPr>
            <w:tcW w:w="240" w:type="dxa"/>
            <w:vAlign w:val="bottom"/>
          </w:tcPr>
          <w:p>
            <w:pPr>
              <w:jc w:val="right"/>
              <w:ind w:right="58"/>
              <w:spacing w:after="0" w:line="187"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211,594</w:t>
            </w:r>
          </w:p>
        </w:tc>
        <w:tc>
          <w:tcPr>
            <w:tcW w:w="0" w:type="dxa"/>
            <w:vAlign w:val="bottom"/>
          </w:tcPr>
          <w:p>
            <w:pPr>
              <w:spacing w:after="0"/>
              <w:rPr>
                <w:sz w:val="1"/>
                <w:szCs w:val="1"/>
                <w:color w:val="auto"/>
              </w:rPr>
            </w:pPr>
          </w:p>
        </w:tc>
      </w:tr>
      <w:tr>
        <w:trPr>
          <w:trHeight w:val="187"/>
        </w:trPr>
        <w:tc>
          <w:tcPr>
            <w:tcW w:w="7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14"/>
                <w:szCs w:val="14"/>
                <w:color w:val="auto"/>
              </w:rPr>
              <w:t>(1)</w:t>
            </w:r>
          </w:p>
        </w:tc>
        <w:tc>
          <w:tcPr>
            <w:tcW w:w="100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99,581</w:t>
            </w:r>
          </w:p>
        </w:tc>
        <w:tc>
          <w:tcPr>
            <w:tcW w:w="1580" w:type="dxa"/>
            <w:vAlign w:val="bottom"/>
            <w:gridSpan w:val="3"/>
            <w:shd w:val="clear" w:color="auto" w:fill="CCEEFF"/>
          </w:tcPr>
          <w:p>
            <w:pPr>
              <w:jc w:val="right"/>
              <w:ind w:right="540"/>
              <w:spacing w:after="0" w:line="187" w:lineRule="exact"/>
              <w:rPr>
                <w:sz w:val="20"/>
                <w:szCs w:val="20"/>
                <w:color w:val="auto"/>
              </w:rPr>
            </w:pPr>
            <w:r>
              <w:rPr>
                <w:rFonts w:ascii="Arial" w:cs="Arial" w:eastAsia="Arial" w:hAnsi="Arial"/>
                <w:sz w:val="17"/>
                <w:szCs w:val="17"/>
                <w:color w:val="auto"/>
              </w:rPr>
              <w:t>63,126</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188,304</w:t>
            </w:r>
          </w:p>
        </w:tc>
        <w:tc>
          <w:tcPr>
            <w:tcW w:w="0" w:type="dxa"/>
            <w:vAlign w:val="bottom"/>
          </w:tcPr>
          <w:p>
            <w:pPr>
              <w:spacing w:after="0"/>
              <w:rPr>
                <w:sz w:val="1"/>
                <w:szCs w:val="1"/>
                <w:color w:val="auto"/>
              </w:rPr>
            </w:pPr>
          </w:p>
        </w:tc>
      </w:tr>
      <w:tr>
        <w:trPr>
          <w:trHeight w:val="187"/>
        </w:trPr>
        <w:tc>
          <w:tcPr>
            <w:tcW w:w="7460" w:type="dxa"/>
            <w:vAlign w:val="bottom"/>
          </w:tcPr>
          <w:p>
            <w:pPr>
              <w:spacing w:after="0" w:line="187" w:lineRule="exact"/>
              <w:rPr>
                <w:sz w:val="20"/>
                <w:szCs w:val="20"/>
                <w:color w:val="auto"/>
              </w:rPr>
            </w:pPr>
            <w:r>
              <w:rPr>
                <w:rFonts w:ascii="Arial" w:cs="Arial" w:eastAsia="Arial" w:hAnsi="Arial"/>
                <w:sz w:val="17"/>
                <w:szCs w:val="17"/>
                <w:color w:val="auto"/>
              </w:rPr>
              <w:t>Total assets</w:t>
            </w:r>
          </w:p>
        </w:tc>
        <w:tc>
          <w:tcPr>
            <w:tcW w:w="100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146,491</w:t>
            </w:r>
          </w:p>
        </w:tc>
        <w:tc>
          <w:tcPr>
            <w:tcW w:w="1580" w:type="dxa"/>
            <w:vAlign w:val="bottom"/>
            <w:gridSpan w:val="3"/>
          </w:tcPr>
          <w:p>
            <w:pPr>
              <w:jc w:val="right"/>
              <w:ind w:right="540"/>
              <w:spacing w:after="0" w:line="187" w:lineRule="exact"/>
              <w:rPr>
                <w:sz w:val="20"/>
                <w:szCs w:val="20"/>
                <w:color w:val="auto"/>
              </w:rPr>
            </w:pPr>
            <w:r>
              <w:rPr>
                <w:rFonts w:ascii="Arial" w:cs="Arial" w:eastAsia="Arial" w:hAnsi="Arial"/>
                <w:sz w:val="17"/>
                <w:szCs w:val="17"/>
                <w:color w:val="auto"/>
              </w:rPr>
              <w:t>118,260</w:t>
            </w:r>
          </w:p>
        </w:tc>
        <w:tc>
          <w:tcPr>
            <w:tcW w:w="240" w:type="dxa"/>
            <w:vAlign w:val="bottom"/>
          </w:tcPr>
          <w:p>
            <w:pPr>
              <w:spacing w:after="0"/>
              <w:rPr>
                <w:sz w:val="16"/>
                <w:szCs w:val="16"/>
                <w:color w:val="auto"/>
              </w:rPr>
            </w:pPr>
          </w:p>
        </w:tc>
        <w:tc>
          <w:tcPr>
            <w:tcW w:w="9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243,567</w:t>
            </w:r>
          </w:p>
        </w:tc>
        <w:tc>
          <w:tcPr>
            <w:tcW w:w="0" w:type="dxa"/>
            <w:vAlign w:val="bottom"/>
          </w:tcPr>
          <w:p>
            <w:pPr>
              <w:spacing w:after="0"/>
              <w:rPr>
                <w:sz w:val="1"/>
                <w:szCs w:val="1"/>
                <w:color w:val="auto"/>
              </w:rPr>
            </w:pPr>
          </w:p>
        </w:tc>
      </w:tr>
      <w:tr>
        <w:trPr>
          <w:trHeight w:val="187"/>
        </w:trPr>
        <w:tc>
          <w:tcPr>
            <w:tcW w:w="7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Deferred revenue</w:t>
            </w:r>
          </w:p>
        </w:tc>
        <w:tc>
          <w:tcPr>
            <w:tcW w:w="100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96,658</w:t>
            </w:r>
          </w:p>
        </w:tc>
        <w:tc>
          <w:tcPr>
            <w:tcW w:w="1580" w:type="dxa"/>
            <w:vAlign w:val="bottom"/>
            <w:gridSpan w:val="3"/>
            <w:shd w:val="clear" w:color="auto" w:fill="CCEEFF"/>
          </w:tcPr>
          <w:p>
            <w:pPr>
              <w:jc w:val="right"/>
              <w:ind w:right="540"/>
              <w:spacing w:after="0" w:line="187" w:lineRule="exact"/>
              <w:rPr>
                <w:sz w:val="20"/>
                <w:szCs w:val="20"/>
                <w:color w:val="auto"/>
              </w:rPr>
            </w:pPr>
            <w:r>
              <w:rPr>
                <w:rFonts w:ascii="Arial" w:cs="Arial" w:eastAsia="Arial" w:hAnsi="Arial"/>
                <w:sz w:val="17"/>
                <w:szCs w:val="17"/>
                <w:color w:val="auto"/>
              </w:rPr>
              <w:t>93,423</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89,302</w:t>
            </w:r>
          </w:p>
        </w:tc>
        <w:tc>
          <w:tcPr>
            <w:tcW w:w="0" w:type="dxa"/>
            <w:vAlign w:val="bottom"/>
          </w:tcPr>
          <w:p>
            <w:pPr>
              <w:spacing w:after="0"/>
              <w:rPr>
                <w:sz w:val="1"/>
                <w:szCs w:val="1"/>
                <w:color w:val="auto"/>
              </w:rPr>
            </w:pPr>
          </w:p>
        </w:tc>
      </w:tr>
      <w:tr>
        <w:trPr>
          <w:trHeight w:val="187"/>
        </w:trPr>
        <w:tc>
          <w:tcPr>
            <w:tcW w:w="7460" w:type="dxa"/>
            <w:vAlign w:val="bottom"/>
          </w:tcPr>
          <w:p>
            <w:pPr>
              <w:spacing w:after="0" w:line="187" w:lineRule="exact"/>
              <w:rPr>
                <w:sz w:val="20"/>
                <w:szCs w:val="20"/>
                <w:color w:val="auto"/>
              </w:rPr>
            </w:pPr>
            <w:r>
              <w:rPr>
                <w:rFonts w:ascii="Arial" w:cs="Arial" w:eastAsia="Arial" w:hAnsi="Arial"/>
                <w:sz w:val="17"/>
                <w:szCs w:val="17"/>
                <w:color w:val="auto"/>
              </w:rPr>
              <w:t>Warrant liability</w:t>
            </w:r>
          </w:p>
        </w:tc>
        <w:tc>
          <w:tcPr>
            <w:tcW w:w="100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320" w:type="dxa"/>
            <w:vAlign w:val="bottom"/>
            <w:gridSpan w:val="2"/>
          </w:tcPr>
          <w:p>
            <w:pPr>
              <w:jc w:val="right"/>
              <w:ind w:right="540"/>
              <w:spacing w:after="0" w:line="187"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2,325</w:t>
            </w:r>
          </w:p>
        </w:tc>
        <w:tc>
          <w:tcPr>
            <w:tcW w:w="0" w:type="dxa"/>
            <w:vAlign w:val="bottom"/>
          </w:tcPr>
          <w:p>
            <w:pPr>
              <w:spacing w:after="0"/>
              <w:rPr>
                <w:sz w:val="1"/>
                <w:szCs w:val="1"/>
                <w:color w:val="auto"/>
              </w:rPr>
            </w:pPr>
          </w:p>
        </w:tc>
      </w:tr>
      <w:tr>
        <w:trPr>
          <w:trHeight w:val="187"/>
        </w:trPr>
        <w:tc>
          <w:tcPr>
            <w:tcW w:w="7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Long-term debt</w:t>
            </w:r>
          </w:p>
        </w:tc>
        <w:tc>
          <w:tcPr>
            <w:tcW w:w="100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40"/>
              <w:spacing w:after="0" w:line="187"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9,674</w:t>
            </w:r>
          </w:p>
        </w:tc>
        <w:tc>
          <w:tcPr>
            <w:tcW w:w="0" w:type="dxa"/>
            <w:vAlign w:val="bottom"/>
          </w:tcPr>
          <w:p>
            <w:pPr>
              <w:spacing w:after="0"/>
              <w:rPr>
                <w:sz w:val="1"/>
                <w:szCs w:val="1"/>
                <w:color w:val="auto"/>
              </w:rPr>
            </w:pPr>
          </w:p>
        </w:tc>
      </w:tr>
      <w:tr>
        <w:trPr>
          <w:trHeight w:val="187"/>
        </w:trPr>
        <w:tc>
          <w:tcPr>
            <w:tcW w:w="7460" w:type="dxa"/>
            <w:vAlign w:val="bottom"/>
          </w:tcPr>
          <w:p>
            <w:pPr>
              <w:spacing w:after="0" w:line="187" w:lineRule="exact"/>
              <w:rPr>
                <w:sz w:val="20"/>
                <w:szCs w:val="20"/>
                <w:color w:val="auto"/>
              </w:rPr>
            </w:pPr>
            <w:r>
              <w:rPr>
                <w:rFonts w:ascii="Arial" w:cs="Arial" w:eastAsia="Arial" w:hAnsi="Arial"/>
                <w:sz w:val="17"/>
                <w:szCs w:val="17"/>
                <w:color w:val="auto"/>
              </w:rPr>
              <w:t>Total liabilities</w:t>
            </w:r>
          </w:p>
        </w:tc>
        <w:tc>
          <w:tcPr>
            <w:tcW w:w="100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115,246</w:t>
            </w:r>
          </w:p>
        </w:tc>
        <w:tc>
          <w:tcPr>
            <w:tcW w:w="1580" w:type="dxa"/>
            <w:vAlign w:val="bottom"/>
            <w:gridSpan w:val="3"/>
          </w:tcPr>
          <w:p>
            <w:pPr>
              <w:jc w:val="right"/>
              <w:ind w:right="540"/>
              <w:spacing w:after="0" w:line="187" w:lineRule="exact"/>
              <w:rPr>
                <w:sz w:val="20"/>
                <w:szCs w:val="20"/>
                <w:color w:val="auto"/>
              </w:rPr>
            </w:pPr>
            <w:r>
              <w:rPr>
                <w:rFonts w:ascii="Arial" w:cs="Arial" w:eastAsia="Arial" w:hAnsi="Arial"/>
                <w:sz w:val="17"/>
                <w:szCs w:val="17"/>
                <w:color w:val="auto"/>
              </w:rPr>
              <w:t>119,228</w:t>
            </w:r>
          </w:p>
        </w:tc>
        <w:tc>
          <w:tcPr>
            <w:tcW w:w="240" w:type="dxa"/>
            <w:vAlign w:val="bottom"/>
          </w:tcPr>
          <w:p>
            <w:pPr>
              <w:spacing w:after="0"/>
              <w:rPr>
                <w:sz w:val="16"/>
                <w:szCs w:val="16"/>
                <w:color w:val="auto"/>
              </w:rPr>
            </w:pPr>
          </w:p>
        </w:tc>
        <w:tc>
          <w:tcPr>
            <w:tcW w:w="9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126,611</w:t>
            </w:r>
          </w:p>
        </w:tc>
        <w:tc>
          <w:tcPr>
            <w:tcW w:w="0" w:type="dxa"/>
            <w:vAlign w:val="bottom"/>
          </w:tcPr>
          <w:p>
            <w:pPr>
              <w:spacing w:after="0"/>
              <w:rPr>
                <w:sz w:val="1"/>
                <w:szCs w:val="1"/>
                <w:color w:val="auto"/>
              </w:rPr>
            </w:pPr>
          </w:p>
        </w:tc>
      </w:tr>
      <w:tr>
        <w:trPr>
          <w:trHeight w:val="187"/>
        </w:trPr>
        <w:tc>
          <w:tcPr>
            <w:tcW w:w="7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Redeemable convertible preferred stock</w:t>
            </w:r>
          </w:p>
        </w:tc>
        <w:tc>
          <w:tcPr>
            <w:tcW w:w="100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110,995</w:t>
            </w:r>
          </w:p>
        </w:tc>
        <w:tc>
          <w:tcPr>
            <w:tcW w:w="1580" w:type="dxa"/>
            <w:vAlign w:val="bottom"/>
            <w:gridSpan w:val="3"/>
            <w:shd w:val="clear" w:color="auto" w:fill="CCEEFF"/>
          </w:tcPr>
          <w:p>
            <w:pPr>
              <w:jc w:val="right"/>
              <w:ind w:right="540"/>
              <w:spacing w:after="0" w:line="187" w:lineRule="exact"/>
              <w:rPr>
                <w:sz w:val="20"/>
                <w:szCs w:val="20"/>
                <w:color w:val="auto"/>
              </w:rPr>
            </w:pPr>
            <w:r>
              <w:rPr>
                <w:rFonts w:ascii="Arial" w:cs="Arial" w:eastAsia="Arial" w:hAnsi="Arial"/>
                <w:sz w:val="17"/>
                <w:szCs w:val="17"/>
                <w:color w:val="auto"/>
              </w:rPr>
              <w:t>110,995</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252,021</w:t>
            </w:r>
          </w:p>
        </w:tc>
        <w:tc>
          <w:tcPr>
            <w:tcW w:w="0" w:type="dxa"/>
            <w:vAlign w:val="bottom"/>
          </w:tcPr>
          <w:p>
            <w:pPr>
              <w:spacing w:after="0"/>
              <w:rPr>
                <w:sz w:val="1"/>
                <w:szCs w:val="1"/>
                <w:color w:val="auto"/>
              </w:rPr>
            </w:pPr>
          </w:p>
        </w:tc>
      </w:tr>
      <w:tr>
        <w:trPr>
          <w:trHeight w:val="187"/>
        </w:trPr>
        <w:tc>
          <w:tcPr>
            <w:tcW w:w="7460" w:type="dxa"/>
            <w:vAlign w:val="bottom"/>
          </w:tcPr>
          <w:p>
            <w:pPr>
              <w:spacing w:after="0" w:line="187" w:lineRule="exact"/>
              <w:rPr>
                <w:sz w:val="20"/>
                <w:szCs w:val="20"/>
                <w:color w:val="auto"/>
              </w:rPr>
            </w:pPr>
            <w:r>
              <w:rPr>
                <w:rFonts w:ascii="Arial" w:cs="Arial" w:eastAsia="Arial" w:hAnsi="Arial"/>
                <w:sz w:val="17"/>
                <w:szCs w:val="17"/>
                <w:color w:val="auto"/>
              </w:rPr>
              <w:t>Accumulated deficit</w:t>
            </w:r>
          </w:p>
        </w:tc>
        <w:tc>
          <w:tcPr>
            <w:tcW w:w="100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(83,389)</w:t>
            </w:r>
          </w:p>
        </w:tc>
        <w:tc>
          <w:tcPr>
            <w:tcW w:w="1580" w:type="dxa"/>
            <w:vAlign w:val="bottom"/>
            <w:gridSpan w:val="3"/>
          </w:tcPr>
          <w:p>
            <w:pPr>
              <w:jc w:val="right"/>
              <w:ind w:right="480"/>
              <w:spacing w:after="0" w:line="187" w:lineRule="exact"/>
              <w:rPr>
                <w:sz w:val="20"/>
                <w:szCs w:val="20"/>
                <w:color w:val="auto"/>
              </w:rPr>
            </w:pPr>
            <w:r>
              <w:rPr>
                <w:rFonts w:ascii="Arial" w:cs="Arial" w:eastAsia="Arial" w:hAnsi="Arial"/>
                <w:sz w:val="17"/>
                <w:szCs w:val="17"/>
                <w:color w:val="auto"/>
              </w:rPr>
              <w:t>(117,488)</w:t>
            </w:r>
          </w:p>
        </w:tc>
        <w:tc>
          <w:tcPr>
            <w:tcW w:w="240" w:type="dxa"/>
            <w:vAlign w:val="bottom"/>
          </w:tcPr>
          <w:p>
            <w:pPr>
              <w:spacing w:after="0"/>
              <w:rPr>
                <w:sz w:val="16"/>
                <w:szCs w:val="16"/>
                <w:color w:val="auto"/>
              </w:rPr>
            </w:pPr>
          </w:p>
        </w:tc>
        <w:tc>
          <w:tcPr>
            <w:tcW w:w="96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(140,193)</w:t>
            </w:r>
          </w:p>
        </w:tc>
        <w:tc>
          <w:tcPr>
            <w:tcW w:w="0" w:type="dxa"/>
            <w:vAlign w:val="bottom"/>
          </w:tcPr>
          <w:p>
            <w:pPr>
              <w:spacing w:after="0"/>
              <w:rPr>
                <w:sz w:val="1"/>
                <w:szCs w:val="1"/>
                <w:color w:val="auto"/>
              </w:rPr>
            </w:pPr>
          </w:p>
        </w:tc>
      </w:tr>
      <w:tr>
        <w:trPr>
          <w:trHeight w:val="187"/>
        </w:trPr>
        <w:tc>
          <w:tcPr>
            <w:tcW w:w="7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stockholders’ equity (deficit)</w:t>
            </w:r>
          </w:p>
        </w:tc>
        <w:tc>
          <w:tcPr>
            <w:tcW w:w="100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(79,750)</w:t>
            </w:r>
          </w:p>
        </w:tc>
        <w:tc>
          <w:tcPr>
            <w:tcW w:w="1580" w:type="dxa"/>
            <w:vAlign w:val="bottom"/>
            <w:gridSpan w:val="3"/>
            <w:shd w:val="clear" w:color="auto" w:fill="CCEEFF"/>
          </w:tcPr>
          <w:p>
            <w:pPr>
              <w:jc w:val="right"/>
              <w:ind w:right="480"/>
              <w:spacing w:after="0" w:line="187" w:lineRule="exact"/>
              <w:rPr>
                <w:sz w:val="20"/>
                <w:szCs w:val="20"/>
                <w:color w:val="auto"/>
              </w:rPr>
            </w:pPr>
            <w:r>
              <w:rPr>
                <w:rFonts w:ascii="Arial" w:cs="Arial" w:eastAsia="Arial" w:hAnsi="Arial"/>
                <w:sz w:val="17"/>
                <w:szCs w:val="17"/>
                <w:color w:val="auto"/>
              </w:rPr>
              <w:t>(111,963)</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(135,065)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61"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We define working capital as current assets less current liabilities.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454"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31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1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are a biopharmaceutical company focused on transforming the treatment of cancer, serious neurodegenerative conditions and other diseases by developing novel therapeutic candidates engineered to harness the body’s natural regulation of protein levels to target and destroy disease-causing proteins. We leverage our proprietary technology platform, TORPEDO (</w:t>
      </w:r>
      <w:r>
        <w:rPr>
          <w:rFonts w:ascii="Arial" w:cs="Arial" w:eastAsia="Arial" w:hAnsi="Arial"/>
          <w:sz w:val="17"/>
          <w:szCs w:val="17"/>
          <w:u w:val="single" w:color="auto"/>
          <w:color w:val="auto"/>
        </w:rPr>
        <w:t>T</w:t>
      </w:r>
      <w:r>
        <w:rPr>
          <w:rFonts w:ascii="Arial" w:cs="Arial" w:eastAsia="Arial" w:hAnsi="Arial"/>
          <w:sz w:val="17"/>
          <w:szCs w:val="17"/>
          <w:color w:val="auto"/>
        </w:rPr>
        <w:t xml:space="preserve">arget </w:t>
      </w:r>
      <w:r>
        <w:rPr>
          <w:rFonts w:ascii="Arial" w:cs="Arial" w:eastAsia="Arial" w:hAnsi="Arial"/>
          <w:sz w:val="17"/>
          <w:szCs w:val="17"/>
          <w:u w:val="single" w:color="auto"/>
          <w:color w:val="auto"/>
        </w:rPr>
        <w:t>OR</w:t>
      </w:r>
      <w:r>
        <w:rPr>
          <w:rFonts w:ascii="Arial" w:cs="Arial" w:eastAsia="Arial" w:hAnsi="Arial"/>
          <w:sz w:val="17"/>
          <w:szCs w:val="17"/>
          <w:color w:val="auto"/>
        </w:rPr>
        <w:t xml:space="preserve">iented </w:t>
      </w:r>
      <w:r>
        <w:rPr>
          <w:rFonts w:ascii="Arial" w:cs="Arial" w:eastAsia="Arial" w:hAnsi="Arial"/>
          <w:sz w:val="17"/>
          <w:szCs w:val="17"/>
          <w:u w:val="single" w:color="auto"/>
          <w:color w:val="auto"/>
        </w:rPr>
        <w:t>P</w:t>
      </w:r>
      <w:r>
        <w:rPr>
          <w:rFonts w:ascii="Arial" w:cs="Arial" w:eastAsia="Arial" w:hAnsi="Arial"/>
          <w:sz w:val="17"/>
          <w:szCs w:val="17"/>
          <w:color w:val="auto"/>
        </w:rPr>
        <w:t>rot</w:t>
      </w:r>
      <w:r>
        <w:rPr>
          <w:rFonts w:ascii="Arial" w:cs="Arial" w:eastAsia="Arial" w:hAnsi="Arial"/>
          <w:sz w:val="17"/>
          <w:szCs w:val="17"/>
          <w:u w:val="single" w:color="auto"/>
          <w:color w:val="auto"/>
        </w:rPr>
        <w:t>E</w:t>
      </w:r>
      <w:r>
        <w:rPr>
          <w:rFonts w:ascii="Arial" w:cs="Arial" w:eastAsia="Arial" w:hAnsi="Arial"/>
          <w:sz w:val="17"/>
          <w:szCs w:val="17"/>
          <w:color w:val="auto"/>
        </w:rPr>
        <w:t xml:space="preserve">in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egrader </w:t>
      </w:r>
      <w:r>
        <w:rPr>
          <w:rFonts w:ascii="Arial" w:cs="Arial" w:eastAsia="Arial" w:hAnsi="Arial"/>
          <w:sz w:val="17"/>
          <w:szCs w:val="17"/>
          <w:u w:val="single" w:color="auto"/>
          <w:color w:val="auto"/>
        </w:rPr>
        <w:t>O</w:t>
      </w:r>
      <w:r>
        <w:rPr>
          <w:rFonts w:ascii="Arial" w:cs="Arial" w:eastAsia="Arial" w:hAnsi="Arial"/>
          <w:sz w:val="17"/>
          <w:szCs w:val="17"/>
          <w:color w:val="auto"/>
        </w:rPr>
        <w:t>ptimizer), to synthesize a new class of small molecule protein degraders that selectively and efficiently destroy disease-causing proteins. We are using our TORPEDO platform to build a robust pipeline of orally administered protein degradation drug candidates, with an initial focus on oncology indications. Our approach to medicine harnesses the innate machinery of the cell to attack disease and potentially bring deep and durable responses to patients.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commenced operations in October 2015, and our operations to date have been limited to organizing and staffing our company, business planning, raising capital, establishing development collaborations with Roche, Biogen and Calico, conducting discovery and research activities, filing patent applications, identifying potential product candidates, undertaking preclinical studies and establishing arrangements with third parties for the manufacture of initial quantities of our product candidates. To date, we have not generated any revenue from product sales and have financed our operations primarily through sales of our equity interests and proceeds from our collaborations. Through June 30, 2020, we had raised approximately $224.0 million in gross proceeds from the sale of Series seed redeemable convertible preferred stock, Series A redeemable convertible preferred stock and Series B redeemable convertible preferred stock and have received an aggregate of $154.8 million in payments from collaboration partners.</w:t>
      </w:r>
    </w:p>
    <w:p>
      <w:pPr>
        <w:spacing w:after="0" w:line="10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Our ability to generate revenue from product sales sufficient to achieve profitability will depend heavily on the successful development and eventual commercialization of one or more of our product candidates. Since inception, we have incurred significant operating losses. We expect to continue to incur significant expenses and increasing operating losses for at least the next several years. Our net losses were $15.7 million and $34.1 million for the years ended December 31, 2018 and 2019, respectively, and $14.0 million and $22.7 million for the six months ended June 30, 2019 and 2020, respectively. As of June 30, 2020, we had an accumulated deficit of $140.2 million.</w:t>
      </w:r>
    </w:p>
    <w:p>
      <w:pPr>
        <w:spacing w:after="0" w:line="119"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Our total operating expenses were $35.8 million and $56.8 million for the years ended December 31, 2018 and 2019, respectively, and $22.8 million and $39.7 million for the six months ended June 30, 2019 and 2020, respectively. We anticipate that our expenses will increase substantially due to costs including those associated with the following:</w:t>
      </w:r>
    </w:p>
    <w:p>
      <w:pPr>
        <w:spacing w:after="0" w:line="151" w:lineRule="exact"/>
        <w:rPr>
          <w:sz w:val="20"/>
          <w:szCs w:val="20"/>
          <w:color w:val="auto"/>
        </w:rPr>
      </w:pPr>
    </w:p>
    <w:p>
      <w:pPr>
        <w:ind w:left="880" w:right="260" w:hanging="432"/>
        <w:spacing w:after="0" w:line="255" w:lineRule="auto"/>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our preclinical activities for our lead product candidates and the advancement of these candidates into first-in-human Phase 1/2 clinical trials in the United States, which we expect to initiate in the first half of 2021 for CFT755 and by the end of 2021 for CFT8634;</w:t>
      </w:r>
    </w:p>
    <w:p>
      <w:pPr>
        <w:spacing w:after="0" w:line="1"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development activities associated with our other product candidates;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research activities in oncology, neurological and other disease areas to expand our pipeline;</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hiring additional personnel in research, clinical trials, quality and other functional areas;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increased activities by our CMOs to supply us with product for our preclinical studies and clinical trials;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the management of our intellectual property portfolio;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operating as a public company after this offering.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20"/>
          </w:cols>
          <w:pgMar w:left="320" w:top="454" w:right="3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will not generate any revenue from product sales unless and until we successfully complete clinical development and obtain regulatory approval for one or more of our product candidates. If we obtain regulatory approval for any of our product candidates, to the extent we decide to commercialize that product ourselves, we would expect to incur significant expenses related to developing our internal commercialization capability to support product sales, marketing and distribution.</w:t>
      </w:r>
    </w:p>
    <w:p>
      <w:pPr>
        <w:spacing w:after="0" w:line="11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As a result, we will need substantial additional funding to support our operating activities as we advance our product candidates through clinical development, seek regulatory approval and prepare for and, if any of our product candidates are approved, proceed to commercialization. Until such time as we can generate significant revenue from product sales, if ever, we expect to finance our operating activities through a combination of equity offerings, debt offerings, reimbursements and potential milestones earned under our existing collaboration agreements and potential license and development agreements with third parties, including but not limited to our existing collaboration partners. Adequate funding may not be available to us on acceptable terms, or at all.</w:t>
      </w:r>
    </w:p>
    <w:p>
      <w:pPr>
        <w:spacing w:after="0" w:line="12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If we are unable to raise capital when needed or on attractive terms, we could be forced to delay, reduce or eliminate our research, product development or future commercialization efforts, relinquish valuable rights to our technologies, future revenue streams, research programs or product candidates or grant licenses on terms that may not be favorable to us. Although we continue to pursue these plans, there is no assurance that we will be successful in obtaining sufficient funding on terms acceptable to us to fund continuing operations, if at all.</w:t>
      </w:r>
    </w:p>
    <w:p>
      <w:pPr>
        <w:spacing w:after="0" w:line="118"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As of December 31, 2019 and June 30, 2020, we had cash and cash equivalents of $90.5 million and $107.7 million, respectively. In June and July 2020, we closed a Series B redeemable convertible preferred stock financing, or the Series B Financing, for gross proceeds of $150.0 million offset by $4.5 million in offering costs, and, in June 2020, we secured a $20.0 million debt facility, from which we drew down $12.5 million, or $12.0 million net of costs. We believe that our cash and cash equivalents and short-term investments as of June 30, 2020 of $107.7 million and $103.9 million, respectively, combined with the proceeds from the Series B Financing of $4.5 million received in July 2020, anticipated payments from collaboration partners and the net proceeds from this offering, will be sufficient to fund our operating expenses and capital expenditure requirements through the second quarter of 2023.</w:t>
      </w:r>
    </w:p>
    <w:p>
      <w:pPr>
        <w:spacing w:after="0" w:line="12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impact of the COVID-19 coronavirus outbreak on our financial performance will depend on future developments, including the duration and spread of the outbreak and related governmental advisories and restrictions. There are multiple causes of these delays, including laboratory closures, reluctance of patients to enroll or continue in trials for fear of exposure to COVID-19, local and regional shelter-in-place and work from home orders and regulations that discourage, hamper or prohibit patient visits, healthcare providers and health systems shifting away from clinical trials toward the acute care of COVID-19 patients and the FDA and other regulators making product candidates for the treatment of COVID-19 a priority over product candidates unrelated to the pandemic.</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terms of the impact on our operations, we have seen increased risk of delays in production of components used to manufacture our lead degrader candidates due to previous delays at one of our China-based manufacturers, and one of our CROs in India was forced to temporarily shut down due to local lockdown orders. In addition, we temporarily closed the office and laboratory spaces at our corporate headquarters in Watertown, Massachusetts, and we transitioned our employees to work from home. We are working closely with our CROs, manufacturers, investigators and preclinical and clinical trial sites to assess the full impact of the COVID-19 pandemic on the timelines and expected costs for each of our programs. While the ongoing impact of the pandemic is uncertain, we believe our CRO redundancies in China, India and Boston and the transition of the majority of our employees to remote work arrangements have mitigated the impact of these types of disruptions on our business.</w:t>
      </w:r>
    </w:p>
    <w:p>
      <w:pPr>
        <w:spacing w:after="0" w:line="120"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We are not aware of any of our directors or employees being infected with coronavirus, but the virus can remain asymptomatic for a significant period of time and methods and availability of testing are continuing to evolve. It is possible our directors or employees or their family members could become infected.</w:t>
      </w:r>
    </w:p>
    <w:p>
      <w:pPr>
        <w:spacing w:after="0" w:line="11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note the high level of difficulty in projecting the effects of COVID-19 on our programs and our company, given the rapid and dramatic evolution in the course and impact of the pandemic and the societal and governmental response to it.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454"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39"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the sale of products for the foreseeable future. Our revenues to date have been generated through research collaboration and license agreements. We recognize revenue over our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our existing collaboration agreements.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Roche Collaboration and License Agreement</w:t>
      </w:r>
    </w:p>
    <w:p>
      <w:pPr>
        <w:spacing w:after="0" w:line="39"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In March 2016, we entered into a collaboration and license agreement, or the Original Roche Agreement, with Roche, whereby Roche provided us with a non-refundable upfront payment of $15.0 million, which was creditable against our target initiation fees of either $1.0 million or $4.0 million, depending on the compound selected. Pursuant to the terms of the Original Roche Agreement, we collaborated on research activities to develop novel treatments in the field of targeted protein degradation using our degrader technology. We initially developed therapeutics that utilize degrader technology for up to ten target proteins. On a target-by-target basis, after successful completion of a defined preclinical development phase, Roche had an exclusive option to pursue a license from us for further clinical development and commercialization.</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December 22, 2018, we amended and restated the Original Roche Agreement, or the Restated Roche Agreement. Under the Restated Roche Agreement, we have a more active role in the manufacturing and commercialization of the targets included in the collaboration, whereby if we opt into certain co-development and co-detailing rights, the parties will split future development costs in return for our having rights to a larger share of future earnings from commercialization of the relevant target. The target structure was revised to six potential targets, three of which had been nominated as of the execution of the Restated Roche Agreement and represent continuations of the initial preclinical research and development efforts begun under the Original Roche Agreement, and three additional targets that were not nominated as of the date of execution of the Restated Roche Agreement. At the time of entry into the Restated Roche Agreement, Roche maintained its option rights to license and commercialize these six targets.</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the Restated Roche Agreement, we received additional upfront consideration of $40.0 million from Roche. Roche will make annual research plan payments of $1.0 million for each active research plan. Finally, adjustments were made to the option exercise fees, whereby targets that have progressed through GLP toxicology studies at the time of exercise now have option exercise fees of $7.0 million to $12.0 million and those progressed through Phase 1 trials have option exercise fees of $20.0 million.</w:t>
      </w:r>
    </w:p>
    <w:p>
      <w:pPr>
        <w:spacing w:after="0" w:line="11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For certain targets, Roche is required to pay us fees of $2.0 million and $3.0 million upon the identification of a lead series and the commencement of GLP toxicology studies, respectively. For each target option exercised by Roche, we are eligible to receive up to $275 million in research, development and commercial milestone payments per target. Roche is also required to pay us up to $150 million per target in one-time sales-based payments if the target achieves certain levels of net sales. Roche is also required to pay us royalties, at percentages from the mid-single digits to the low double-digits, on a licensed product-by licensed product basis, on worldwide net product sales.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Biogen Collaboration Research and License Agreement</w:t>
      </w:r>
    </w:p>
    <w:p>
      <w:pPr>
        <w:spacing w:after="0" w:line="3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On December 28, 2018, we entered into a Collaboration Research and License Agreement or the Biogen Agreement, with Biogen MA, Inc. or Biogen, whereby we agreed to collaborate on research and development efforts for up to five targets to discover and develop potential new treatments for neurological conditions, such as Alzheimer’s disease and Parkinson’s disease. The Biogen Agreement also has an option for Biogen to nominate additional targets and extend the Biogen Agreement. We granted Biogen a non-exclusive research license under our intellectual property to perform research activities, select and optimize degraders and develop products including the degraders, as well as a commercial license to manufacture and commercialize the targets once the initial research and development work is complete. The research under the Biogen Agreement will take place over a 54-month research term with Biogen having an option to extend the Biogen Agreement for up to four additional years. If Biogen elects to extend the term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20"/>
          </w:cols>
          <w:pgMar w:left="320" w:top="454" w:right="3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color w:val="auto"/>
        </w:rPr>
        <w:t>of the Biogen Agreement, Biogen would be required to make an additional payment of $62.5 million and would be entitled to nominate up to five additional targets.</w:t>
      </w:r>
    </w:p>
    <w:p>
      <w:pPr>
        <w:spacing w:after="0" w:line="9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Biogen Agreement provides for three initial targets, with Biogen having the right to initiate up to an additional two targets and to control all post-discovery activities. Biogen paid us a nonrefundable upfront payment of $45.0 million for access to our technology and research services through the discovery research phase. The nonrefundable upfront cash payment of $45.0 million is not creditable against any of the target development milestone fees.</w:t>
      </w:r>
    </w:p>
    <w:p>
      <w:pPr>
        <w:spacing w:after="0" w:line="11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Following the achievement of development candidate criteria, prior to any IND-enabling study, for any target, Biogen will bear all costs and expenses of and will have sole discretion and decision-making authority with respect to the performance of further activities with respect to any degrader under development under the Biogen Agreement and all products that incorporate that degrader. Biogen is also required to pay us up to $35.0 million per target in development milestones and $26.0 million per target in one-time sales-based payments for the first product to achieve certain levels of net sales. In addition, Biogen is required to pay us royalties on a licensed product-by-licensed product basis, on worldwide net product sales, at percentages in the mid-single digits. All milestone and sales-based payments are made after we have met the defined criteria in the joint research plan for that target, at which time Biogen will have control of the targets for commercialization; the receipt of these payments is contingent on the further development of the targets to commercialization by Biogen, without any additional research and development efforts from us.</w:t>
      </w:r>
    </w:p>
    <w:p>
      <w:pPr>
        <w:spacing w:after="0" w:line="11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Biogen also has the option to fund additional discovery activities, whereby we will perform discovery-type research at Biogen’s election to develop other potential targets that may be used as replacement targets for the initially nominated targets or two additional targets under the Biogen Agreement. Revenues earned under this option, if initiated, will be recognized as services are performed and are not included in the transaction price at the outset of the arrangement. These research activities will be reimbursed on a full-time equivalent, or FTE, basis at specified market rates. These additional discovery activities can be purchased up to a maximum amount by Biogen on an à la carte basis at an amount consistent with standalone selling price. If Biogen were to exercise these options, we would recognize revenue as those options are exercised.</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Calico License Agreement</w:t>
      </w:r>
    </w:p>
    <w:p>
      <w:pPr>
        <w:spacing w:after="0" w:line="3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March 2017, we entered into a Collaboration and License Agreement, or the Calico Agreement, with Calico whereby we agreed to collaborate to develop and commercialize a set number of targets for small molecule protein degraders for diseases of aging, including cancer, for a five-year period ending in March 2022, or the research term.</w:t>
      </w:r>
    </w:p>
    <w:p>
      <w:pPr>
        <w:spacing w:after="0" w:line="11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provided Calico with a non-exclusive research license under our intellectual property to perform research activities and select and optimize degraders and develop products including the degraders. We also granted Calico a commercial license for any licensed products resulting from the development candidates supplied by us. We are required to perform research and development activities for the nominated targets over the research term, with the intent to provide a development candidate for each target to Calico once the agreed-upon research is complete.</w:t>
      </w:r>
    </w:p>
    <w:p>
      <w:pPr>
        <w:spacing w:after="0" w:line="11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Calico is obligated to reimburse our research and development activities for each target at specified levels through the identification of a development candidate, after which Calico shall assume full responsibility for candidate development.</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After the initiation of each target, the Calico Agreement does not contain any options for Calico to license the individual targets; once we complete the initial research and development activities required, Calico controls and directs the targets with no additional work required to be performed by us. There is no exercise price or incremental fee payable to us to progress the research further, though Calico is required to pay an initiation fee with the commencement of each research plan. Once Calico nominates a target and pays the applicable target initiation fee, we will commence research and development activities for that target. The Calico Agreement provides for up to five initial targets. Research activities performed are reimbursed at specified levels for the five-year term of the Calico Agreement.</w:t>
      </w:r>
    </w:p>
    <w:p>
      <w:pPr>
        <w:spacing w:after="0" w:line="121"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Under this agreement, Calico paid us a nonrefundable upfront amount of $5.0 million and certain annual payments of $5.0 million through June 30, 2020. Upon our completion of the required discovery research and development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00"/>
          </w:cols>
          <w:pgMar w:left="320" w:top="454" w:right="3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services on any target, Calico is entitled to pursue commercial development of that target. For each target, we are eligible to receive potential research, development and commercial milestone payments aggregating up to $132.0 million. Calico is also required to pay one-time sales-based payments aggregating up to $65.0 million for the first product to achieve certain levels of net sales. In addition, Calico is required to pay us royalties, on a licensed product-by-licensed product basis, on worldwide net product sales, at percentages in the mid-single digits. All milestone and sales-based payments are made after we have met the defined criteria in the joint research plan for that target, at which time Calico will have control of the targets for commercialization; the receipt of these payments by us is contingent on the further development of the targets to commercialization by Calico, without any additional research and development efforts required by us.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39" w:lineRule="exact"/>
        <w:rPr>
          <w:sz w:val="20"/>
          <w:szCs w:val="20"/>
          <w:color w:val="auto"/>
        </w:rPr>
      </w:pPr>
    </w:p>
    <w:p>
      <w:pPr>
        <w:ind w:right="940"/>
        <w:spacing w:after="0" w:line="244"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discovery efforts and the development of our product candidates, and include:</w:t>
      </w:r>
    </w:p>
    <w:p>
      <w:pPr>
        <w:spacing w:after="0" w:line="156" w:lineRule="exact"/>
        <w:rPr>
          <w:sz w:val="20"/>
          <w:szCs w:val="20"/>
          <w:color w:val="auto"/>
        </w:rPr>
      </w:pPr>
    </w:p>
    <w:p>
      <w:pPr>
        <w:ind w:left="880" w:right="780" w:hanging="432"/>
        <w:spacing w:after="0" w:line="255" w:lineRule="auto"/>
        <w:tabs>
          <w:tab w:leader="none" w:pos="88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salaries, benefits and other related costs, including stock-based compensation expense, for personnel engaged in research and development functions;</w:t>
      </w:r>
    </w:p>
    <w:p>
      <w:pPr>
        <w:spacing w:after="0" w:line="1" w:lineRule="exact"/>
        <w:rPr>
          <w:rFonts w:ascii="MS PGothic" w:cs="MS PGothic" w:eastAsia="MS PGothic" w:hAnsi="MS PGothic"/>
          <w:sz w:val="12"/>
          <w:szCs w:val="12"/>
          <w:color w:val="auto"/>
        </w:rPr>
      </w:pPr>
    </w:p>
    <w:p>
      <w:pPr>
        <w:ind w:left="880" w:right="160" w:hanging="432"/>
        <w:spacing w:after="0" w:line="246" w:lineRule="auto"/>
        <w:tabs>
          <w:tab w:leader="none" w:pos="88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expenses incurred under agreements with third parties, including contract research organizations and other third parties that conduct research and preclinical activities on our behalf as well as third parties that manufacture our product candidates for use in our preclinical and potential future clinical trials;</w:t>
      </w:r>
    </w:p>
    <w:p>
      <w:pPr>
        <w:ind w:left="880" w:hanging="432"/>
        <w:spacing w:after="0"/>
        <w:tabs>
          <w:tab w:leader="none" w:pos="88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costs of outside consultants, including their fees, unit-based compensation and related travel expenses;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the costs of laboratory supplies and acquiring materials for preclinical studies and clinical trials;</w:t>
      </w:r>
    </w:p>
    <w:p>
      <w:pPr>
        <w:spacing w:after="0" w:line="31" w:lineRule="exact"/>
        <w:rPr>
          <w:rFonts w:ascii="MS PGothic" w:cs="MS PGothic" w:eastAsia="MS PGothic" w:hAnsi="MS PGothic"/>
          <w:sz w:val="12"/>
          <w:szCs w:val="12"/>
          <w:color w:val="auto"/>
        </w:rPr>
      </w:pPr>
    </w:p>
    <w:p>
      <w:pPr>
        <w:ind w:left="880" w:right="560" w:hanging="432"/>
        <w:spacing w:after="0" w:line="254" w:lineRule="auto"/>
        <w:tabs>
          <w:tab w:leader="none" w:pos="88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facility-related expenses, which include direct depreciation costs of equipment and allocated expenses for rent and maintenance of facilities and other operating costs; and</w:t>
      </w:r>
    </w:p>
    <w:p>
      <w:pPr>
        <w:ind w:left="880" w:hanging="432"/>
        <w:spacing w:after="0"/>
        <w:tabs>
          <w:tab w:leader="none" w:pos="88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third-party licensing fees.</w:t>
      </w:r>
    </w:p>
    <w:p>
      <w:pPr>
        <w:spacing w:after="0" w:line="15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108"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continue to increase for the foreseeable future as we continue to discover and develop additional product candidates and advance our lead product candidates into clinical trials, including our first-in-human Phase 1/2 trials. If any of our product candidates enter into later stages of clinical development, they will generally have higher development costs than those in earlier stages of clinical development, primarily due to the increased size and duration of later-stage clinical trials. We cannot reasonably estimate or determine with certainty the duration and costs of future clinical trials of CFT7455, CFT8634 or any other product candidate we may develop or if, when or to what extent we will generate revenue from the commercialization and sale of any product candidate for which we obtain marketing approval. We may never succeed in obtaining marketing approval for any product candidate.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39"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20"/>
          </w:cols>
          <w:pgMar w:left="320" w:top="454" w:right="3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growing operations. We also expect to incur increased expenses associated with being a public company, including higher costs of accounting, audit, legal, regulatory and tax-related services associated with maintaining compliance with Nasdaq and SEC requirements, director and officer insurance costs and investor and public relations costs.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income earned on our cash and cash equivalents and short-term investments.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Other (expense) income, net primarily consists of accretion of discount on short-term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2018 and 2019 and the Six Months Ended June 30, 2019 and 2020</w:t>
      </w:r>
    </w:p>
    <w:p>
      <w:pPr>
        <w:spacing w:after="0" w:line="3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following table summarizes our results of operations for the years ended December 31, 2018 and 2019 and the six months ended June 30, 2019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7400" w:type="dxa"/>
            <w:vAlign w:val="bottom"/>
          </w:tcPr>
          <w:p>
            <w:pPr>
              <w:spacing w:after="0"/>
              <w:rPr>
                <w:sz w:val="15"/>
                <w:szCs w:val="15"/>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JUNE 30,</w:t>
            </w:r>
          </w:p>
        </w:tc>
      </w:tr>
      <w:tr>
        <w:trPr>
          <w:trHeight w:val="154"/>
        </w:trPr>
        <w:tc>
          <w:tcPr>
            <w:tcW w:w="74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4"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6"/>
              <w:spacing w:after="0" w:line="154"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4"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95"/>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4"/>
        </w:trPr>
        <w:tc>
          <w:tcPr>
            <w:tcW w:w="7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center"/>
              <w:ind w:right="15"/>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187"/>
        </w:trPr>
        <w:tc>
          <w:tcPr>
            <w:tcW w:w="74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Revenue from collaboration agreements</w:t>
            </w:r>
          </w:p>
        </w:tc>
        <w:tc>
          <w:tcPr>
            <w:tcW w:w="100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w w:val="99"/>
              </w:rPr>
              <w:t>$ 19,364</w:t>
            </w:r>
          </w:p>
        </w:tc>
        <w:tc>
          <w:tcPr>
            <w:tcW w:w="100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w w:val="99"/>
              </w:rPr>
              <w:t>$ 21,381</w:t>
            </w:r>
          </w:p>
        </w:tc>
        <w:tc>
          <w:tcPr>
            <w:tcW w:w="1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7,807</w:t>
            </w:r>
          </w:p>
        </w:tc>
        <w:tc>
          <w:tcPr>
            <w:tcW w:w="94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$ 16,486</w:t>
            </w:r>
          </w:p>
        </w:tc>
      </w:tr>
      <w:tr>
        <w:trPr>
          <w:trHeight w:val="187"/>
        </w:trPr>
        <w:tc>
          <w:tcPr>
            <w:tcW w:w="7400" w:type="dxa"/>
            <w:vAlign w:val="bottom"/>
          </w:tcPr>
          <w:p>
            <w:pPr>
              <w:spacing w:after="0" w:line="187" w:lineRule="exact"/>
              <w:rPr>
                <w:sz w:val="20"/>
                <w:szCs w:val="20"/>
                <w:color w:val="auto"/>
              </w:rPr>
            </w:pPr>
            <w:r>
              <w:rPr>
                <w:rFonts w:ascii="Arial" w:cs="Arial" w:eastAsia="Arial" w:hAnsi="Arial"/>
                <w:sz w:val="17"/>
                <w:szCs w:val="17"/>
                <w:color w:val="auto"/>
              </w:rPr>
              <w:t>Operating expenses: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740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General and administrative</w:t>
            </w:r>
          </w:p>
        </w:tc>
        <w:tc>
          <w:tcPr>
            <w:tcW w:w="100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7,161</w:t>
            </w:r>
          </w:p>
        </w:tc>
        <w:tc>
          <w:tcPr>
            <w:tcW w:w="100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8,774</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3,667</w:t>
            </w:r>
          </w:p>
        </w:tc>
        <w:tc>
          <w:tcPr>
            <w:tcW w:w="94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5,611</w:t>
            </w:r>
          </w:p>
        </w:tc>
      </w:tr>
      <w:tr>
        <w:trPr>
          <w:trHeight w:val="187"/>
        </w:trPr>
        <w:tc>
          <w:tcPr>
            <w:tcW w:w="7400" w:type="dxa"/>
            <w:vAlign w:val="bottom"/>
          </w:tcPr>
          <w:p>
            <w:pPr>
              <w:ind w:left="260"/>
              <w:spacing w:after="0" w:line="187" w:lineRule="exact"/>
              <w:rPr>
                <w:sz w:val="20"/>
                <w:szCs w:val="20"/>
                <w:color w:val="auto"/>
              </w:rPr>
            </w:pPr>
            <w:r>
              <w:rPr>
                <w:rFonts w:ascii="Arial" w:cs="Arial" w:eastAsia="Arial" w:hAnsi="Arial"/>
                <w:sz w:val="17"/>
                <w:szCs w:val="17"/>
                <w:color w:val="auto"/>
              </w:rPr>
              <w:t>Research and development</w:t>
            </w:r>
          </w:p>
        </w:tc>
        <w:tc>
          <w:tcPr>
            <w:tcW w:w="100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28,592</w:t>
            </w:r>
          </w:p>
        </w:tc>
        <w:tc>
          <w:tcPr>
            <w:tcW w:w="100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48,059</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19,093</w:t>
            </w:r>
          </w:p>
        </w:tc>
        <w:tc>
          <w:tcPr>
            <w:tcW w:w="94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34,072</w:t>
            </w:r>
          </w:p>
        </w:tc>
      </w:tr>
      <w:tr>
        <w:trPr>
          <w:trHeight w:val="27"/>
        </w:trPr>
        <w:tc>
          <w:tcPr>
            <w:tcW w:w="7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740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Total operating expenses</w:t>
            </w:r>
          </w:p>
        </w:tc>
        <w:tc>
          <w:tcPr>
            <w:tcW w:w="100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35,753</w:t>
            </w:r>
          </w:p>
        </w:tc>
        <w:tc>
          <w:tcPr>
            <w:tcW w:w="100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56,833</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22,760</w:t>
            </w:r>
          </w:p>
        </w:tc>
        <w:tc>
          <w:tcPr>
            <w:tcW w:w="94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39,683</w:t>
            </w:r>
          </w:p>
        </w:tc>
      </w:tr>
      <w:tr>
        <w:trPr>
          <w:trHeight w:val="201"/>
        </w:trPr>
        <w:tc>
          <w:tcPr>
            <w:tcW w:w="7400" w:type="dxa"/>
            <w:vAlign w:val="bottom"/>
          </w:tcPr>
          <w:p>
            <w:pPr>
              <w:spacing w:after="0" w:line="194" w:lineRule="exact"/>
              <w:rPr>
                <w:sz w:val="20"/>
                <w:szCs w:val="20"/>
                <w:color w:val="auto"/>
              </w:rPr>
            </w:pPr>
            <w:r>
              <w:rPr>
                <w:rFonts w:ascii="Arial" w:cs="Arial" w:eastAsia="Arial" w:hAnsi="Arial"/>
                <w:sz w:val="17"/>
                <w:szCs w:val="17"/>
                <w:color w:val="auto"/>
              </w:rPr>
              <w:t>Operating loss</w:t>
            </w: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(16,389)</w:t>
            </w:r>
          </w:p>
        </w:tc>
        <w:tc>
          <w:tcPr>
            <w:tcW w:w="3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(35,452)</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8"/>
              </w:rPr>
              <w:t>(14,952)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(23,198)</w:t>
            </w:r>
          </w:p>
        </w:tc>
        <w:tc>
          <w:tcPr>
            <w:tcW w:w="120" w:type="dxa"/>
            <w:vAlign w:val="bottom"/>
          </w:tcPr>
          <w:p>
            <w:pPr>
              <w:spacing w:after="0"/>
              <w:rPr>
                <w:sz w:val="17"/>
                <w:szCs w:val="17"/>
                <w:color w:val="auto"/>
              </w:rPr>
            </w:pPr>
          </w:p>
        </w:tc>
      </w:tr>
      <w:tr>
        <w:trPr>
          <w:trHeight w:val="187"/>
        </w:trPr>
        <w:tc>
          <w:tcPr>
            <w:tcW w:w="74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income, net: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7400" w:type="dxa"/>
            <w:vAlign w:val="bottom"/>
          </w:tcPr>
          <w:p>
            <w:pPr>
              <w:ind w:left="260"/>
              <w:spacing w:after="0" w:line="187" w:lineRule="exact"/>
              <w:rPr>
                <w:sz w:val="20"/>
                <w:szCs w:val="20"/>
                <w:color w:val="auto"/>
              </w:rPr>
            </w:pPr>
            <w:r>
              <w:rPr>
                <w:rFonts w:ascii="Arial" w:cs="Arial" w:eastAsia="Arial" w:hAnsi="Arial"/>
                <w:sz w:val="17"/>
                <w:szCs w:val="17"/>
                <w:color w:val="auto"/>
              </w:rPr>
              <w:t>Interest income</w:t>
            </w:r>
          </w:p>
        </w:tc>
        <w:tc>
          <w:tcPr>
            <w:tcW w:w="100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685</w:t>
            </w:r>
          </w:p>
        </w:tc>
        <w:tc>
          <w:tcPr>
            <w:tcW w:w="100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1,832</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928</w:t>
            </w:r>
          </w:p>
        </w:tc>
        <w:tc>
          <w:tcPr>
            <w:tcW w:w="94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182</w:t>
            </w:r>
          </w:p>
        </w:tc>
      </w:tr>
      <w:tr>
        <w:trPr>
          <w:trHeight w:val="187"/>
        </w:trPr>
        <w:tc>
          <w:tcPr>
            <w:tcW w:w="740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Other (expense) income, net</w:t>
            </w:r>
          </w:p>
        </w:tc>
        <w:tc>
          <w:tcPr>
            <w:tcW w:w="100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(7)</w:t>
            </w:r>
          </w:p>
        </w:tc>
        <w:tc>
          <w:tcPr>
            <w:tcW w:w="100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325</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292</w:t>
            </w:r>
          </w:p>
        </w:tc>
        <w:tc>
          <w:tcPr>
            <w:tcW w:w="940" w:type="dxa"/>
            <w:vAlign w:val="bottom"/>
            <w:gridSpan w:val="3"/>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(24)</w:t>
            </w:r>
          </w:p>
        </w:tc>
      </w:tr>
      <w:tr>
        <w:trPr>
          <w:trHeight w:val="201"/>
        </w:trPr>
        <w:tc>
          <w:tcPr>
            <w:tcW w:w="7400" w:type="dxa"/>
            <w:vAlign w:val="bottom"/>
          </w:tcPr>
          <w:p>
            <w:pPr>
              <w:ind w:left="500"/>
              <w:spacing w:after="0" w:line="194" w:lineRule="exact"/>
              <w:rPr>
                <w:sz w:val="20"/>
                <w:szCs w:val="20"/>
                <w:color w:val="auto"/>
              </w:rPr>
            </w:pPr>
            <w:r>
              <w:rPr>
                <w:rFonts w:ascii="Arial" w:cs="Arial" w:eastAsia="Arial" w:hAnsi="Arial"/>
                <w:sz w:val="17"/>
                <w:szCs w:val="17"/>
                <w:color w:val="auto"/>
              </w:rPr>
              <w:t>Total other income, net</w:t>
            </w: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678</w:t>
            </w:r>
          </w:p>
        </w:tc>
        <w:tc>
          <w:tcPr>
            <w:tcW w:w="3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2,157</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158</w:t>
            </w:r>
          </w:p>
        </w:tc>
        <w:tc>
          <w:tcPr>
            <w:tcW w:w="120" w:type="dxa"/>
            <w:vAlign w:val="bottom"/>
          </w:tcPr>
          <w:p>
            <w:pPr>
              <w:spacing w:after="0"/>
              <w:rPr>
                <w:sz w:val="17"/>
                <w:szCs w:val="17"/>
                <w:color w:val="auto"/>
              </w:rPr>
            </w:pPr>
          </w:p>
        </w:tc>
      </w:tr>
      <w:tr>
        <w:trPr>
          <w:trHeight w:val="187"/>
        </w:trPr>
        <w:tc>
          <w:tcPr>
            <w:tcW w:w="74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before income taxes</w:t>
            </w:r>
          </w:p>
        </w:tc>
        <w:tc>
          <w:tcPr>
            <w:tcW w:w="100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(15,711)</w:t>
            </w:r>
          </w:p>
        </w:tc>
        <w:tc>
          <w:tcPr>
            <w:tcW w:w="100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(33,295)</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w w:val="97"/>
              </w:rPr>
              <w:t>(13,732)</w:t>
            </w:r>
          </w:p>
        </w:tc>
        <w:tc>
          <w:tcPr>
            <w:tcW w:w="940" w:type="dxa"/>
            <w:vAlign w:val="bottom"/>
            <w:gridSpan w:val="3"/>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(23,040)</w:t>
            </w:r>
          </w:p>
        </w:tc>
      </w:tr>
      <w:tr>
        <w:trPr>
          <w:trHeight w:val="187"/>
        </w:trPr>
        <w:tc>
          <w:tcPr>
            <w:tcW w:w="7400" w:type="dxa"/>
            <w:vAlign w:val="bottom"/>
          </w:tcPr>
          <w:p>
            <w:pPr>
              <w:spacing w:after="0" w:line="187" w:lineRule="exact"/>
              <w:rPr>
                <w:sz w:val="20"/>
                <w:szCs w:val="20"/>
                <w:color w:val="auto"/>
              </w:rPr>
            </w:pPr>
            <w:r>
              <w:rPr>
                <w:rFonts w:ascii="Arial" w:cs="Arial" w:eastAsia="Arial" w:hAnsi="Arial"/>
                <w:sz w:val="17"/>
                <w:szCs w:val="17"/>
                <w:color w:val="auto"/>
              </w:rPr>
              <w:t>Income tax (expense) benefit</w:t>
            </w:r>
          </w:p>
        </w:tc>
        <w:tc>
          <w:tcPr>
            <w:tcW w:w="100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(804)</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(250)</w:t>
            </w:r>
          </w:p>
        </w:tc>
        <w:tc>
          <w:tcPr>
            <w:tcW w:w="94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335</w:t>
            </w:r>
          </w:p>
        </w:tc>
      </w:tr>
      <w:tr>
        <w:trPr>
          <w:trHeight w:val="27"/>
        </w:trPr>
        <w:tc>
          <w:tcPr>
            <w:tcW w:w="7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74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loss</w:t>
            </w:r>
          </w:p>
        </w:tc>
        <w:tc>
          <w:tcPr>
            <w:tcW w:w="100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w w:val="92"/>
              </w:rPr>
              <w:t>$ (15,711)</w:t>
            </w:r>
          </w:p>
        </w:tc>
        <w:tc>
          <w:tcPr>
            <w:tcW w:w="100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(34,099)</w:t>
            </w:r>
          </w:p>
        </w:tc>
        <w:tc>
          <w:tcPr>
            <w:tcW w:w="1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w w:val="97"/>
              </w:rPr>
              <w:t>(13,982)</w:t>
            </w:r>
          </w:p>
        </w:tc>
        <w:tc>
          <w:tcPr>
            <w:tcW w:w="940" w:type="dxa"/>
            <w:vAlign w:val="bottom"/>
            <w:gridSpan w:val="3"/>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 (22,705)</w:t>
            </w:r>
          </w:p>
        </w:tc>
      </w:tr>
      <w:tr>
        <w:trPr>
          <w:trHeight w:val="20"/>
        </w:trPr>
        <w:tc>
          <w:tcPr>
            <w:tcW w:w="7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40" w:lineRule="exact"/>
        <w:rPr>
          <w:sz w:val="20"/>
          <w:szCs w:val="20"/>
          <w:color w:val="auto"/>
        </w:rPr>
      </w:pPr>
    </w:p>
    <w:p>
      <w:pPr>
        <w:ind w:right="440"/>
        <w:spacing w:after="0" w:line="259" w:lineRule="auto"/>
        <w:rPr>
          <w:sz w:val="20"/>
          <w:szCs w:val="20"/>
          <w:color w:val="auto"/>
        </w:rPr>
      </w:pPr>
      <w:r>
        <w:rPr>
          <w:rFonts w:ascii="Arial" w:cs="Arial" w:eastAsia="Arial" w:hAnsi="Arial"/>
          <w:sz w:val="17"/>
          <w:szCs w:val="17"/>
          <w:color w:val="auto"/>
        </w:rPr>
        <w:t>Revenue from our collaboration and license agreements consisted of the following for the years ended December 31, 2018 and 2019 and the six months ended June 30, 2019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6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38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JUNE 30,</w:t>
            </w:r>
          </w:p>
        </w:tc>
      </w:tr>
      <w:tr>
        <w:trPr>
          <w:trHeight w:val="154"/>
        </w:trPr>
        <w:tc>
          <w:tcPr>
            <w:tcW w:w="38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0"/>
              <w:spacing w:after="0" w:line="15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60"/>
              <w:spacing w:after="0" w:line="154"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8"/>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38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4"/>
          </w:tcPr>
          <w:p>
            <w:pPr>
              <w:jc w:val="center"/>
              <w:ind w:right="18"/>
              <w:spacing w:after="0" w:line="154" w:lineRule="exact"/>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3"/>
                <w:szCs w:val="13"/>
                <w:color w:val="auto"/>
              </w:rPr>
            </w:pPr>
          </w:p>
        </w:tc>
      </w:tr>
      <w:tr>
        <w:trPr>
          <w:trHeight w:val="187"/>
        </w:trPr>
        <w:tc>
          <w:tcPr>
            <w:tcW w:w="38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Original Roche Agreement</w:t>
            </w:r>
          </w:p>
        </w:tc>
        <w:tc>
          <w:tcPr>
            <w:tcW w:w="41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9,112</w:t>
            </w:r>
          </w:p>
        </w:tc>
        <w:tc>
          <w:tcPr>
            <w:tcW w:w="2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r>
      <w:tr>
        <w:trPr>
          <w:trHeight w:val="187"/>
        </w:trPr>
        <w:tc>
          <w:tcPr>
            <w:tcW w:w="3820" w:type="dxa"/>
            <w:vAlign w:val="bottom"/>
          </w:tcPr>
          <w:p>
            <w:pPr>
              <w:spacing w:after="0" w:line="187" w:lineRule="exact"/>
              <w:rPr>
                <w:sz w:val="20"/>
                <w:szCs w:val="20"/>
                <w:color w:val="auto"/>
              </w:rPr>
            </w:pPr>
            <w:r>
              <w:rPr>
                <w:rFonts w:ascii="Arial" w:cs="Arial" w:eastAsia="Arial" w:hAnsi="Arial"/>
                <w:sz w:val="17"/>
                <w:szCs w:val="17"/>
                <w:color w:val="auto"/>
              </w:rPr>
              <w:t>Restated Roche Agreement</w:t>
            </w: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6,409</w:t>
            </w:r>
          </w:p>
        </w:tc>
        <w:tc>
          <w:tcPr>
            <w:tcW w:w="120" w:type="dxa"/>
            <w:vAlign w:val="bottom"/>
          </w:tcPr>
          <w:p>
            <w:pPr>
              <w:spacing w:after="0"/>
              <w:rPr>
                <w:sz w:val="16"/>
                <w:szCs w:val="16"/>
                <w:color w:val="auto"/>
              </w:rPr>
            </w:pPr>
          </w:p>
        </w:tc>
        <w:tc>
          <w:tcPr>
            <w:tcW w:w="72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2,112</w:t>
            </w:r>
          </w:p>
        </w:tc>
        <w:tc>
          <w:tcPr>
            <w:tcW w:w="140" w:type="dxa"/>
            <w:vAlign w:val="bottom"/>
          </w:tcPr>
          <w:p>
            <w:pPr>
              <w:spacing w:after="0"/>
              <w:rPr>
                <w:sz w:val="16"/>
                <w:szCs w:val="16"/>
                <w:color w:val="auto"/>
              </w:rPr>
            </w:pPr>
          </w:p>
        </w:tc>
        <w:tc>
          <w:tcPr>
            <w:tcW w:w="6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6,029</w:t>
            </w:r>
          </w:p>
        </w:tc>
      </w:tr>
      <w:tr>
        <w:trPr>
          <w:trHeight w:val="187"/>
        </w:trPr>
        <w:tc>
          <w:tcPr>
            <w:tcW w:w="38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Biogen License Agreement</w:t>
            </w:r>
          </w:p>
        </w:tc>
        <w:tc>
          <w:tcPr>
            <w:tcW w:w="4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2,432</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1,065</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3,302</w:t>
            </w:r>
          </w:p>
        </w:tc>
      </w:tr>
      <w:tr>
        <w:trPr>
          <w:trHeight w:val="187"/>
        </w:trPr>
        <w:tc>
          <w:tcPr>
            <w:tcW w:w="3820" w:type="dxa"/>
            <w:vAlign w:val="bottom"/>
          </w:tcPr>
          <w:p>
            <w:pPr>
              <w:spacing w:after="0" w:line="187" w:lineRule="exact"/>
              <w:rPr>
                <w:sz w:val="20"/>
                <w:szCs w:val="20"/>
                <w:color w:val="auto"/>
              </w:rPr>
            </w:pPr>
            <w:r>
              <w:rPr>
                <w:rFonts w:ascii="Arial" w:cs="Arial" w:eastAsia="Arial" w:hAnsi="Arial"/>
                <w:sz w:val="17"/>
                <w:szCs w:val="17"/>
                <w:color w:val="auto"/>
              </w:rPr>
              <w:t>Calico License Agreement</w:t>
            </w: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w w:val="96"/>
              </w:rPr>
              <w:t>10,252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w w:val="96"/>
              </w:rPr>
              <w:t>12,540</w:t>
            </w:r>
          </w:p>
        </w:tc>
        <w:tc>
          <w:tcPr>
            <w:tcW w:w="120" w:type="dxa"/>
            <w:vAlign w:val="bottom"/>
          </w:tcPr>
          <w:p>
            <w:pPr>
              <w:spacing w:after="0"/>
              <w:rPr>
                <w:sz w:val="16"/>
                <w:szCs w:val="16"/>
                <w:color w:val="auto"/>
              </w:rPr>
            </w:pPr>
          </w:p>
        </w:tc>
        <w:tc>
          <w:tcPr>
            <w:tcW w:w="72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4,630</w:t>
            </w:r>
          </w:p>
        </w:tc>
        <w:tc>
          <w:tcPr>
            <w:tcW w:w="140" w:type="dxa"/>
            <w:vAlign w:val="bottom"/>
          </w:tcPr>
          <w:p>
            <w:pPr>
              <w:spacing w:after="0"/>
              <w:rPr>
                <w:sz w:val="16"/>
                <w:szCs w:val="16"/>
                <w:color w:val="auto"/>
              </w:rPr>
            </w:pPr>
          </w:p>
        </w:tc>
        <w:tc>
          <w:tcPr>
            <w:tcW w:w="6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7,155</w:t>
            </w:r>
          </w:p>
        </w:tc>
      </w:tr>
      <w:tr>
        <w:trPr>
          <w:trHeight w:val="27"/>
        </w:trPr>
        <w:tc>
          <w:tcPr>
            <w:tcW w:w="38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3820" w:type="dxa"/>
            <w:vAlign w:val="bottom"/>
            <w:shd w:val="clear" w:color="auto" w:fill="CCEEFF"/>
          </w:tcPr>
          <w:p>
            <w:pPr>
              <w:spacing w:after="0"/>
              <w:rPr>
                <w:sz w:val="16"/>
                <w:szCs w:val="16"/>
                <w:color w:val="auto"/>
              </w:rPr>
            </w:pPr>
          </w:p>
        </w:tc>
        <w:tc>
          <w:tcPr>
            <w:tcW w:w="41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u w:val="single" w:color="auto"/>
                <w:color w:val="auto"/>
              </w:rPr>
              <w:t>$</w:t>
            </w:r>
          </w:p>
        </w:tc>
        <w:tc>
          <w:tcPr>
            <w:tcW w:w="66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w w:val="96"/>
              </w:rPr>
              <w:t>19,364</w:t>
            </w:r>
          </w:p>
        </w:tc>
        <w:tc>
          <w:tcPr>
            <w:tcW w:w="2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u w:val="single" w:color="auto"/>
                <w:color w:val="auto"/>
              </w:rPr>
              <w:t>$</w:t>
            </w:r>
          </w:p>
        </w:tc>
        <w:tc>
          <w:tcPr>
            <w:tcW w:w="78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w w:val="96"/>
              </w:rPr>
              <w:t>21,381</w:t>
            </w:r>
          </w:p>
        </w:tc>
        <w:tc>
          <w:tcPr>
            <w:tcW w:w="1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7,807</w:t>
            </w:r>
          </w:p>
        </w:tc>
        <w:tc>
          <w:tcPr>
            <w:tcW w:w="1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16,486</w:t>
            </w:r>
          </w:p>
        </w:tc>
      </w:tr>
      <w:tr>
        <w:trPr>
          <w:trHeight w:val="20"/>
        </w:trPr>
        <w:tc>
          <w:tcPr>
            <w:tcW w:w="38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38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78"/>
        </w:trPr>
        <w:tc>
          <w:tcPr>
            <w:tcW w:w="3820" w:type="dxa"/>
            <w:vAlign w:val="bottom"/>
          </w:tcPr>
          <w:p>
            <w:pPr>
              <w:spacing w:after="0"/>
              <w:rPr>
                <w:sz w:val="24"/>
                <w:szCs w:val="24"/>
                <w:color w:val="auto"/>
              </w:rPr>
            </w:pPr>
          </w:p>
        </w:tc>
        <w:tc>
          <w:tcPr>
            <w:tcW w:w="4040" w:type="dxa"/>
            <w:vAlign w:val="bottom"/>
          </w:tcPr>
          <w:p>
            <w:pPr>
              <w:jc w:val="right"/>
              <w:ind w:right="2057"/>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Revenue for the year ended December 31, 2018 was $19.4 million, compared with $21.4 million for the year ended December 31, 2019. The increase in revenue of $2.0 million primarily stems from the recognition of revenue for collaboration efforts conducted pursuant to the Biogen Agreement of $2.4 million and Calico Agreement of $2.3 million, offset by a decrease in the revenue recognized in connection with the Restated Roche Agreement as compared to the Original Roche Agreement of $2.7 million.</w:t>
      </w:r>
    </w:p>
    <w:p>
      <w:pPr>
        <w:spacing w:after="0" w:line="1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2018, we recognized $9.1 million of revenue under the Original Roche Agreement and $10.3 million under the Calico Agreement. We executed the Restated Roche Agreement and Biogen Agreement in December 2018 and the upfront payments of $40.0 million and $45.0 million, respectively, were recorded as accounts receivable and deferred revenue on our consolidated balance sheet as of December 31, 2018, as the amounts were not received until 2019 and no research was performed under those agreements in 2018. We concluded that the Restated Roche Agreement was a modification of the Original Roche Agreement, and unrecognized revenue under the Original Roche Agreement was added to the transaction price for the Restated Roche Agreement. The total transaction price of $61.9 million includes $40.0 million from the upfront payment, $13.5 million of expected research plan funding payments ($1.0 million per active target per year, for a maximum of $3.0 million per target or $1.0 million for target 1), $6.4 million remaining deferred revenue from the Original Roche Agreement and $2.0 million for a milestone achieved in April 2019 for the identification of lead series for target 2, which was achieved in April 2019.</w:t>
      </w:r>
    </w:p>
    <w:p>
      <w:pPr>
        <w:spacing w:after="0" w:line="12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In 2019, we began recognizing revenue under the Restated Roche Agreement and Biogen Agreement, in addition to the Calico Agreement. We recorded revenue of $6.4 million under the Restated Roche Agreement, $1.9 million under the Biogen Agreement, and $12.5 million under the Calico Agreement in 2019. In addition, we recorded revenue of $0.5 million related to discovery services under the Biogen Agreement.</w:t>
      </w:r>
    </w:p>
    <w:p>
      <w:pPr>
        <w:spacing w:after="0" w:line="1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Revenue for the six months ended June 30, 2019 was $7.8 million, compared with $16.5 million for the six months ended June 30, 2020. The increase in revenue of $8.7 million reflects a $3.9 million increase in the revenue related to the Restated Roche Agreement due to additional progress made on the three active targets, a $2.2 million increase in the Biogen revenue due to the additional progress made on the initial three targets nominated, and a $2.6 million increase in the Calico revenue primarily related to additional FTE reimbursement received in 2020.</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54"/>
        </w:trPr>
        <w:tc>
          <w:tcPr>
            <w:tcW w:w="70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8"/>
              <w:spacing w:after="0" w:line="154"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7"/>
              <w:spacing w:after="0" w:line="154"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00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(DECREASE)</w:t>
            </w:r>
          </w:p>
        </w:tc>
      </w:tr>
      <w:tr>
        <w:trPr>
          <w:trHeight w:val="181"/>
        </w:trPr>
        <w:tc>
          <w:tcPr>
            <w:tcW w:w="70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Personnel expenses</w:t>
            </w: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9,734</w:t>
            </w: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5"/>
              <w:spacing w:after="0" w:line="180"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14,085</w:t>
            </w:r>
          </w:p>
        </w:tc>
        <w:tc>
          <w:tcPr>
            <w:tcW w:w="5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4,351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7"/>
        </w:trPr>
        <w:tc>
          <w:tcPr>
            <w:tcW w:w="7060" w:type="dxa"/>
            <w:vAlign w:val="bottom"/>
          </w:tcPr>
          <w:p>
            <w:pPr>
              <w:spacing w:after="0" w:line="187" w:lineRule="exact"/>
              <w:rPr>
                <w:sz w:val="20"/>
                <w:szCs w:val="20"/>
                <w:color w:val="auto"/>
              </w:rPr>
            </w:pPr>
            <w:r>
              <w:rPr>
                <w:rFonts w:ascii="Arial" w:cs="Arial" w:eastAsia="Arial" w:hAnsi="Arial"/>
                <w:sz w:val="17"/>
                <w:szCs w:val="17"/>
                <w:color w:val="auto"/>
              </w:rPr>
              <w:t>Preclinical and development expenses</w:t>
            </w:r>
          </w:p>
        </w:tc>
        <w:tc>
          <w:tcPr>
            <w:tcW w:w="200" w:type="dxa"/>
            <w:vAlign w:val="bottom"/>
          </w:tcPr>
          <w:p>
            <w:pPr>
              <w:spacing w:after="0"/>
              <w:rPr>
                <w:sz w:val="16"/>
                <w:szCs w:val="16"/>
                <w:color w:val="auto"/>
              </w:rPr>
            </w:pPr>
          </w:p>
        </w:tc>
        <w:tc>
          <w:tcPr>
            <w:tcW w:w="110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8,504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60"/>
              <w:spacing w:after="0" w:line="187" w:lineRule="exact"/>
              <w:rPr>
                <w:sz w:val="20"/>
                <w:szCs w:val="20"/>
                <w:color w:val="auto"/>
              </w:rPr>
            </w:pPr>
            <w:r>
              <w:rPr>
                <w:rFonts w:ascii="Arial" w:cs="Arial" w:eastAsia="Arial" w:hAnsi="Arial"/>
                <w:sz w:val="17"/>
                <w:szCs w:val="17"/>
                <w:color w:val="auto"/>
              </w:rPr>
              <w:t>22,202</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13,698</w:t>
            </w:r>
          </w:p>
        </w:tc>
      </w:tr>
      <w:tr>
        <w:trPr>
          <w:trHeight w:val="187"/>
        </w:trPr>
        <w:tc>
          <w:tcPr>
            <w:tcW w:w="70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Facilities and supplies</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7,885</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8,933</w:t>
            </w: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1,048</w:t>
            </w:r>
          </w:p>
        </w:tc>
      </w:tr>
      <w:tr>
        <w:trPr>
          <w:trHeight w:val="187"/>
        </w:trPr>
        <w:tc>
          <w:tcPr>
            <w:tcW w:w="7060" w:type="dxa"/>
            <w:vAlign w:val="bottom"/>
          </w:tcPr>
          <w:p>
            <w:pPr>
              <w:spacing w:after="0" w:line="187" w:lineRule="exact"/>
              <w:rPr>
                <w:sz w:val="20"/>
                <w:szCs w:val="20"/>
                <w:color w:val="auto"/>
              </w:rPr>
            </w:pPr>
            <w:r>
              <w:rPr>
                <w:rFonts w:ascii="Arial" w:cs="Arial" w:eastAsia="Arial" w:hAnsi="Arial"/>
                <w:sz w:val="17"/>
                <w:szCs w:val="17"/>
                <w:color w:val="auto"/>
              </w:rPr>
              <w:t>Intellectual property</w:t>
            </w:r>
          </w:p>
        </w:tc>
        <w:tc>
          <w:tcPr>
            <w:tcW w:w="200" w:type="dxa"/>
            <w:vAlign w:val="bottom"/>
          </w:tcPr>
          <w:p>
            <w:pPr>
              <w:spacing w:after="0"/>
              <w:rPr>
                <w:sz w:val="16"/>
                <w:szCs w:val="16"/>
                <w:color w:val="auto"/>
              </w:rPr>
            </w:pPr>
          </w:p>
        </w:tc>
        <w:tc>
          <w:tcPr>
            <w:tcW w:w="110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866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60"/>
              <w:spacing w:after="0" w:line="187" w:lineRule="exact"/>
              <w:rPr>
                <w:sz w:val="20"/>
                <w:szCs w:val="20"/>
                <w:color w:val="auto"/>
              </w:rPr>
            </w:pPr>
            <w:r>
              <w:rPr>
                <w:rFonts w:ascii="Arial" w:cs="Arial" w:eastAsia="Arial" w:hAnsi="Arial"/>
                <w:sz w:val="17"/>
                <w:szCs w:val="17"/>
                <w:color w:val="auto"/>
              </w:rPr>
              <w:t>798</w:t>
            </w:r>
          </w:p>
        </w:tc>
        <w:tc>
          <w:tcPr>
            <w:tcW w:w="240" w:type="dxa"/>
            <w:vAlign w:val="bottom"/>
          </w:tcPr>
          <w:p>
            <w:pPr>
              <w:spacing w:after="0"/>
              <w:rPr>
                <w:sz w:val="16"/>
                <w:szCs w:val="16"/>
                <w:color w:val="auto"/>
              </w:rPr>
            </w:pPr>
          </w:p>
        </w:tc>
        <w:tc>
          <w:tcPr>
            <w:tcW w:w="76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(68)</w:t>
            </w:r>
          </w:p>
        </w:tc>
      </w:tr>
      <w:tr>
        <w:trPr>
          <w:trHeight w:val="201"/>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Consulting</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1,167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1,573</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406</w:t>
            </w:r>
          </w:p>
        </w:tc>
      </w:tr>
      <w:tr>
        <w:trPr>
          <w:trHeight w:val="187"/>
        </w:trPr>
        <w:tc>
          <w:tcPr>
            <w:tcW w:w="706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200" w:type="dxa"/>
            <w:vAlign w:val="bottom"/>
          </w:tcPr>
          <w:p>
            <w:pPr>
              <w:spacing w:after="0"/>
              <w:rPr>
                <w:sz w:val="16"/>
                <w:szCs w:val="16"/>
                <w:color w:val="auto"/>
              </w:rPr>
            </w:pPr>
          </w:p>
        </w:tc>
        <w:tc>
          <w:tcPr>
            <w:tcW w:w="110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436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60"/>
              <w:spacing w:after="0" w:line="187" w:lineRule="exact"/>
              <w:rPr>
                <w:sz w:val="20"/>
                <w:szCs w:val="20"/>
                <w:color w:val="auto"/>
              </w:rPr>
            </w:pPr>
            <w:r>
              <w:rPr>
                <w:rFonts w:ascii="Arial" w:cs="Arial" w:eastAsia="Arial" w:hAnsi="Arial"/>
                <w:sz w:val="17"/>
                <w:szCs w:val="17"/>
                <w:color w:val="auto"/>
              </w:rPr>
              <w:t>468</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32</w:t>
            </w:r>
          </w:p>
        </w:tc>
      </w:tr>
      <w:tr>
        <w:trPr>
          <w:trHeight w:val="27"/>
        </w:trPr>
        <w:tc>
          <w:tcPr>
            <w:tcW w:w="7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0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28,592</w:t>
            </w:r>
          </w:p>
        </w:tc>
        <w:tc>
          <w:tcPr>
            <w:tcW w:w="520" w:type="dxa"/>
            <w:vAlign w:val="bottom"/>
            <w:gridSpan w:val="2"/>
            <w:shd w:val="clear" w:color="auto" w:fill="CCEEFF"/>
          </w:tcPr>
          <w:p>
            <w:pPr>
              <w:jc w:val="right"/>
              <w:ind w:right="55"/>
              <w:spacing w:after="0" w:line="187"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48,059</w:t>
            </w:r>
          </w:p>
        </w:tc>
        <w:tc>
          <w:tcPr>
            <w:tcW w:w="2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19,467</w:t>
            </w:r>
          </w:p>
        </w:tc>
      </w:tr>
      <w:tr>
        <w:trPr>
          <w:trHeight w:val="20"/>
        </w:trPr>
        <w:tc>
          <w:tcPr>
            <w:tcW w:w="7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Research and development expenses for the year ended December 31, 2018 were $28.6 million, compared with $48.1 million for the year ended December 31, 2019. The increase of $19.5 million was primarily due to an increase of $8.3 million in external FTE resources for chemistry and biology, an increase of $5.7 million in external preclinical studies for our product candidates and an increase in $4.4 million in compensation and related personnel costs attributable to an increase in headcount.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454"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six months ended June 30, 2019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9"/>
        </w:trPr>
        <w:tc>
          <w:tcPr>
            <w:tcW w:w="8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4"/>
        </w:trPr>
        <w:tc>
          <w:tcPr>
            <w:tcW w:w="8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jc w:val="right"/>
              <w:ind w:right="357"/>
              <w:spacing w:after="0" w:line="154" w:lineRule="exact"/>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Personnel expenses</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6,684</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9,170</w:t>
            </w:r>
          </w:p>
        </w:tc>
        <w:tc>
          <w:tcPr>
            <w:tcW w:w="2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2,486</w:t>
            </w:r>
          </w:p>
        </w:tc>
        <w:tc>
          <w:tcPr>
            <w:tcW w:w="0" w:type="dxa"/>
            <w:vAlign w:val="bottom"/>
          </w:tcPr>
          <w:p>
            <w:pPr>
              <w:spacing w:after="0"/>
              <w:rPr>
                <w:sz w:val="1"/>
                <w:szCs w:val="1"/>
                <w:color w:val="auto"/>
              </w:rPr>
            </w:pPr>
          </w:p>
        </w:tc>
      </w:tr>
      <w:tr>
        <w:trPr>
          <w:trHeight w:val="187"/>
        </w:trPr>
        <w:tc>
          <w:tcPr>
            <w:tcW w:w="8200" w:type="dxa"/>
            <w:vAlign w:val="bottom"/>
          </w:tcPr>
          <w:p>
            <w:pPr>
              <w:spacing w:after="0" w:line="187" w:lineRule="exact"/>
              <w:rPr>
                <w:sz w:val="20"/>
                <w:szCs w:val="20"/>
                <w:color w:val="auto"/>
              </w:rPr>
            </w:pPr>
            <w:r>
              <w:rPr>
                <w:rFonts w:ascii="Arial" w:cs="Arial" w:eastAsia="Arial" w:hAnsi="Arial"/>
                <w:sz w:val="17"/>
                <w:szCs w:val="17"/>
                <w:color w:val="auto"/>
              </w:rPr>
              <w:t>Preclinical and development expenses</w:t>
            </w:r>
          </w:p>
        </w:tc>
        <w:tc>
          <w:tcPr>
            <w:tcW w:w="100" w:type="dxa"/>
            <w:vAlign w:val="bottom"/>
          </w:tcPr>
          <w:p>
            <w:pPr>
              <w:spacing w:after="0"/>
              <w:rPr>
                <w:sz w:val="16"/>
                <w:szCs w:val="16"/>
                <w:color w:val="auto"/>
              </w:rPr>
            </w:pPr>
          </w:p>
        </w:tc>
        <w:tc>
          <w:tcPr>
            <w:tcW w:w="92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7,007</w:t>
            </w:r>
          </w:p>
        </w:tc>
        <w:tc>
          <w:tcPr>
            <w:tcW w:w="100" w:type="dxa"/>
            <w:vAlign w:val="bottom"/>
          </w:tcPr>
          <w:p>
            <w:pPr>
              <w:spacing w:after="0"/>
              <w:rPr>
                <w:sz w:val="16"/>
                <w:szCs w:val="16"/>
                <w:color w:val="auto"/>
              </w:rPr>
            </w:pPr>
          </w:p>
        </w:tc>
        <w:tc>
          <w:tcPr>
            <w:tcW w:w="92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w w:val="99"/>
              </w:rPr>
              <w:t>17,771</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10,764</w:t>
            </w:r>
          </w:p>
        </w:tc>
        <w:tc>
          <w:tcPr>
            <w:tcW w:w="0" w:type="dxa"/>
            <w:vAlign w:val="bottom"/>
          </w:tcPr>
          <w:p>
            <w:pPr>
              <w:spacing w:after="0"/>
              <w:rPr>
                <w:sz w:val="1"/>
                <w:szCs w:val="1"/>
                <w:color w:val="auto"/>
              </w:rPr>
            </w:pPr>
          </w:p>
        </w:tc>
      </w:tr>
      <w:tr>
        <w:trPr>
          <w:trHeight w:val="187"/>
        </w:trPr>
        <w:tc>
          <w:tcPr>
            <w:tcW w:w="82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Facilities and supplies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4,127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4,501</w:t>
            </w: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187"/>
        </w:trPr>
        <w:tc>
          <w:tcPr>
            <w:tcW w:w="8200" w:type="dxa"/>
            <w:vAlign w:val="bottom"/>
          </w:tcPr>
          <w:p>
            <w:pPr>
              <w:spacing w:after="0" w:line="187" w:lineRule="exact"/>
              <w:rPr>
                <w:sz w:val="20"/>
                <w:szCs w:val="20"/>
                <w:color w:val="auto"/>
              </w:rPr>
            </w:pPr>
            <w:r>
              <w:rPr>
                <w:rFonts w:ascii="Arial" w:cs="Arial" w:eastAsia="Arial" w:hAnsi="Arial"/>
                <w:sz w:val="17"/>
                <w:szCs w:val="17"/>
                <w:color w:val="auto"/>
              </w:rPr>
              <w:t>Intellectual property</w:t>
            </w:r>
          </w:p>
        </w:tc>
        <w:tc>
          <w:tcPr>
            <w:tcW w:w="100" w:type="dxa"/>
            <w:vAlign w:val="bottom"/>
          </w:tcPr>
          <w:p>
            <w:pPr>
              <w:spacing w:after="0"/>
              <w:rPr>
                <w:sz w:val="16"/>
                <w:szCs w:val="16"/>
                <w:color w:val="auto"/>
              </w:rPr>
            </w:pPr>
          </w:p>
        </w:tc>
        <w:tc>
          <w:tcPr>
            <w:tcW w:w="92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453</w:t>
            </w:r>
          </w:p>
        </w:tc>
        <w:tc>
          <w:tcPr>
            <w:tcW w:w="100" w:type="dxa"/>
            <w:vAlign w:val="bottom"/>
          </w:tcPr>
          <w:p>
            <w:pPr>
              <w:spacing w:after="0"/>
              <w:rPr>
                <w:sz w:val="16"/>
                <w:szCs w:val="16"/>
                <w:color w:val="auto"/>
              </w:rPr>
            </w:pPr>
          </w:p>
        </w:tc>
        <w:tc>
          <w:tcPr>
            <w:tcW w:w="92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644</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187"/>
        </w:trPr>
        <w:tc>
          <w:tcPr>
            <w:tcW w:w="82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Consulting</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576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1,840</w:t>
            </w: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1,264</w:t>
            </w:r>
          </w:p>
        </w:tc>
        <w:tc>
          <w:tcPr>
            <w:tcW w:w="0" w:type="dxa"/>
            <w:vAlign w:val="bottom"/>
          </w:tcPr>
          <w:p>
            <w:pPr>
              <w:spacing w:after="0"/>
              <w:rPr>
                <w:sz w:val="1"/>
                <w:szCs w:val="1"/>
                <w:color w:val="auto"/>
              </w:rPr>
            </w:pPr>
          </w:p>
        </w:tc>
      </w:tr>
      <w:tr>
        <w:trPr>
          <w:trHeight w:val="194"/>
        </w:trPr>
        <w:tc>
          <w:tcPr>
            <w:tcW w:w="820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100" w:type="dxa"/>
            <w:vAlign w:val="bottom"/>
          </w:tcPr>
          <w:p>
            <w:pPr>
              <w:spacing w:after="0"/>
              <w:rPr>
                <w:sz w:val="16"/>
                <w:szCs w:val="16"/>
                <w:color w:val="auto"/>
              </w:rPr>
            </w:pPr>
          </w:p>
        </w:tc>
        <w:tc>
          <w:tcPr>
            <w:tcW w:w="540" w:type="dxa"/>
            <w:vAlign w:val="bottom"/>
          </w:tcPr>
          <w:p>
            <w:pPr>
              <w:jc w:val="right"/>
              <w:spacing w:after="0" w:line="187" w:lineRule="exact"/>
              <w:rPr>
                <w:sz w:val="20"/>
                <w:szCs w:val="20"/>
                <w:color w:val="auto"/>
              </w:rPr>
            </w:pPr>
            <w:r>
              <w:rPr>
                <w:rFonts w:ascii="Arial" w:cs="Arial" w:eastAsia="Arial" w:hAnsi="Arial"/>
                <w:sz w:val="17"/>
                <w:szCs w:val="17"/>
                <w:color w:val="auto"/>
              </w:rPr>
              <w:t>246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line="187" w:lineRule="exact"/>
              <w:rPr>
                <w:sz w:val="20"/>
                <w:szCs w:val="20"/>
                <w:color w:val="auto"/>
              </w:rPr>
            </w:pPr>
            <w:r>
              <w:rPr>
                <w:rFonts w:ascii="Arial" w:cs="Arial" w:eastAsia="Arial" w:hAnsi="Arial"/>
                <w:sz w:val="17"/>
                <w:szCs w:val="17"/>
                <w:color w:val="auto"/>
              </w:rPr>
              <w:t>146</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7"/>
        </w:trPr>
        <w:tc>
          <w:tcPr>
            <w:tcW w:w="820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u w:val="single" w:color="auto"/>
                <w:color w:val="auto"/>
                <w:w w:val="84"/>
              </w:rPr>
              <w:t>$</w:t>
            </w:r>
          </w:p>
        </w:tc>
        <w:tc>
          <w:tcPr>
            <w:tcW w:w="5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99"/>
              </w:rPr>
              <w:t>19,093</w:t>
            </w:r>
          </w:p>
        </w:tc>
        <w:tc>
          <w:tcPr>
            <w:tcW w:w="38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u w:val="single" w:color="auto"/>
                <w:color w:val="auto"/>
                <w:w w:val="84"/>
              </w:rPr>
              <w:t>$</w:t>
            </w:r>
          </w:p>
        </w:tc>
        <w:tc>
          <w:tcPr>
            <w:tcW w:w="5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99"/>
              </w:rPr>
              <w:t>34,072</w:t>
            </w:r>
          </w:p>
        </w:tc>
        <w:tc>
          <w:tcPr>
            <w:tcW w:w="38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14,979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Research and development expenses for the six months ended June 30, 2019 were $19.1 million, compared with $34.1 million for the six months ended June 30, 2020. The increase of $15.0 million was primarily due to an increase in the use of FTE resources for chemistry and biology of $7.2 million, an increase in preclinical studies of $3.6 million for our product candidates, an increase of $2.4 million in compensation and related personnel costs attributable to an increase in headcount and an increase in consulting costs of $1.3 million.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years ended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71335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54"/>
        </w:trPr>
        <w:tc>
          <w:tcPr>
            <w:tcW w:w="7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9"/>
              <w:spacing w:after="0" w:line="154"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8"/>
              <w:spacing w:after="0" w:line="154"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00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(DECREASE)</w:t>
            </w:r>
          </w:p>
        </w:tc>
      </w:tr>
      <w:tr>
        <w:trPr>
          <w:trHeight w:val="181"/>
        </w:trPr>
        <w:tc>
          <w:tcPr>
            <w:tcW w:w="72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Personnel expenses</w:t>
            </w:r>
          </w:p>
        </w:tc>
        <w:tc>
          <w:tcPr>
            <w:tcW w:w="1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3,949</w:t>
            </w: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5,587</w:t>
            </w:r>
          </w:p>
        </w:tc>
        <w:tc>
          <w:tcPr>
            <w:tcW w:w="5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1,638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7"/>
        </w:trPr>
        <w:tc>
          <w:tcPr>
            <w:tcW w:w="7280" w:type="dxa"/>
            <w:vAlign w:val="bottom"/>
          </w:tcPr>
          <w:p>
            <w:pPr>
              <w:spacing w:after="0" w:line="187" w:lineRule="exact"/>
              <w:rPr>
                <w:sz w:val="20"/>
                <w:szCs w:val="20"/>
                <w:color w:val="auto"/>
              </w:rPr>
            </w:pPr>
            <w:r>
              <w:rPr>
                <w:rFonts w:ascii="Arial" w:cs="Arial" w:eastAsia="Arial" w:hAnsi="Arial"/>
                <w:sz w:val="17"/>
                <w:szCs w:val="17"/>
                <w:color w:val="auto"/>
              </w:rPr>
              <w:t>Facilities and supplies</w:t>
            </w:r>
          </w:p>
        </w:tc>
        <w:tc>
          <w:tcPr>
            <w:tcW w:w="14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7"/>
                <w:szCs w:val="17"/>
                <w:color w:val="auto"/>
              </w:rPr>
              <w:t>471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560"/>
              <w:spacing w:after="0" w:line="187" w:lineRule="exact"/>
              <w:rPr>
                <w:sz w:val="20"/>
                <w:szCs w:val="20"/>
                <w:color w:val="auto"/>
              </w:rPr>
            </w:pPr>
            <w:r>
              <w:rPr>
                <w:rFonts w:ascii="Arial" w:cs="Arial" w:eastAsia="Arial" w:hAnsi="Arial"/>
                <w:sz w:val="17"/>
                <w:szCs w:val="17"/>
                <w:color w:val="auto"/>
              </w:rPr>
              <w:t>454</w:t>
            </w:r>
          </w:p>
        </w:tc>
        <w:tc>
          <w:tcPr>
            <w:tcW w:w="280" w:type="dxa"/>
            <w:vAlign w:val="bottom"/>
          </w:tcPr>
          <w:p>
            <w:pPr>
              <w:spacing w:after="0"/>
              <w:rPr>
                <w:sz w:val="16"/>
                <w:szCs w:val="16"/>
                <w:color w:val="auto"/>
              </w:rPr>
            </w:pPr>
          </w:p>
        </w:tc>
        <w:tc>
          <w:tcPr>
            <w:tcW w:w="72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(17)</w:t>
            </w:r>
          </w:p>
        </w:tc>
      </w:tr>
      <w:tr>
        <w:trPr>
          <w:trHeight w:val="187"/>
        </w:trPr>
        <w:tc>
          <w:tcPr>
            <w:tcW w:w="72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Legal and professional fees</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2,019</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2,036</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17</w:t>
            </w:r>
          </w:p>
        </w:tc>
      </w:tr>
      <w:tr>
        <w:trPr>
          <w:trHeight w:val="187"/>
        </w:trPr>
        <w:tc>
          <w:tcPr>
            <w:tcW w:w="728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14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7"/>
                <w:szCs w:val="17"/>
                <w:color w:val="auto"/>
              </w:rPr>
              <w:t>722</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7" w:lineRule="exact"/>
              <w:rPr>
                <w:sz w:val="20"/>
                <w:szCs w:val="20"/>
                <w:color w:val="auto"/>
              </w:rPr>
            </w:pPr>
            <w:r>
              <w:rPr>
                <w:rFonts w:ascii="Arial" w:cs="Arial" w:eastAsia="Arial" w:hAnsi="Arial"/>
                <w:sz w:val="17"/>
                <w:szCs w:val="17"/>
                <w:color w:val="auto"/>
              </w:rPr>
              <w:t>697</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(25)</w:t>
            </w:r>
          </w:p>
        </w:tc>
      </w:tr>
      <w:tr>
        <w:trPr>
          <w:trHeight w:val="27"/>
        </w:trPr>
        <w:tc>
          <w:tcPr>
            <w:tcW w:w="7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2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7,161</w:t>
            </w:r>
          </w:p>
        </w:tc>
        <w:tc>
          <w:tcPr>
            <w:tcW w:w="2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6"/>
              <w:spacing w:after="0" w:line="187"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8,774</w:t>
            </w:r>
          </w:p>
        </w:tc>
        <w:tc>
          <w:tcPr>
            <w:tcW w:w="2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1,613</w:t>
            </w:r>
          </w:p>
        </w:tc>
      </w:tr>
      <w:tr>
        <w:trPr>
          <w:trHeight w:val="20"/>
        </w:trPr>
        <w:tc>
          <w:tcPr>
            <w:tcW w:w="7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General and administrative expenses were $7.2 million for the year ended December 31, 2018, compared with $8.8 million for the year ended December 31, 2019. The increase of $1.6 million was primarily due to the increase in personnel expenses attributable to an increase in stock-based compensation of $0.8 million and other increased personnel expenses of $0.8 million.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454"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six months ended June 30, 2019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284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9"/>
        </w:trPr>
        <w:tc>
          <w:tcPr>
            <w:tcW w:w="8400" w:type="dxa"/>
            <w:vAlign w:val="bottom"/>
          </w:tcPr>
          <w:p>
            <w:pPr>
              <w:spacing w:after="0"/>
              <w:rPr>
                <w:sz w:val="12"/>
                <w:szCs w:val="12"/>
                <w:color w:val="auto"/>
              </w:rPr>
            </w:pPr>
          </w:p>
        </w:tc>
        <w:tc>
          <w:tcPr>
            <w:tcW w:w="5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4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4"/>
        </w:trPr>
        <w:tc>
          <w:tcPr>
            <w:tcW w:w="8400" w:type="dxa"/>
            <w:vAlign w:val="bottom"/>
          </w:tcPr>
          <w:p>
            <w:pPr>
              <w:spacing w:after="0"/>
              <w:rPr>
                <w:sz w:val="13"/>
                <w:szCs w:val="13"/>
                <w:color w:val="auto"/>
              </w:rPr>
            </w:pPr>
          </w:p>
        </w:tc>
        <w:tc>
          <w:tcPr>
            <w:tcW w:w="1460" w:type="dxa"/>
            <w:vAlign w:val="bottom"/>
            <w:tcBorders>
              <w:top w:val="single" w:sz="8" w:color="auto"/>
            </w:tcBorders>
            <w:gridSpan w:val="3"/>
          </w:tcPr>
          <w:p>
            <w:pPr>
              <w:jc w:val="right"/>
              <w:ind w:right="278"/>
              <w:spacing w:after="0" w:line="154" w:lineRule="exact"/>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4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Personnel expenses</w:t>
            </w:r>
          </w:p>
        </w:tc>
        <w:tc>
          <w:tcPr>
            <w:tcW w:w="9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w w:val="96"/>
              </w:rPr>
              <w:t>$2,368</w:t>
            </w:r>
          </w:p>
        </w:tc>
        <w:tc>
          <w:tcPr>
            <w:tcW w:w="9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w w:val="99"/>
              </w:rPr>
              <w:t>$3,100</w:t>
            </w:r>
          </w:p>
        </w:tc>
        <w:tc>
          <w:tcPr>
            <w:tcW w:w="2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187"/>
        </w:trPr>
        <w:tc>
          <w:tcPr>
            <w:tcW w:w="8400" w:type="dxa"/>
            <w:vAlign w:val="bottom"/>
          </w:tcPr>
          <w:p>
            <w:pPr>
              <w:spacing w:after="0" w:line="187" w:lineRule="exact"/>
              <w:rPr>
                <w:sz w:val="20"/>
                <w:szCs w:val="20"/>
                <w:color w:val="auto"/>
              </w:rPr>
            </w:pPr>
            <w:r>
              <w:rPr>
                <w:rFonts w:ascii="Arial" w:cs="Arial" w:eastAsia="Arial" w:hAnsi="Arial"/>
                <w:sz w:val="17"/>
                <w:szCs w:val="17"/>
                <w:color w:val="auto"/>
              </w:rPr>
              <w:t>Facilities and supplies</w:t>
            </w:r>
          </w:p>
        </w:tc>
        <w:tc>
          <w:tcPr>
            <w:tcW w:w="9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211</w:t>
            </w:r>
          </w:p>
        </w:tc>
        <w:tc>
          <w:tcPr>
            <w:tcW w:w="92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173</w:t>
            </w:r>
          </w:p>
        </w:tc>
        <w:tc>
          <w:tcPr>
            <w:tcW w:w="280" w:type="dxa"/>
            <w:vAlign w:val="bottom"/>
          </w:tcPr>
          <w:p>
            <w:pPr>
              <w:spacing w:after="0"/>
              <w:rPr>
                <w:sz w:val="16"/>
                <w:szCs w:val="16"/>
                <w:color w:val="auto"/>
              </w:rPr>
            </w:pPr>
          </w:p>
        </w:tc>
        <w:tc>
          <w:tcPr>
            <w:tcW w:w="72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87"/>
        </w:trPr>
        <w:tc>
          <w:tcPr>
            <w:tcW w:w="84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Legal and professional fees</w:t>
            </w:r>
          </w:p>
        </w:tc>
        <w:tc>
          <w:tcPr>
            <w:tcW w:w="9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799</w:t>
            </w:r>
          </w:p>
        </w:tc>
        <w:tc>
          <w:tcPr>
            <w:tcW w:w="9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1,973</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187"/>
        </w:trPr>
        <w:tc>
          <w:tcPr>
            <w:tcW w:w="840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9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289</w:t>
            </w:r>
          </w:p>
        </w:tc>
        <w:tc>
          <w:tcPr>
            <w:tcW w:w="92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365</w:t>
            </w:r>
          </w:p>
        </w:tc>
        <w:tc>
          <w:tcPr>
            <w:tcW w:w="280" w:type="dxa"/>
            <w:vAlign w:val="bottom"/>
          </w:tcPr>
          <w:p>
            <w:pPr>
              <w:spacing w:after="0"/>
              <w:rPr>
                <w:sz w:val="16"/>
                <w:szCs w:val="16"/>
                <w:color w:val="auto"/>
              </w:rPr>
            </w:pPr>
          </w:p>
        </w:tc>
        <w:tc>
          <w:tcPr>
            <w:tcW w:w="7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84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3,667</w:t>
            </w:r>
          </w:p>
        </w:tc>
        <w:tc>
          <w:tcPr>
            <w:tcW w:w="9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w w:val="91"/>
              </w:rPr>
              <w:t>$ 5,611</w:t>
            </w:r>
          </w:p>
        </w:tc>
        <w:tc>
          <w:tcPr>
            <w:tcW w:w="2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General and administrative expenses were $3.7 million for the six months ended June 30, 2019, compared with $5.6 million for the six months ended June 30, 2020. The increase of $1.9 million was primarily due to an increase in personnel expenses of $0.7 million, primarily resulting from severance and related benefits incurred, offset by savings in salaries and related benefits and a $1.2 million increase in legal and professional costs due to the utilization of external consultants.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40"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Other income, net was $0.7 million for the year ended December 31, 2018, compared with $2.2 million for the year ended December 31, 2019. The increase of $1.5 million was primarily due to increased interest income resulting from a higher average cash balance.</w:t>
      </w:r>
    </w:p>
    <w:p>
      <w:pPr>
        <w:spacing w:after="0" w:line="10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Other income, net was $1.2 million for the six months ended June 30, 2019, compared with $0.2 million for the six months ended June 30, 2020. The decrease of $1.0 million was primarily due to lower interest earned on short-term investments in 2020.</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Since our inception in 2015, we have not recorded any U.S. federal or state income tax benefits for the net losses we have incurred in any year. As of December 31, 2019, we had no remaining federal net operating loss carryforwards and $8.2 million in state net operating loss carryforwards, which begin to expire in 2038. As of December 31, 2019, we also had federal and state research and development tax credit carryforwards of $0.4 million and $0.1 million, respectively, which begin to expire in 2039.</w:t>
      </w:r>
    </w:p>
    <w:p>
      <w:pPr>
        <w:spacing w:after="0" w:line="121"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We have provided a valuation allowance against the full amount of the deferred tax assets since, in the opinion of management, based upon our earnings history, it is more likely than not that the benefits will not be realized. There were no material changes in our tax position, and we were still in a valuation allowance as of June 30, 2020.</w:t>
      </w:r>
    </w:p>
    <w:p>
      <w:pPr>
        <w:spacing w:after="0" w:line="11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For the year ended December 31, 2019, we recognized income tax expense of $0.8 million resulting from the Restated Roche Agreement and Biogen Agreement, both entered into in December 2018. For the six months ended June 30, 2019, we recognized income tax expense of $0.3 million for the pro-rated annual tax estimated as of June 30, 2019. For the six months ended June 30, 2020, we recognized an income tax benefit of $0.3 million resulting from the expected tax benefit to be recognized as a result of the full-year 2020 projected tax loss carryback to fiscal year 2019 allowed under the Coronavirus Aid, Relief, and Economic Security (CARES) Act signed into law in March 2020.</w:t>
      </w:r>
    </w:p>
    <w:p>
      <w:pPr>
        <w:spacing w:after="0" w:line="11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will recognize interest and/or penalties related to uncertain tax benefits in income tax expense as they arise. As of December 31, 2018 and 2019 and June 30, 2019 and 2020, we had no accrued interest or penalties related to uncertain tax benefits.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454"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 had cash and cash equivalents and short term investments of $211.6 million as of June 30, 2020.</w:t>
      </w:r>
    </w:p>
    <w:p>
      <w:pPr>
        <w:spacing w:after="0" w:line="13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do not currently have any approved products and have never generated any revenue from product sales. To date, we have financed our operations primarily through the sale of preferred stock and through payments from collaboration partners. Through June 30, 2020, we have raised approximately $224.0 million in gross proceeds from the sale of series Seed redeemable convertible preferred stock, Series A redeemable convertible preferred stock, and Series B redeemable convertible preferred stock and have received an aggregate of $154.8 million in payments from collaboration partners.</w:t>
      </w:r>
    </w:p>
    <w:p>
      <w:pPr>
        <w:spacing w:after="0" w:line="11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In June 2020 and July 2020, we closed our Series B Financing with both existing and new investors. As part of the Series B Financing, we issued 142,857,142 shares of redeemable convertible Series B preferred stock, or Series B Preferred Stock, at a purchase price of $1.05 per share, for aggregate gross proceeds of $150.0 million or net proceeds of $145.5 million when taking into account offering costs of $4.5 million. Every</w:t>
      </w:r>
    </w:p>
    <w:p>
      <w:pPr>
        <w:spacing w:after="0" w:line="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8.4335 shares of our preferred stock will be automatically converted into one share of common stock upon the completion of this offering. In addition, we secured a $20.0 million credit arrangement with Perceptive Credit Holdings III, LP, or Perceptive Credit, an affiliate of one of the Series B Financing investors, whereby we borrowed $12.5 million at closing, bearing a variable interest rate of 11.25%, and have the opportunity to draw down another $7.5 million subject to the satisfaction of certain milestones relating to the filing of an IND for certain of our pipeline targets. In connection with the Credit Agreement, we issued Perceptive Credit warrants to purchase 2,857,142 shares of Series B Preferred Stock exercisable for $1.05 per share. The loans extended under the Credit Agreement will be repaid beginning in December 2022 in monthly installments of interest plus principal equal to 2.0% of the initial principal amount through June 2024. We paid a closing fee of $0.3 million related to the loan and have the right to prepay the loan in its entirety prior to the maturity date by paying the applicable prepayment fee. If we do not prepay the loan, the entire unpaid principal balance becomes due on the maturity date, June 5, 2024. We are also subject to customary financial covenants in the Credit Agreement that dictate accelerated repayment upon the occurrence of certain events of default, none of which are expected to occur based on our current liquidity.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39" w:lineRule="exact"/>
        <w:rPr>
          <w:sz w:val="20"/>
          <w:szCs w:val="20"/>
          <w:color w:val="auto"/>
        </w:rPr>
      </w:pPr>
    </w:p>
    <w:p>
      <w:pPr>
        <w:ind w:right="480"/>
        <w:spacing w:after="0" w:line="244" w:lineRule="auto"/>
        <w:rPr>
          <w:sz w:val="20"/>
          <w:szCs w:val="20"/>
          <w:color w:val="auto"/>
        </w:rPr>
      </w:pPr>
      <w:r>
        <w:rPr>
          <w:rFonts w:ascii="Arial" w:cs="Arial" w:eastAsia="Arial" w:hAnsi="Arial"/>
          <w:sz w:val="17"/>
          <w:szCs w:val="17"/>
          <w:color w:val="auto"/>
        </w:rPr>
        <w:t>Our cash, cash equivalents and restricted cash totaled $38.9 million and $93.1 million as of December 31, 2018 and 2019 and $96.6 million and $110.2 million as of June 30, 2019 and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54"/>
        </w:trPr>
        <w:tc>
          <w:tcPr>
            <w:tcW w:w="6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0"/>
              <w:spacing w:after="0" w:line="154"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8"/>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5"/>
              <w:spacing w:after="0" w:line="154"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8"/>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4"/>
        </w:trPr>
        <w:tc>
          <w:tcPr>
            <w:tcW w:w="6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right"/>
              <w:ind w:right="478"/>
              <w:spacing w:after="0" w:line="154"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87"/>
        </w:trPr>
        <w:tc>
          <w:tcPr>
            <w:tcW w:w="6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cash (used in) provided by operating activities</w:t>
            </w:r>
          </w:p>
        </w:tc>
        <w:tc>
          <w:tcPr>
            <w:tcW w:w="1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240" w:type="dxa"/>
            <w:vAlign w:val="bottom"/>
            <w:gridSpan w:val="3"/>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(16,981)</w:t>
            </w:r>
          </w:p>
        </w:tc>
        <w:tc>
          <w:tcPr>
            <w:tcW w:w="220" w:type="dxa"/>
            <w:vAlign w:val="bottom"/>
            <w:shd w:val="clear" w:color="auto" w:fill="CCEEFF"/>
          </w:tcPr>
          <w:p>
            <w:pPr>
              <w:jc w:val="right"/>
              <w:ind w:right="35"/>
              <w:spacing w:after="0" w:line="187"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40"/>
              <w:spacing w:after="0" w:line="187" w:lineRule="exact"/>
              <w:rPr>
                <w:sz w:val="20"/>
                <w:szCs w:val="20"/>
                <w:color w:val="auto"/>
              </w:rPr>
            </w:pPr>
            <w:r>
              <w:rPr>
                <w:rFonts w:ascii="Arial" w:cs="Arial" w:eastAsia="Arial" w:hAnsi="Arial"/>
                <w:sz w:val="17"/>
                <w:szCs w:val="17"/>
                <w:color w:val="auto"/>
              </w:rPr>
              <w:t>55,614</w:t>
            </w:r>
          </w:p>
        </w:tc>
        <w:tc>
          <w:tcPr>
            <w:tcW w:w="1280" w:type="dxa"/>
            <w:vAlign w:val="bottom"/>
            <w:gridSpan w:val="3"/>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$ 73,817</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(31,261)</w:t>
            </w:r>
          </w:p>
        </w:tc>
      </w:tr>
      <w:tr>
        <w:trPr>
          <w:trHeight w:val="187"/>
        </w:trPr>
        <w:tc>
          <w:tcPr>
            <w:tcW w:w="6500" w:type="dxa"/>
            <w:vAlign w:val="bottom"/>
          </w:tcPr>
          <w:p>
            <w:pPr>
              <w:spacing w:after="0" w:line="187" w:lineRule="exact"/>
              <w:rPr>
                <w:sz w:val="20"/>
                <w:szCs w:val="20"/>
                <w:color w:val="auto"/>
              </w:rPr>
            </w:pPr>
            <w:r>
              <w:rPr>
                <w:rFonts w:ascii="Arial" w:cs="Arial" w:eastAsia="Arial" w:hAnsi="Arial"/>
                <w:sz w:val="17"/>
                <w:szCs w:val="17"/>
                <w:color w:val="auto"/>
              </w:rPr>
              <w:t>Net cash provided by (used in) investing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36,921</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(1,620)</w:t>
            </w:r>
          </w:p>
        </w:tc>
        <w:tc>
          <w:tcPr>
            <w:tcW w:w="1280" w:type="dxa"/>
            <w:vAlign w:val="bottom"/>
            <w:gridSpan w:val="3"/>
          </w:tcPr>
          <w:p>
            <w:pPr>
              <w:jc w:val="right"/>
              <w:ind w:right="360"/>
              <w:spacing w:after="0" w:line="187" w:lineRule="exact"/>
              <w:rPr>
                <w:sz w:val="20"/>
                <w:szCs w:val="20"/>
                <w:color w:val="auto"/>
              </w:rPr>
            </w:pPr>
            <w:r>
              <w:rPr>
                <w:rFonts w:ascii="Arial" w:cs="Arial" w:eastAsia="Arial" w:hAnsi="Arial"/>
                <w:sz w:val="17"/>
                <w:szCs w:val="17"/>
                <w:color w:val="auto"/>
              </w:rPr>
              <w:t>(16,172)</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w w:val="98"/>
              </w:rPr>
              <w:t>(104,017)</w:t>
            </w:r>
          </w:p>
        </w:tc>
      </w:tr>
      <w:tr>
        <w:trPr>
          <w:trHeight w:val="187"/>
        </w:trPr>
        <w:tc>
          <w:tcPr>
            <w:tcW w:w="6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cash provided by financing activities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1,961</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line="187" w:lineRule="exact"/>
              <w:rPr>
                <w:sz w:val="20"/>
                <w:szCs w:val="20"/>
                <w:color w:val="auto"/>
              </w:rPr>
            </w:pPr>
            <w:r>
              <w:rPr>
                <w:rFonts w:ascii="Arial" w:cs="Arial" w:eastAsia="Arial" w:hAnsi="Arial"/>
                <w:sz w:val="17"/>
                <w:szCs w:val="17"/>
                <w:color w:val="auto"/>
              </w:rPr>
              <w:t>244</w:t>
            </w:r>
          </w:p>
        </w:tc>
        <w:tc>
          <w:tcPr>
            <w:tcW w:w="1280" w:type="dxa"/>
            <w:vAlign w:val="bottom"/>
            <w:gridSpan w:val="3"/>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152,380</w:t>
            </w:r>
          </w:p>
        </w:tc>
      </w:tr>
      <w:tr>
        <w:trPr>
          <w:trHeight w:val="194"/>
        </w:trPr>
        <w:tc>
          <w:tcPr>
            <w:tcW w:w="6500" w:type="dxa"/>
            <w:vAlign w:val="bottom"/>
          </w:tcPr>
          <w:p>
            <w:pPr>
              <w:ind w:left="260"/>
              <w:spacing w:after="0" w:line="194" w:lineRule="exact"/>
              <w:rPr>
                <w:sz w:val="20"/>
                <w:szCs w:val="20"/>
                <w:color w:val="auto"/>
              </w:rPr>
            </w:pPr>
            <w:r>
              <w:rPr>
                <w:rFonts w:ascii="Arial" w:cs="Arial" w:eastAsia="Arial" w:hAnsi="Arial"/>
                <w:sz w:val="17"/>
                <w:szCs w:val="17"/>
                <w:color w:val="auto"/>
              </w:rPr>
              <w:t>Net increase in cash and cash equivalents and restricted cash</w:t>
            </w: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21,901</w:t>
            </w:r>
          </w:p>
        </w:tc>
        <w:tc>
          <w:tcPr>
            <w:tcW w:w="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5"/>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54,238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9"/>
              </w:rPr>
              <w:t>$ 57,677</w:t>
            </w:r>
          </w:p>
        </w:tc>
        <w:tc>
          <w:tcPr>
            <w:tcW w:w="4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17,102</w:t>
            </w:r>
          </w:p>
        </w:tc>
        <w:tc>
          <w:tcPr>
            <w:tcW w:w="100" w:type="dxa"/>
            <w:vAlign w:val="bottom"/>
          </w:tcPr>
          <w:p>
            <w:pPr>
              <w:spacing w:after="0"/>
              <w:rPr>
                <w:sz w:val="16"/>
                <w:szCs w:val="16"/>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4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Net cash used in operating activities for the year ended December 31, 2018 was $17.0 million, primarily consisting of our net loss of $15.7 million and an increase of $84.9 million in accounts receivable, offset by an increase of $81.0 million in deferred revenue. The increase in deferred revenue stemmed from $85.0 million in up-front payments due to us under the Restated Roche Agreement and the Biogen Agreement, both of which were recorded as accounts receivable and deferred revenue as of December 31, 2018.</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Net cash provided by operating activities for the year ended December 31, 2019 was $55.6 million, primarily consisting of our net loss of $34.1 million and a decrease in deferred revenue of $3.2 million, which were offset by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454"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color w:val="auto"/>
        </w:rPr>
        <w:t>a decrease in accounts receivable of $81.8 million. The decrease in deferred revenue was due to the recognition of revenue under our collaboration agreements in 2019 and the $81.8 million decrease in accounts receivable was related to the collection of up-front payments from our collaboration partners, which were received in 2019.</w:t>
      </w:r>
    </w:p>
    <w:p>
      <w:pPr>
        <w:spacing w:after="0" w:line="111" w:lineRule="exact"/>
        <w:rPr>
          <w:sz w:val="20"/>
          <w:szCs w:val="20"/>
          <w:color w:val="auto"/>
        </w:rPr>
      </w:pPr>
    </w:p>
    <w:p>
      <w:pPr>
        <w:jc w:val="both"/>
        <w:ind w:right="620"/>
        <w:spacing w:after="0" w:line="250" w:lineRule="auto"/>
        <w:rPr>
          <w:sz w:val="20"/>
          <w:szCs w:val="20"/>
          <w:color w:val="auto"/>
        </w:rPr>
      </w:pPr>
      <w:r>
        <w:rPr>
          <w:rFonts w:ascii="Arial" w:cs="Arial" w:eastAsia="Arial" w:hAnsi="Arial"/>
          <w:sz w:val="17"/>
          <w:szCs w:val="17"/>
          <w:color w:val="auto"/>
        </w:rPr>
        <w:t>Cash provided by operating activities for the year ended December 31, 2019 was also impacted by changes in operating assets and liabilities, including increases in accounts payable and accrued expenses of $8.0 million, stemming from increased research and development efforts to advance our product candidates in 2019.</w:t>
      </w:r>
    </w:p>
    <w:p>
      <w:pPr>
        <w:spacing w:after="0" w:line="111" w:lineRule="exact"/>
        <w:rPr>
          <w:sz w:val="20"/>
          <w:szCs w:val="20"/>
          <w:color w:val="auto"/>
        </w:rPr>
      </w:pPr>
    </w:p>
    <w:p>
      <w:pPr>
        <w:jc w:val="both"/>
        <w:ind w:right="40"/>
        <w:spacing w:after="0" w:line="250" w:lineRule="auto"/>
        <w:rPr>
          <w:sz w:val="20"/>
          <w:szCs w:val="20"/>
          <w:color w:val="auto"/>
        </w:rPr>
      </w:pPr>
      <w:r>
        <w:rPr>
          <w:rFonts w:ascii="Arial" w:cs="Arial" w:eastAsia="Arial" w:hAnsi="Arial"/>
          <w:sz w:val="17"/>
          <w:szCs w:val="17"/>
          <w:color w:val="auto"/>
        </w:rPr>
        <w:t>Net cash provided by operating activities for the six months ended June 30, 2019 was $73.8 million, primarily consisting of a decrease of $83.8 million in accounts receivable, primarily from the receipt of upfront payments from Roche and Biogen of $85.0 million, partially offset by our net loss of $14.0 million.</w:t>
      </w:r>
    </w:p>
    <w:p>
      <w:pPr>
        <w:spacing w:after="0" w:line="11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Net cash used in operating activities for the six months ended June 30, 2020 was $31.3 million, primarily consisting of our net loss of $22.7 million, an increase in accounts receivable of $3.9 million primarily related to milestones achieved and invoiced and a decrease in deferred revenue of $4.1 million, due to the recognition of revenue under our collaboration agreements.</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39"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Net cash provided by investing activities for the year ended December 31, 2018 was $36.9 million, attributable to the maturities and sales of marketable securities of $44.6 million, partially offset by the purchase of new marketable securities of $5.0 million and the purchases of property and equipment of $2.7 million.</w:t>
      </w:r>
    </w:p>
    <w:p>
      <w:pPr>
        <w:spacing w:after="0" w:line="11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Net cash used in investing activities for the year ended December 31, 2019 was $1.6 million, attributable to net purchases of property and equipment of $1.3 million and net purchases and sales of marketable securities of $0.3 million.</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Net cash used in investing activities for the six months ended June 30, 2019 was $16.2 million, attributable to the purchase of short-term investments of $14.9 million and net purchases of property and equipment of $1.2 million.</w:t>
      </w:r>
    </w:p>
    <w:p>
      <w:pPr>
        <w:spacing w:after="0" w:line="94" w:lineRule="exact"/>
        <w:rPr>
          <w:sz w:val="20"/>
          <w:szCs w:val="20"/>
          <w:color w:val="auto"/>
        </w:rPr>
      </w:pPr>
    </w:p>
    <w:p>
      <w:pPr>
        <w:ind w:right="940"/>
        <w:spacing w:after="0" w:line="271" w:lineRule="auto"/>
        <w:rPr>
          <w:sz w:val="20"/>
          <w:szCs w:val="20"/>
          <w:color w:val="auto"/>
        </w:rPr>
      </w:pPr>
      <w:r>
        <w:rPr>
          <w:rFonts w:ascii="Arial" w:cs="Arial" w:eastAsia="Arial" w:hAnsi="Arial"/>
          <w:sz w:val="17"/>
          <w:szCs w:val="17"/>
          <w:color w:val="auto"/>
        </w:rPr>
        <w:t>Net cash used in investing activities for the six months ended June 30, 2020 was $104.0 million, attributable to the purchase of short-term investments.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3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Net cash provided by financing activities for the year ended December 31, 2018 was $2.0 million, primarily attributable to the net proceeds received from the issuance of Series A redeemable convertible preferred stock in December 2018, offset by repurchases of common stock issued upon the exercise of stock options of less than $0.1 million.</w:t>
      </w:r>
    </w:p>
    <w:p>
      <w:pPr>
        <w:spacing w:after="0" w:line="119"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Net cash provided by financing activities for the year ended December 31, 2019 was $0.2 million, primarily attributable to $0.3 million from the issuance of common stock in conjunction with the exercise of stock options, offset by repurchases of common stock issued upon the exercise of stock options of less than $0.1 million.</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cash provided by financing activities for the six months ended June 30, 2019 was less than $0.1 million, primarily attributable to the proceeds from the issuance of common stock in conjunction with the exercise of stock options.</w:t>
      </w:r>
    </w:p>
    <w:p>
      <w:pPr>
        <w:spacing w:after="0" w:line="9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Net cash provided by financing activities for the six months ended June 30, 2020 was $152.4 million, primarily attributable to the net proceeds received from the issuance of Series B redeemable convertible preferred stock in June 2020 of $141.0 million and the net proceeds from the issuance of long-term debt of $12.0 million. Net cash provided by financing activities for the six months ended June 30, 2020 is also comprised of repurchases of $0.1 million related to common stock issued upon the exercise of our former Chief Executive Officer’s stock options and $0.8 million related to a settlement with our former Chief Executive Officer related to his vested stock options.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39"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Since our inception, we have incurred significant operating losses. We expect to continue to incur significant expenses and increasing operating losses for the foreseeable future as we advance the preclinical and clinical development of our product candidates. In addition, upon the closing of this offering, we expect to incur additional costs associated with operating as a public company.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454"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Specifically, we anticipate that our expenses will increase substantially in the future, if and as we:</w:t>
      </w:r>
    </w:p>
    <w:p>
      <w:pPr>
        <w:spacing w:after="0" w:line="192" w:lineRule="exact"/>
        <w:rPr>
          <w:sz w:val="20"/>
          <w:szCs w:val="20"/>
          <w:color w:val="auto"/>
        </w:rPr>
      </w:pP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initiate planned first-in-human Phase 1/2 trials of our lead product candidates, CFT7455 and CFT8634;</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Advance additional product candidates into preclinical and clinical development;</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continue to invest in our proprietary TORPEDO platform;</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expand, maintain and protect our intellectual property portfolio;</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hire additional clinical, regulatory and scientific personnel;</w:t>
      </w:r>
    </w:p>
    <w:p>
      <w:pPr>
        <w:spacing w:after="0" w:line="31" w:lineRule="exact"/>
        <w:rPr>
          <w:rFonts w:ascii="MS PGothic" w:cs="MS PGothic" w:eastAsia="MS PGothic" w:hAnsi="MS PGothic"/>
          <w:sz w:val="12"/>
          <w:szCs w:val="12"/>
          <w:color w:val="auto"/>
        </w:rPr>
      </w:pPr>
    </w:p>
    <w:p>
      <w:pPr>
        <w:ind w:left="880" w:right="240" w:hanging="432"/>
        <w:spacing w:after="0" w:line="254" w:lineRule="auto"/>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add operational, financial and management information systems and personnel to support our ongoing research, product development, potential future commercialization efforts, operations as a public company and general and administrative roles;</w:t>
      </w: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seek marketing approvals for any product candidates that successfully complete clinical trials; and</w:t>
      </w:r>
    </w:p>
    <w:p>
      <w:pPr>
        <w:spacing w:after="0" w:line="31" w:lineRule="exact"/>
        <w:rPr>
          <w:rFonts w:ascii="MS PGothic" w:cs="MS PGothic" w:eastAsia="MS PGothic" w:hAnsi="MS PGothic"/>
          <w:sz w:val="12"/>
          <w:szCs w:val="12"/>
          <w:color w:val="auto"/>
        </w:rPr>
      </w:pPr>
    </w:p>
    <w:p>
      <w:pPr>
        <w:ind w:left="880" w:right="280" w:hanging="432"/>
        <w:spacing w:after="0" w:line="269" w:lineRule="auto"/>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ultimately establish a sales, marketing and distribution infrastructure and scale up external manufacturing capabilities to commercialize any products for which we may obtain marketing approval.</w:t>
      </w:r>
    </w:p>
    <w:p>
      <w:pPr>
        <w:spacing w:after="0" w:line="9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believe that our cash and cash equivalents and short-term investments of $211.6 million as of June 30, 2020, combined with the proceeds from the Series B Financing of $4.5 million received in July 2020, anticipated payments from collaboration partners and the proceeds from this offering, will be sufficient to fund our operating expenses and capital expenditure requirements through the second quarter of 2023. We have based this estimate on assumptions that may prove to be wrong, and we could use our capital resources sooner than we currently expect. Our future capital requirements will depend on many factors, including:</w:t>
      </w:r>
    </w:p>
    <w:p>
      <w:pPr>
        <w:spacing w:after="0" w:line="159" w:lineRule="exact"/>
        <w:rPr>
          <w:sz w:val="20"/>
          <w:szCs w:val="20"/>
          <w:color w:val="auto"/>
        </w:rPr>
      </w:pPr>
    </w:p>
    <w:p>
      <w:pPr>
        <w:ind w:left="880" w:right="540" w:hanging="432"/>
        <w:spacing w:after="0" w:line="255" w:lineRule="auto"/>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the progress, costs and results of our planned first-in-human Phase 1/2 trials for our lead product candidates and any future clinical development of those lead product candidates;</w:t>
      </w:r>
    </w:p>
    <w:p>
      <w:pPr>
        <w:spacing w:after="0" w:line="1" w:lineRule="exact"/>
        <w:rPr>
          <w:rFonts w:ascii="MS PGothic" w:cs="MS PGothic" w:eastAsia="MS PGothic" w:hAnsi="MS PGothic"/>
          <w:sz w:val="12"/>
          <w:szCs w:val="12"/>
          <w:color w:val="auto"/>
        </w:rPr>
      </w:pPr>
    </w:p>
    <w:p>
      <w:pPr>
        <w:ind w:left="880" w:hanging="432"/>
        <w:spacing w:after="0"/>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6"/>
          <w:szCs w:val="16"/>
          <w:color w:val="auto"/>
        </w:rPr>
        <w:t>the scope, progress, costs and results of preclinical and clinical development for our other product candidates and development programs;</w:t>
      </w:r>
    </w:p>
    <w:p>
      <w:pPr>
        <w:spacing w:after="0" w:line="43" w:lineRule="exact"/>
        <w:rPr>
          <w:rFonts w:ascii="MS PGothic" w:cs="MS PGothic" w:eastAsia="MS PGothic" w:hAnsi="MS PGothic"/>
          <w:sz w:val="12"/>
          <w:szCs w:val="12"/>
          <w:color w:val="auto"/>
        </w:rPr>
      </w:pPr>
    </w:p>
    <w:p>
      <w:pPr>
        <w:ind w:left="880" w:hanging="432"/>
        <w:spacing w:after="0"/>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the number and development requirements of other product candidates that we pursue;</w:t>
      </w:r>
    </w:p>
    <w:p>
      <w:pPr>
        <w:spacing w:after="0" w:line="31" w:lineRule="exact"/>
        <w:rPr>
          <w:rFonts w:ascii="MS PGothic" w:cs="MS PGothic" w:eastAsia="MS PGothic" w:hAnsi="MS PGothic"/>
          <w:sz w:val="12"/>
          <w:szCs w:val="12"/>
          <w:color w:val="auto"/>
        </w:rPr>
      </w:pPr>
    </w:p>
    <w:p>
      <w:pPr>
        <w:ind w:left="880" w:right="480" w:hanging="432"/>
        <w:spacing w:after="0" w:line="254" w:lineRule="auto"/>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the success of our collaborations with Roche, Biogen and Calico, including whether or not we receive additional research support or milestone payments from our collaboration partners upon the achievement of milestones;</w:t>
      </w:r>
    </w:p>
    <w:p>
      <w:pPr>
        <w:ind w:left="880" w:hanging="432"/>
        <w:spacing w:after="0"/>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the costs, timing and outcome of regulatory review of our product candidates;</w:t>
      </w:r>
    </w:p>
    <w:p>
      <w:pPr>
        <w:spacing w:after="0" w:line="31" w:lineRule="exact"/>
        <w:rPr>
          <w:rFonts w:ascii="MS PGothic" w:cs="MS PGothic" w:eastAsia="MS PGothic" w:hAnsi="MS PGothic"/>
          <w:sz w:val="12"/>
          <w:szCs w:val="12"/>
          <w:color w:val="auto"/>
        </w:rPr>
      </w:pPr>
    </w:p>
    <w:p>
      <w:pPr>
        <w:ind w:left="880" w:right="100" w:hanging="432"/>
        <w:spacing w:after="0" w:line="254" w:lineRule="auto"/>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ind w:left="880" w:right="280" w:hanging="432"/>
        <w:spacing w:after="0" w:line="254" w:lineRule="auto"/>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our willingness and ability to establish additional collaboration arrangements with other biotechnology or pharmaceutical companies on favorable terms, if at all, for the development or commercialization of current or additional future product candidates;</w:t>
      </w:r>
    </w:p>
    <w:p>
      <w:pPr>
        <w:ind w:left="880" w:right="240" w:hanging="432"/>
        <w:spacing w:after="0" w:line="254" w:lineRule="auto"/>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 and</w:t>
      </w:r>
    </w:p>
    <w:p>
      <w:pPr>
        <w:ind w:left="880" w:hanging="432"/>
        <w:spacing w:after="0"/>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the revenue, if any, received from commercial sales of our product candidates for which we receive marketing approval.</w:t>
      </w:r>
    </w:p>
    <w:p>
      <w:pPr>
        <w:spacing w:after="0" w:line="15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As a result of the anticipated expenditures described above, we will need to obtain substantial additional financing in connection with our continuing operations. Until such time, if ever, as we can generate substantial revenue from product sales, we expect to finance our cash needs through a combination of equity offerings, debt offerings, collaborations, strategic alliances and marketing, distribution or licensing arrangements. Although we may receive potential future milestone and royalty payments under our collaborations with Roche, Biogen and Calico, we do not have any committed external source of funds, as of June 30, 2020, other than an additional $7.5 million under our Credit Agreement. Adequate additional funds may not be available to us on acceptable terms, or at all. If we are unable to raise capital when needed or on attractive terms,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2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To the extent that we raise additional capital through the sale of equity securities, each investor’s ownership interest will be diluted, and the terms of these securities may include liquidation or other preferences that adversely affect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454" w:right="3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your rights as a common stockholder. Preferred equity financing, if available, may involve agreements that include covenants limiting or restricting our ability to take specific actions, such as making acquisitions or capital expenditures or declaring dividends.</w:t>
      </w:r>
    </w:p>
    <w:p>
      <w:pPr>
        <w:spacing w:after="0" w:line="94" w:lineRule="exact"/>
        <w:rPr>
          <w:sz w:val="20"/>
          <w:szCs w:val="20"/>
          <w:color w:val="auto"/>
        </w:rPr>
      </w:pPr>
    </w:p>
    <w:p>
      <w:pPr>
        <w:jc w:val="both"/>
        <w:ind w:right="220"/>
        <w:spacing w:after="0" w:line="250"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significant contractual obligations as of June 30,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9"/>
              </w:rPr>
              <w:t>PAYMENTS DUE BY PERIOD</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1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39" w:lineRule="exact"/>
              <w:rPr>
                <w:sz w:val="20"/>
                <w:szCs w:val="20"/>
                <w:color w:val="auto"/>
              </w:rPr>
            </w:pPr>
            <w:r>
              <w:rPr>
                <w:rFonts w:ascii="Arial" w:cs="Arial" w:eastAsia="Arial" w:hAnsi="Arial"/>
                <w:sz w:val="14"/>
                <w:szCs w:val="14"/>
                <w:b w:val="1"/>
                <w:bCs w:val="1"/>
                <w:color w:val="auto"/>
              </w:rPr>
              <w:t>1TO3</w:t>
            </w:r>
          </w:p>
        </w:tc>
        <w:tc>
          <w:tcPr>
            <w:tcW w:w="740" w:type="dxa"/>
            <w:vAlign w:val="bottom"/>
            <w:gridSpan w:val="2"/>
          </w:tcPr>
          <w:p>
            <w:pPr>
              <w:jc w:val="right"/>
              <w:ind w:right="240"/>
              <w:spacing w:after="0" w:line="139" w:lineRule="exact"/>
              <w:rPr>
                <w:sz w:val="20"/>
                <w:szCs w:val="20"/>
                <w:color w:val="auto"/>
              </w:rPr>
            </w:pPr>
            <w:r>
              <w:rPr>
                <w:rFonts w:ascii="Arial" w:cs="Arial" w:eastAsia="Arial" w:hAnsi="Arial"/>
                <w:sz w:val="14"/>
                <w:szCs w:val="14"/>
                <w:b w:val="1"/>
                <w:bCs w:val="1"/>
                <w:color w:val="auto"/>
              </w:rPr>
              <w:t>4TO5</w:t>
            </w:r>
          </w:p>
        </w:tc>
        <w:tc>
          <w:tcPr>
            <w:tcW w:w="180" w:type="dxa"/>
            <w:vAlign w:val="bottom"/>
          </w:tcPr>
          <w:p>
            <w:pPr>
              <w:spacing w:after="0"/>
              <w:rPr>
                <w:sz w:val="12"/>
                <w:szCs w:val="12"/>
                <w:color w:val="auto"/>
              </w:rPr>
            </w:pPr>
          </w:p>
        </w:tc>
        <w:tc>
          <w:tcPr>
            <w:tcW w:w="8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9"/>
              </w:rPr>
              <w:t>MORE THAN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9"/>
              </w:rPr>
              <w:t>YEARS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1"/>
        </w:trPr>
        <w:tc>
          <w:tcPr>
            <w:tcW w:w="43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 xml:space="preserve">Operating lease commitments </w:t>
            </w:r>
            <w:r>
              <w:rPr>
                <w:rFonts w:ascii="Arial" w:cs="Arial" w:eastAsia="Arial" w:hAnsi="Arial"/>
                <w:sz w:val="14"/>
                <w:szCs w:val="14"/>
                <w:color w:val="auto"/>
              </w:rPr>
              <w:t>(1)</w:t>
            </w:r>
          </w:p>
        </w:tc>
        <w:tc>
          <w:tcPr>
            <w:tcW w:w="18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97"/>
              </w:rPr>
              <w:t>$19,440</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2,239</w:t>
            </w: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4,681</w:t>
            </w:r>
          </w:p>
        </w:tc>
        <w:tc>
          <w:tcPr>
            <w:tcW w:w="3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99"/>
              </w:rPr>
              <w:t>$4,966</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7,554</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7" w:lineRule="exact"/>
              <w:rPr>
                <w:sz w:val="20"/>
                <w:szCs w:val="20"/>
                <w:color w:val="auto"/>
              </w:rPr>
            </w:pPr>
            <w:r>
              <w:rPr>
                <w:rFonts w:ascii="Arial" w:cs="Arial" w:eastAsia="Arial" w:hAnsi="Arial"/>
                <w:sz w:val="17"/>
                <w:szCs w:val="17"/>
                <w:color w:val="auto"/>
              </w:rPr>
              <w:t>Long-term debt</w:t>
            </w:r>
          </w:p>
        </w:tc>
        <w:tc>
          <w:tcPr>
            <w:tcW w:w="1880" w:type="dxa"/>
            <w:vAlign w:val="bottom"/>
          </w:tcPr>
          <w:p>
            <w:pPr>
              <w:spacing w:after="0"/>
              <w:rPr>
                <w:sz w:val="16"/>
                <w:szCs w:val="16"/>
                <w:color w:val="auto"/>
              </w:rPr>
            </w:pPr>
          </w:p>
        </w:tc>
        <w:tc>
          <w:tcPr>
            <w:tcW w:w="80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12,500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w w:val="99"/>
              </w:rPr>
              <w:t>12,500</w:t>
            </w:r>
          </w:p>
        </w:tc>
        <w:tc>
          <w:tcPr>
            <w:tcW w:w="74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Total</w:t>
            </w:r>
          </w:p>
        </w:tc>
        <w:tc>
          <w:tcPr>
            <w:tcW w:w="2680" w:type="dxa"/>
            <w:vAlign w:val="bottom"/>
            <w:gridSpan w:val="3"/>
            <w:shd w:val="clear" w:color="auto" w:fill="CCEEFF"/>
          </w:tcPr>
          <w:p>
            <w:pPr>
              <w:jc w:val="right"/>
              <w:ind w:right="180"/>
              <w:spacing w:after="0" w:line="187"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31,940</w:t>
            </w:r>
          </w:p>
        </w:tc>
        <w:tc>
          <w:tcPr>
            <w:tcW w:w="320" w:type="dxa"/>
            <w:vAlign w:val="bottom"/>
            <w:gridSpan w:val="2"/>
            <w:shd w:val="clear" w:color="auto" w:fill="CCEEFF"/>
          </w:tcPr>
          <w:p>
            <w:pPr>
              <w:ind w:left="200"/>
              <w:spacing w:after="0" w:line="187"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2,239</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u w:val="single" w:color="auto"/>
                <w:color w:val="auto"/>
                <w:w w:val="84"/>
              </w:rPr>
              <w:t>$</w:t>
            </w:r>
          </w:p>
        </w:tc>
        <w:tc>
          <w:tcPr>
            <w:tcW w:w="90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w w:val="99"/>
              </w:rPr>
              <w:t>17,181</w:t>
            </w: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4,966</w:t>
            </w:r>
          </w:p>
        </w:tc>
        <w:tc>
          <w:tcPr>
            <w:tcW w:w="300" w:type="dxa"/>
            <w:vAlign w:val="bottom"/>
            <w:gridSpan w:val="2"/>
            <w:shd w:val="clear" w:color="auto" w:fill="CCEEFF"/>
          </w:tcPr>
          <w:p>
            <w:pPr>
              <w:ind w:left="180"/>
              <w:spacing w:after="0" w:line="187"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7,554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65" w:lineRule="exact"/>
        <w:rPr>
          <w:sz w:val="20"/>
          <w:szCs w:val="20"/>
          <w:color w:val="auto"/>
        </w:rPr>
      </w:pPr>
    </w:p>
    <w:p>
      <w:pPr>
        <w:ind w:left="440" w:hanging="246"/>
        <w:spacing w:after="0"/>
        <w:tabs>
          <w:tab w:leader="none" w:pos="4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Represents future minimum lease payments under our operating leases and equipment for office and lab space in Watertown, Massachusetts that expires in April 2028.</w:t>
      </w:r>
    </w:p>
    <w:p>
      <w:pPr>
        <w:spacing w:after="0" w:line="1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enter into contracts in the normal course of business with third-party CROs for clinical trials, preclinical studies, manufacturing and other services and products for operating purposes. These contracts generally provide for termination following a certain period after notice and therefore we believe that our non-cancelable obligations under these agreements are not material and they are not included in the table above. We have not included milestone or royalty payments or other contractual payment obligations in the table above if the timing and amount of such obligations are unknown or uncertain.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57"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revenues,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21"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at the end of this prospectus, we believe that our policy for recognizing revenue associated with our collaboration agreements is the most critical to the judgments and estimates used in the preparation of our consolidated financial statements.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 from Contracts</w:t>
      </w:r>
    </w:p>
    <w:p>
      <w:pPr>
        <w:spacing w:after="0" w:line="40" w:lineRule="exact"/>
        <w:rPr>
          <w:sz w:val="20"/>
          <w:szCs w:val="20"/>
          <w:color w:val="auto"/>
        </w:rPr>
      </w:pPr>
    </w:p>
    <w:p>
      <w:pPr>
        <w:ind w:right="600"/>
        <w:spacing w:after="0" w:line="259" w:lineRule="auto"/>
        <w:rPr>
          <w:sz w:val="20"/>
          <w:szCs w:val="20"/>
          <w:color w:val="auto"/>
        </w:rPr>
      </w:pPr>
      <w:r>
        <w:rPr>
          <w:rFonts w:ascii="Arial" w:cs="Arial" w:eastAsia="Arial" w:hAnsi="Arial"/>
          <w:sz w:val="17"/>
          <w:szCs w:val="17"/>
          <w:color w:val="auto"/>
        </w:rPr>
        <w:t xml:space="preserve">As discussed in Note 2 to our consolidated audited financial statements appearing at the end of this prospectus, we account for our revenue in accordance with Accounting Standards Codification,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0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Our revenue is generated through research collaboration and license agreements with pharmaceutical partners. The terms of these agreements contain multiple goods and services which may include (i) licenses, (ii) research and development activities and (iii) participation in joint research and development steering committees. The terms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454"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these agreements may include non-refundable upfront license or option fees, payments for research and development activities, payments upon the achievement of certain milestones and royalty payments based on product sales derived from the collaboration. Under ASC 606, we evaluate whether the license agreement, research and development services and participation in research and development steering committees, represent separate or combined performance obligations.</w:t>
      </w:r>
    </w:p>
    <w:p>
      <w:pPr>
        <w:spacing w:after="0" w:line="118"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research collaboration and license agreements typically include contingent milestone payments related to specified preclinical and clinical development milestones and regulatory milestones. These milestone payments represent variable consideration that are not initially recognized within the transaction price as they are fully constrained under the guidance in ASC 606. We will continue to assess the probability of significant reversals for any amounts that become likely to be realized prior to recognizing the variable consideration associated with these payments within the transaction price.</w:t>
      </w:r>
    </w:p>
    <w:p>
      <w:pPr>
        <w:spacing w:after="0" w:line="119"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Revenue is recognized over our expected performance period under each respective arrangement. We make our best estimate of the period over which we expect to fulfill our performance obligations, which includes access to technology through the license agreement and research activities. Given the uncertainties of these collaboration arrangements, significant judgment is required to determine the duration of and estimated costs to be incurred during the performance period.</w:t>
      </w:r>
    </w:p>
    <w:p>
      <w:pPr>
        <w:spacing w:after="0" w:line="118"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For the years ended December 31, 2018 and 2019 and the six months ended June 30, 2019 and 2020, we recognized revenues under the Biogen Agreement and Calico Agreement by allocating the transaction price to a single combined performance obligation for each. For the Biogen Agreement, we recognized the transaction price over the estimated performance period, which was determined to be the contractual term, using an input method according to costs incurred as related to the research and development activities and the costs expected to be incurred in the future to satisfy the performance obligation. For the Calico Agreement, we amortized the upfront fee received on a straight-line basis over the period services are available to the counterparty (i.e. the contractual term). Straight-line amortization of the upfront payment was considered the best measure of progress because the customer has access to research and development services throughout the period. Incremental fees for research and development services are paid at agreed upon full-time equivalent employee rates and recognized in the period incurred. For the arrangement with Roche, we identified twelve performance obligations, including three research services performance obligations, six material rights for the options to purchase a commercial license for six targets and three material rights for the option to initiate research services for the uninitiated three targets as of the outset of the arrangement. We allocated the total consideration for the identified performance obligations utilizing an expected cost plus a margin approach based on our estimate of the expected costs to fulfill the performance obligations. We recognize revenue for six of our performance obligations, representing a combined license and services deliverable, based on an input method, according to costs incurred as related to the research and development activities for each individual program and the costs expected to be incurred in the future to satisfy the performance obligation, as the costs under the arrangement were not expected to be incurred ratably and the agreement has no defined term. Revenue allocated to the remaining six performance obligations stemming from material rights is deferred until Roche exercises the underlying option or the option expires.</w:t>
      </w:r>
    </w:p>
    <w:p>
      <w:pPr>
        <w:spacing w:after="0" w:line="13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contracts may also call for certain sales-based milestone and royalty payments upon successful commercialization of a target. In accordance with ASC 606, we recognize revenues from sales-based milestone and royalty payments at the later of (i) the occurrence of the subsequent sale; or (ii) the performance obligation to which some or all of the sales-based milestone or royalty payments has been allocated has been satisfied (or partially satisfied). We anticipate recognizing these milestone and royalty payments if and when subsequent sales are generated by the licensee from the use of the technology. To date, no revenue from these sales-based milestone and royalty payments has been received or recognized for any periods.</w:t>
      </w:r>
    </w:p>
    <w:p>
      <w:pPr>
        <w:spacing w:after="0" w:line="108"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Amounts received prior to satisfying the above revenue recognition criteria are recorded as a contract liability in our accompanying consolidated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3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account for all stock-based compensation awards granted to employees and non-employees as stock-based compensation expense at fair value. Our stock-based payments include stock options and grants of common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40"/>
          </w:cols>
          <w:pgMar w:left="320" w:top="454"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including common stock subject to vesting. The measurement date for awards is the date of grant, and stock-based compensation costs are recognized as expense over the requisite service period, which is generally the vesting period, on a straight-line basis. Stock-based compensation expense is classified in the accompanying statements of operations based on the function to which the related services are provided. We recognize stock-based compensation expense for the portion of awards that have vested. Forfeitures are recorded as they occur. The fair value of each stock option grant is estimated on the date of grant using the Black-Scholes option-pricing model. The Black-Scholes option pricing model includes various assumptions, including the expected life of award, the expected volatility and the expected risk-free interest rate. The fair value of the underlying common stock represents the exercise price utilized in the Black-Scholes option pricing model. These assumptions reflect our best estimates, but they involve inherent uncertainties based on market conditions generally outside our control. As a result, if other assumptions had been used, stock-based compensation cost could have been materially impacted. Furthermore, if we use different assumptions for future grants, stock-based compensation cost could be materially impacted in future periods.</w:t>
      </w:r>
    </w:p>
    <w:p>
      <w:pPr>
        <w:spacing w:after="0" w:line="11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As there has been no public market for our common stock to date, the estimated fair value of our common stock has been determined by our board of directors as of the date of each stock award, with input from management, considering our most recently available third-party valuations of common stock. Valuations are updated when facts and circumstances indicate that the most recent valuation is no longer valid, such as changes in the stage of our development efforts, various exit strategies and their timing, and other scientific developments that could be related to the valuation of our company or, at a minimum, annually.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Our common stock valuations in 2018 and 2019 were prepared using a market approach, specifically the guideline public company method, which “back-solves” to a common stock price. We allocated equity value to our common stock and shares of our redeemable convertible preferred stock, using either an option-pricing method, or OPM, or a hybrid method, which is a hybrid between the OPM and the probability-weighted expected return method. The hybrid method estimates the probability-weighted value across multiple scenarios. In addition to the OPM, the hybrid method considers liquidity scenarios in which the shares of our redeemable convertible preferred stock are assumed to convert into common stock. The future value of the common stock in the applicable scenario is discounted back to the valuation date at an appropriate risk-adjusted discount rate. In the hybrid method, the present value indicated for each scenario is probability-weighted to arrive at an indication of value for the common stock.</w:t>
      </w:r>
    </w:p>
    <w:p>
      <w:pPr>
        <w:spacing w:after="0" w:line="12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board of directors determined the fair market value of our common stock to be $4.90 as of May 31, 2018, $6.50 as of December 31, 2018, $6.67 as of September 30, 2019 and $4.98 as of June 5, 2020. The reduction in fair market value of our common stock as of June 5, 2020 was primarily due to the dilution attributable to the Series B Financing. Fair value estimates of our common stock will no longer be necessary to determine the fair value of new equity awards once our common stock begins trading in the public market.</w:t>
      </w:r>
    </w:p>
    <w:p>
      <w:pPr>
        <w:spacing w:after="0" w:line="118" w:lineRule="exact"/>
        <w:rPr>
          <w:sz w:val="20"/>
          <w:szCs w:val="20"/>
          <w:color w:val="auto"/>
        </w:rPr>
      </w:pPr>
    </w:p>
    <w:p>
      <w:pPr>
        <w:ind w:right="600"/>
        <w:spacing w:after="0" w:line="271" w:lineRule="auto"/>
        <w:rPr>
          <w:sz w:val="20"/>
          <w:szCs w:val="20"/>
          <w:color w:val="auto"/>
        </w:rPr>
      </w:pPr>
      <w:r>
        <w:rPr>
          <w:rFonts w:ascii="Arial" w:cs="Arial" w:eastAsia="Arial" w:hAnsi="Arial"/>
          <w:sz w:val="17"/>
          <w:szCs w:val="17"/>
          <w:color w:val="auto"/>
        </w:rPr>
        <w:t>The following table sets forth, by grant date, the number of shares subject to options granted from January 1, 2019 through June 30, 2020, the exercise price per share of the options, the fair value per share on each grant date and the estimated per share fair value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OF SHARES OF</w:t>
            </w:r>
          </w:p>
        </w:tc>
        <w:tc>
          <w:tcPr>
            <w:tcW w:w="360" w:type="dxa"/>
            <w:vAlign w:val="bottom"/>
          </w:tcPr>
          <w:p>
            <w:pPr>
              <w:spacing w:after="0"/>
              <w:rPr>
                <w:sz w:val="14"/>
                <w:szCs w:val="14"/>
                <w:color w:val="auto"/>
              </w:rPr>
            </w:pPr>
          </w:p>
        </w:tc>
        <w:tc>
          <w:tcPr>
            <w:tcW w:w="190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0"/>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2260" w:type="dxa"/>
            <w:vAlign w:val="bottom"/>
            <w:vMerge w:val="restart"/>
          </w:tcPr>
          <w:p>
            <w:pPr>
              <w:spacing w:after="0"/>
              <w:rPr>
                <w:sz w:val="13"/>
                <w:szCs w:val="13"/>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COMMON STOCK SUBJECT</w:t>
            </w:r>
          </w:p>
        </w:tc>
        <w:tc>
          <w:tcPr>
            <w:tcW w:w="360" w:type="dxa"/>
            <w:vAlign w:val="bottom"/>
          </w:tcPr>
          <w:p>
            <w:pPr>
              <w:spacing w:after="0"/>
              <w:rPr>
                <w:sz w:val="13"/>
                <w:szCs w:val="13"/>
                <w:color w:val="auto"/>
              </w:rPr>
            </w:pPr>
          </w:p>
        </w:tc>
        <w:tc>
          <w:tcPr>
            <w:tcW w:w="1900" w:type="dxa"/>
            <w:vAlign w:val="bottom"/>
            <w:gridSpan w:val="3"/>
            <w:vMerge w:val="continue"/>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PER SHARE AT</w:t>
            </w:r>
          </w:p>
        </w:tc>
        <w:tc>
          <w:tcPr>
            <w:tcW w:w="34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PER-SHARE FAIR VALUE</w:t>
            </w:r>
          </w:p>
        </w:tc>
        <w:tc>
          <w:tcPr>
            <w:tcW w:w="0" w:type="dxa"/>
            <w:vAlign w:val="bottom"/>
          </w:tcPr>
          <w:p>
            <w:pPr>
              <w:spacing w:after="0"/>
              <w:rPr>
                <w:sz w:val="1"/>
                <w:szCs w:val="1"/>
                <w:color w:val="auto"/>
              </w:rPr>
            </w:pPr>
          </w:p>
        </w:tc>
      </w:tr>
      <w:tr>
        <w:trPr>
          <w:trHeight w:val="182"/>
        </w:trPr>
        <w:tc>
          <w:tcPr>
            <w:tcW w:w="94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 OPTIONS GRANTED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GRANT DATE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OF OPTIONS</w:t>
            </w:r>
          </w:p>
        </w:tc>
        <w:tc>
          <w:tcPr>
            <w:tcW w:w="0" w:type="dxa"/>
            <w:vAlign w:val="bottom"/>
          </w:tcPr>
          <w:p>
            <w:pPr>
              <w:spacing w:after="0"/>
              <w:rPr>
                <w:sz w:val="1"/>
                <w:szCs w:val="1"/>
                <w:color w:val="auto"/>
              </w:rPr>
            </w:pPr>
          </w:p>
        </w:tc>
      </w:tr>
      <w:tr>
        <w:trPr>
          <w:trHeight w:val="174"/>
        </w:trPr>
        <w:tc>
          <w:tcPr>
            <w:tcW w:w="3200" w:type="dxa"/>
            <w:vAlign w:val="bottom"/>
            <w:tcBorders>
              <w:top w:val="single" w:sz="8" w:color="CCEEFF"/>
            </w:tcBorders>
            <w:gridSpan w:val="2"/>
            <w:shd w:val="clear" w:color="auto" w:fill="CCEEFF"/>
          </w:tcPr>
          <w:p>
            <w:pPr>
              <w:spacing w:after="0" w:line="174" w:lineRule="exact"/>
              <w:rPr>
                <w:sz w:val="20"/>
                <w:szCs w:val="20"/>
                <w:color w:val="auto"/>
              </w:rPr>
            </w:pPr>
            <w:r>
              <w:rPr>
                <w:rFonts w:ascii="Arial" w:cs="Arial" w:eastAsia="Arial" w:hAnsi="Arial"/>
                <w:sz w:val="17"/>
                <w:szCs w:val="17"/>
                <w:color w:val="auto"/>
              </w:rPr>
              <w:t>April 9, 2019</w:t>
            </w:r>
          </w:p>
        </w:tc>
        <w:tc>
          <w:tcPr>
            <w:tcW w:w="192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488,123</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6.50</w:t>
            </w: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4" w:lineRule="exact"/>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ind w:left="620"/>
              <w:spacing w:after="0" w:line="174" w:lineRule="exact"/>
              <w:rPr>
                <w:sz w:val="20"/>
                <w:szCs w:val="20"/>
                <w:color w:val="auto"/>
              </w:rPr>
            </w:pPr>
            <w:r>
              <w:rPr>
                <w:rFonts w:ascii="Arial" w:cs="Arial" w:eastAsia="Arial" w:hAnsi="Arial"/>
                <w:sz w:val="17"/>
                <w:szCs w:val="17"/>
                <w:color w:val="auto"/>
                <w:w w:val="90"/>
              </w:rPr>
              <w:t>6.50</w:t>
            </w:r>
          </w:p>
        </w:tc>
        <w:tc>
          <w:tcPr>
            <w:tcW w:w="3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4" w:lineRule="exact"/>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shd w:val="clear" w:color="auto" w:fill="CCEEFF"/>
          </w:tcPr>
          <w:p>
            <w:pPr>
              <w:ind w:left="1140"/>
              <w:spacing w:after="0" w:line="174" w:lineRule="exact"/>
              <w:rPr>
                <w:sz w:val="20"/>
                <w:szCs w:val="20"/>
                <w:color w:val="auto"/>
              </w:rPr>
            </w:pPr>
            <w:r>
              <w:rPr>
                <w:rFonts w:ascii="Arial" w:cs="Arial" w:eastAsia="Arial" w:hAnsi="Arial"/>
                <w:sz w:val="17"/>
                <w:szCs w:val="17"/>
                <w:color w:val="auto"/>
                <w:w w:val="90"/>
              </w:rPr>
              <w:t>4.05</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00" w:type="dxa"/>
            <w:vAlign w:val="bottom"/>
            <w:gridSpan w:val="2"/>
          </w:tcPr>
          <w:p>
            <w:pPr>
              <w:spacing w:after="0" w:line="187" w:lineRule="exact"/>
              <w:rPr>
                <w:sz w:val="20"/>
                <w:szCs w:val="20"/>
                <w:color w:val="auto"/>
              </w:rPr>
            </w:pPr>
            <w:r>
              <w:rPr>
                <w:rFonts w:ascii="Arial" w:cs="Arial" w:eastAsia="Arial" w:hAnsi="Arial"/>
                <w:sz w:val="17"/>
                <w:szCs w:val="17"/>
                <w:color w:val="auto"/>
              </w:rPr>
              <w:t>July 17, 2019</w:t>
            </w:r>
          </w:p>
        </w:tc>
        <w:tc>
          <w:tcPr>
            <w:tcW w:w="2260" w:type="dxa"/>
            <w:vAlign w:val="bottom"/>
            <w:gridSpan w:val="2"/>
          </w:tcPr>
          <w:p>
            <w:pPr>
              <w:jc w:val="right"/>
              <w:ind w:right="340"/>
              <w:spacing w:after="0" w:line="187" w:lineRule="exact"/>
              <w:rPr>
                <w:sz w:val="20"/>
                <w:szCs w:val="20"/>
                <w:color w:val="auto"/>
              </w:rPr>
            </w:pPr>
            <w:r>
              <w:rPr>
                <w:rFonts w:ascii="Arial" w:cs="Arial" w:eastAsia="Arial" w:hAnsi="Arial"/>
                <w:sz w:val="17"/>
                <w:szCs w:val="17"/>
                <w:color w:val="auto"/>
              </w:rPr>
              <w:t>368,296</w:t>
            </w:r>
          </w:p>
        </w:tc>
        <w:tc>
          <w:tcPr>
            <w:tcW w:w="50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700"/>
              <w:spacing w:after="0" w:line="187" w:lineRule="exact"/>
              <w:rPr>
                <w:sz w:val="20"/>
                <w:szCs w:val="20"/>
                <w:color w:val="auto"/>
              </w:rPr>
            </w:pPr>
            <w:r>
              <w:rPr>
                <w:rFonts w:ascii="Arial" w:cs="Arial" w:eastAsia="Arial" w:hAnsi="Arial"/>
                <w:sz w:val="17"/>
                <w:szCs w:val="17"/>
                <w:color w:val="auto"/>
              </w:rPr>
              <w:t>6.50</w:t>
            </w:r>
          </w:p>
        </w:tc>
        <w:tc>
          <w:tcPr>
            <w:tcW w:w="100" w:type="dxa"/>
            <w:vAlign w:val="bottom"/>
          </w:tcPr>
          <w:p>
            <w:pPr>
              <w:spacing w:after="0" w:line="187" w:lineRule="exact"/>
              <w:rPr>
                <w:sz w:val="20"/>
                <w:szCs w:val="20"/>
                <w:color w:val="auto"/>
              </w:rPr>
            </w:pPr>
            <w:r>
              <w:rPr>
                <w:rFonts w:ascii="Arial" w:cs="Arial" w:eastAsia="Arial" w:hAnsi="Arial"/>
                <w:sz w:val="17"/>
                <w:szCs w:val="17"/>
                <w:color w:val="auto"/>
                <w:w w:val="84"/>
              </w:rPr>
              <w:t>$</w:t>
            </w:r>
          </w:p>
        </w:tc>
        <w:tc>
          <w:tcPr>
            <w:tcW w:w="1300" w:type="dxa"/>
            <w:vAlign w:val="bottom"/>
            <w:gridSpan w:val="2"/>
          </w:tcPr>
          <w:p>
            <w:pPr>
              <w:ind w:left="620"/>
              <w:spacing w:after="0" w:line="187" w:lineRule="exact"/>
              <w:rPr>
                <w:sz w:val="20"/>
                <w:szCs w:val="20"/>
                <w:color w:val="auto"/>
              </w:rPr>
            </w:pPr>
            <w:r>
              <w:rPr>
                <w:rFonts w:ascii="Arial" w:cs="Arial" w:eastAsia="Arial" w:hAnsi="Arial"/>
                <w:sz w:val="17"/>
                <w:szCs w:val="17"/>
                <w:color w:val="auto"/>
              </w:rPr>
              <w:t>6.50</w:t>
            </w:r>
          </w:p>
        </w:tc>
        <w:tc>
          <w:tcPr>
            <w:tcW w:w="600" w:type="dxa"/>
            <w:vAlign w:val="bottom"/>
            <w:gridSpan w:val="2"/>
          </w:tcPr>
          <w:p>
            <w:pPr>
              <w:ind w:left="340"/>
              <w:spacing w:after="0" w:line="187" w:lineRule="exact"/>
              <w:rPr>
                <w:sz w:val="20"/>
                <w:szCs w:val="20"/>
                <w:color w:val="auto"/>
              </w:rPr>
            </w:pPr>
            <w:r>
              <w:rPr>
                <w:rFonts w:ascii="Arial" w:cs="Arial" w:eastAsia="Arial" w:hAnsi="Arial"/>
                <w:sz w:val="17"/>
                <w:szCs w:val="17"/>
                <w:color w:val="auto"/>
              </w:rPr>
              <w:t>$</w:t>
            </w:r>
          </w:p>
        </w:tc>
        <w:tc>
          <w:tcPr>
            <w:tcW w:w="1520" w:type="dxa"/>
            <w:vAlign w:val="bottom"/>
            <w:gridSpan w:val="2"/>
          </w:tcPr>
          <w:p>
            <w:pPr>
              <w:ind w:left="1140"/>
              <w:spacing w:after="0" w:line="187" w:lineRule="exact"/>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187"/>
        </w:trPr>
        <w:tc>
          <w:tcPr>
            <w:tcW w:w="32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July 17, 2019</w:t>
            </w:r>
          </w:p>
        </w:tc>
        <w:tc>
          <w:tcPr>
            <w:tcW w:w="226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172,292</w:t>
            </w:r>
          </w:p>
        </w:tc>
        <w:tc>
          <w:tcPr>
            <w:tcW w:w="50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700"/>
              <w:spacing w:after="0" w:line="187" w:lineRule="exact"/>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620"/>
              <w:spacing w:after="0" w:line="187" w:lineRule="exact"/>
              <w:rPr>
                <w:sz w:val="20"/>
                <w:szCs w:val="20"/>
                <w:color w:val="auto"/>
              </w:rPr>
            </w:pPr>
            <w:r>
              <w:rPr>
                <w:rFonts w:ascii="Arial" w:cs="Arial" w:eastAsia="Arial" w:hAnsi="Arial"/>
                <w:sz w:val="17"/>
                <w:szCs w:val="17"/>
                <w:color w:val="auto"/>
              </w:rPr>
              <w:t>6.50</w:t>
            </w:r>
          </w:p>
        </w:tc>
        <w:tc>
          <w:tcPr>
            <w:tcW w:w="600" w:type="dxa"/>
            <w:vAlign w:val="bottom"/>
            <w:gridSpan w:val="2"/>
            <w:shd w:val="clear" w:color="auto" w:fill="CCEEFF"/>
          </w:tcPr>
          <w:p>
            <w:pPr>
              <w:ind w:left="340"/>
              <w:spacing w:after="0" w:line="187"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ind w:left="1140"/>
              <w:spacing w:after="0" w:line="187" w:lineRule="exact"/>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29"/>
        </w:trPr>
        <w:tc>
          <w:tcPr>
            <w:tcW w:w="3200" w:type="dxa"/>
            <w:vAlign w:val="bottom"/>
            <w:gridSpan w:val="2"/>
          </w:tcPr>
          <w:p>
            <w:pPr>
              <w:spacing w:after="0"/>
              <w:rPr>
                <w:sz w:val="20"/>
                <w:szCs w:val="20"/>
                <w:color w:val="auto"/>
              </w:rPr>
            </w:pPr>
            <w:r>
              <w:rPr>
                <w:rFonts w:ascii="Arial" w:cs="Arial" w:eastAsia="Arial" w:hAnsi="Arial"/>
                <w:sz w:val="17"/>
                <w:szCs w:val="17"/>
                <w:color w:val="auto"/>
              </w:rPr>
              <w:t>December 4, 2019</w:t>
            </w:r>
          </w:p>
        </w:tc>
        <w:tc>
          <w:tcPr>
            <w:tcW w:w="2260" w:type="dxa"/>
            <w:vAlign w:val="bottom"/>
            <w:gridSpan w:val="2"/>
          </w:tcPr>
          <w:p>
            <w:pPr>
              <w:jc w:val="right"/>
              <w:ind w:right="340"/>
              <w:spacing w:after="0"/>
              <w:rPr>
                <w:sz w:val="20"/>
                <w:szCs w:val="20"/>
                <w:color w:val="auto"/>
              </w:rPr>
            </w:pPr>
            <w:r>
              <w:rPr>
                <w:rFonts w:ascii="Arial" w:cs="Arial" w:eastAsia="Arial" w:hAnsi="Arial"/>
                <w:sz w:val="17"/>
                <w:szCs w:val="17"/>
                <w:color w:val="auto"/>
              </w:rPr>
              <w:t>42,327</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700"/>
              <w:spacing w:after="0"/>
              <w:rPr>
                <w:sz w:val="20"/>
                <w:szCs w:val="20"/>
                <w:color w:val="auto"/>
              </w:rPr>
            </w:pPr>
            <w:r>
              <w:rPr>
                <w:rFonts w:ascii="Arial" w:cs="Arial" w:eastAsia="Arial" w:hAnsi="Arial"/>
                <w:sz w:val="17"/>
                <w:szCs w:val="17"/>
                <w:color w:val="auto"/>
              </w:rPr>
              <w:t>6.67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ind w:left="620"/>
              <w:spacing w:after="0"/>
              <w:rPr>
                <w:sz w:val="20"/>
                <w:szCs w:val="20"/>
                <w:color w:val="auto"/>
              </w:rPr>
            </w:pPr>
            <w:r>
              <w:rPr>
                <w:rFonts w:ascii="Arial" w:cs="Arial" w:eastAsia="Arial" w:hAnsi="Arial"/>
                <w:sz w:val="17"/>
                <w:szCs w:val="17"/>
                <w:color w:val="auto"/>
              </w:rPr>
              <w:t>6.67</w:t>
            </w:r>
          </w:p>
        </w:tc>
        <w:tc>
          <w:tcPr>
            <w:tcW w:w="6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ind w:left="1140"/>
              <w:spacing w:after="0"/>
              <w:rPr>
                <w:sz w:val="20"/>
                <w:szCs w:val="20"/>
                <w:color w:val="auto"/>
              </w:rPr>
            </w:pPr>
            <w:r>
              <w:rPr>
                <w:rFonts w:ascii="Arial" w:cs="Arial" w:eastAsia="Arial" w:hAnsi="Arial"/>
                <w:sz w:val="17"/>
                <w:szCs w:val="17"/>
                <w:color w:val="auto"/>
              </w:rPr>
              <w:t>4.55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1335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9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July 3, 2020, July 9, 2020 and July 23, 2020, we granted options to purchase an aggregate of 1,467,424 shares at an exercise price of $4.98 per share, which represented fair value per share as of the grant date.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40"/>
          </w:cols>
          <w:pgMar w:left="320" w:top="454"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new accounting standards, see Note 2 to our consolidated audited financial statements appearing at the end of this prospectus.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We have not entered into any off-balance sheet arrangements and do not have any holdings in variable interest entities.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preparation of our consolidated financial statements to meet the requirements of this offering, we determined that a material weakness in our internal control over financial reporting existed as of December 31, 2019. The material weakness identified in our internal control over financial reporting arose because we did not maintain effective segregation of duties in the process and recording of journal entries. We are taking measures to remediate the material weakness during 2020, including engaging system controls that prevent one person from initiating and approving the same journal entry. However, we cannot assure you that these measures will be sufficient to prevent future material weaknesses or significant deficiencies in our internal control over financial reporting from occurring. See “Risk Factors—</w:t>
      </w:r>
      <w:r>
        <w:rPr>
          <w:rFonts w:ascii="Arial" w:cs="Arial" w:eastAsia="Arial" w:hAnsi="Arial"/>
          <w:sz w:val="17"/>
          <w:szCs w:val="17"/>
          <w:i w:val="1"/>
          <w:iCs w:val="1"/>
          <w:color w:val="auto"/>
        </w:rPr>
        <w:t>We will incur increased costs as a result of operating as a public</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and our management will be required to devote substantial time to new compliance initiatives and corporate governance practices</w:t>
      </w:r>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5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Our interest-earning assets consist of cash and cash equivalents and short-term investments. Interest income earned on these assets was $0.6 million and $1.8 million for the years ended December 31, 2018 and 2019, respectively, and $0.9 million and $0.3 million for the six months ended June 30, 2019 and 2020, respectively. Our interest income is sensitive to changes in the general level of interest rates, primarily U.S. interest rates. At December 31, 2019, our cash equivalents consisted of bank deposits and money market funds. We did not hold any marketable securities as of December 31, 2018 or 2019, but we made purchases and sales of marketable securities during both periods that included interest-earning securities. As of June 30, 2020, we had marketable securities of $103.9 million which consisted entirely of government-backed securities. These interest-earning instruments carry a degree of interest rate risk; however, historical fluctuations in interest income have not been significant for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57"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As an “emerging growth company,” the JOBS Act allows us to delay adoption of new or revised accounting standards applicable to public companies until such standards are made applicable to private companies. We have elected to avail ourselves of this extended transition period for complying with new or revised accounting standards until the earlier of the date that we (i) are no longer an emerging growth company or (ii) affirmatively and irrevocably opt out of this extended transition period. Accordingly, the information contained herein may be different from the information you receive from other public companies that are not emerging growth companies. in which you hold stock.</w:t>
      </w:r>
    </w:p>
    <w:p>
      <w:pPr>
        <w:spacing w:after="0" w:line="119"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color w:val="auto"/>
        </w:rPr>
        <w:t>In addition, as an emerging growth company, we may take advantage of specified reduced disclosure and other requirements that are otherwise applicable generally to public companies. These provisions include:</w:t>
      </w:r>
    </w:p>
    <w:p>
      <w:pPr>
        <w:spacing w:after="0" w:line="134" w:lineRule="exact"/>
        <w:rPr>
          <w:sz w:val="20"/>
          <w:szCs w:val="20"/>
          <w:color w:val="auto"/>
        </w:rPr>
      </w:pPr>
    </w:p>
    <w:p>
      <w:pPr>
        <w:ind w:left="880" w:right="20" w:hanging="432"/>
        <w:spacing w:after="0" w:line="271" w:lineRule="auto"/>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6"/>
          <w:szCs w:val="16"/>
          <w:color w:val="auto"/>
        </w:rPr>
        <w:t>being permitted to only provide two years of audited financial statements in addition to any required unaudited interim financial statements with correspondingly reduced “Management’s Discussion and Analysis of Financial Condition and Results of Operations” disclosure;</w:t>
      </w: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reduced disclosure about the compensation paid to our executive officers;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not being required to submit to our stockholders’ advisory votes on executive compensation or golden parachute arrangements; and</w:t>
      </w:r>
    </w:p>
    <w:p>
      <w:pPr>
        <w:spacing w:after="0" w:line="31" w:lineRule="exact"/>
        <w:rPr>
          <w:rFonts w:ascii="MS PGothic" w:cs="MS PGothic" w:eastAsia="MS PGothic" w:hAnsi="MS PGothic"/>
          <w:sz w:val="12"/>
          <w:szCs w:val="12"/>
          <w:color w:val="auto"/>
        </w:rPr>
      </w:pPr>
    </w:p>
    <w:p>
      <w:pPr>
        <w:ind w:left="880" w:right="320" w:hanging="432"/>
        <w:spacing w:after="0" w:line="269" w:lineRule="auto"/>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20"/>
          </w:cols>
          <w:pgMar w:left="320" w:top="454" w:right="3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We may take advantage of these exemptions for up to the last day of 2025 or such earlier time that we are no longer an emerging growth company. We would cease to be an emerging growth company on the date that is the earliest of (1) the last day of the fiscal year in which we have total annual gross revenues of $1.07 billion or more; (2) the last day of 2025; (3) the date on which we have issued more than $1.0 billion in nonconvertible debt during the previous three years; or (4) the date on which we are deemed to be a large accelerated filer under the rules of the Securities and Exchange Commission. We may choose to take advantage of some but not all of these exemptions.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20"/>
          </w:cols>
          <w:pgMar w:left="320" w:top="454" w:right="3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are a biopharmaceutical company focused on harnessing the body’s natural regulation of protein levels to develop novel therapeutic candidates to target and destroy disease-causing proteins for the treatment of cancer, neurodegenerative conditions and other diseases. We leverage our proprietary technology platform, TORPEDO (</w:t>
      </w:r>
      <w:r>
        <w:rPr>
          <w:rFonts w:ascii="Arial" w:cs="Arial" w:eastAsia="Arial" w:hAnsi="Arial"/>
          <w:sz w:val="17"/>
          <w:szCs w:val="17"/>
          <w:u w:val="single" w:color="auto"/>
          <w:color w:val="auto"/>
        </w:rPr>
        <w:t>T</w:t>
      </w:r>
      <w:r>
        <w:rPr>
          <w:rFonts w:ascii="Arial" w:cs="Arial" w:eastAsia="Arial" w:hAnsi="Arial"/>
          <w:sz w:val="17"/>
          <w:szCs w:val="17"/>
          <w:color w:val="auto"/>
        </w:rPr>
        <w:t xml:space="preserve">arget </w:t>
      </w:r>
      <w:r>
        <w:rPr>
          <w:rFonts w:ascii="Arial" w:cs="Arial" w:eastAsia="Arial" w:hAnsi="Arial"/>
          <w:sz w:val="17"/>
          <w:szCs w:val="17"/>
          <w:u w:val="single" w:color="auto"/>
          <w:color w:val="auto"/>
        </w:rPr>
        <w:t>OR</w:t>
      </w:r>
      <w:r>
        <w:rPr>
          <w:rFonts w:ascii="Arial" w:cs="Arial" w:eastAsia="Arial" w:hAnsi="Arial"/>
          <w:sz w:val="17"/>
          <w:szCs w:val="17"/>
          <w:color w:val="auto"/>
        </w:rPr>
        <w:t xml:space="preserve">iented </w:t>
      </w:r>
      <w:r>
        <w:rPr>
          <w:rFonts w:ascii="Arial" w:cs="Arial" w:eastAsia="Arial" w:hAnsi="Arial"/>
          <w:sz w:val="17"/>
          <w:szCs w:val="17"/>
          <w:u w:val="single" w:color="auto"/>
          <w:color w:val="auto"/>
        </w:rPr>
        <w:t>P</w:t>
      </w:r>
      <w:r>
        <w:rPr>
          <w:rFonts w:ascii="Arial" w:cs="Arial" w:eastAsia="Arial" w:hAnsi="Arial"/>
          <w:sz w:val="17"/>
          <w:szCs w:val="17"/>
          <w:color w:val="auto"/>
        </w:rPr>
        <w:t>rot</w:t>
      </w:r>
      <w:r>
        <w:rPr>
          <w:rFonts w:ascii="Arial" w:cs="Arial" w:eastAsia="Arial" w:hAnsi="Arial"/>
          <w:sz w:val="17"/>
          <w:szCs w:val="17"/>
          <w:u w:val="single" w:color="auto"/>
          <w:color w:val="auto"/>
        </w:rPr>
        <w:t>E</w:t>
      </w:r>
      <w:r>
        <w:rPr>
          <w:rFonts w:ascii="Arial" w:cs="Arial" w:eastAsia="Arial" w:hAnsi="Arial"/>
          <w:sz w:val="17"/>
          <w:szCs w:val="17"/>
          <w:color w:val="auto"/>
        </w:rPr>
        <w:t xml:space="preserve">in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egrader </w:t>
      </w:r>
      <w:r>
        <w:rPr>
          <w:rFonts w:ascii="Arial" w:cs="Arial" w:eastAsia="Arial" w:hAnsi="Arial"/>
          <w:sz w:val="17"/>
          <w:szCs w:val="17"/>
          <w:u w:val="single" w:color="auto"/>
          <w:color w:val="auto"/>
        </w:rPr>
        <w:t>O</w:t>
      </w:r>
      <w:r>
        <w:rPr>
          <w:rFonts w:ascii="Arial" w:cs="Arial" w:eastAsia="Arial" w:hAnsi="Arial"/>
          <w:sz w:val="17"/>
          <w:szCs w:val="17"/>
          <w:color w:val="auto"/>
        </w:rPr>
        <w:t>ptimizer), to synthesize a new class of small molecule protein degraders that are designed to selectively and efficiently destroy disease-causing proteins, including targets previously considered to be undruggable. Our degraders are designed with a focus on catalytic degradation to optimize targeted protein degradation and an ability to use multiple routes of administration, which we believe offer many potential advantages over existing therapeutic modalities, including improved potency, faster response, higher selectivity and avoidance of known toxicities. We are using our TORPEDO platform to build a robust pipeline of oral protein degradation drug candidates, with our lead product candidates focused on oncology indications. One of our lead product candidates, CFT7455, is an orally bioavailable degrader targeting IKZF1/3 for multiple myeloma, or MM, and non-Hodgkin lymphomas, or NHLs, including peripheral T-cell lymphoma, or PTCL, and mantle cell lymphoma, or MCL, and we expect to submit an investigational new drug application, or IND, for this product candidate to the U.S. Food and Drug Administration, or the FDA, in the fourth quarter of 2020 and begin a first-in-human Phase 1/2 clinical trial for this product candidate in the first half of 2021. We believe CFT7455 could eventually replace therapies based in the class of molecules known as IMiDs as the standard of care in multiple indications, including MM. IMiD therapies have been estimated to represent worldwide sales of approximately $15 billion in 2020 for a number of indications, including MM as well as MCL, marginal zone lymphoma, and follicular lymphoma. We are also developing CFT8634, an orally bioavailable degrader of a protein target called BRD9, for synovial sarcoma and SMARCB1-delete solid tumors, and we expect to submit an IND for this product candidate to the FDA in the second half of 2021 and begin a first-in-human Phase 1/2 clinical trial for this product candidate by the end of 2021.</w:t>
      </w:r>
    </w:p>
    <w:p>
      <w:pPr>
        <w:spacing w:after="0" w:line="13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 xml:space="preserve">We use our TORPEDO platform to synthesize a new class of targeted small molecule protein degraders, which employ a natural protein disposal system, specifically the E3 ligases of the ubiquitin-proteasome system, to catalyze the destruction of target proteins. The E3 ligases targeted by our degraders are a family of proteins that identify and tag proteins for degradation. Our approach is designed to optimize overall catalytic efficiency— rather than specific steps in the catalytic cycle—so that our degraders destroy target proteins as quickly as possible. Our robust chemistry engine and proprietary analytic models of pharmacokinetics, or PK, and pharmacodynamics, or PD, enable us to efficiently design and synthesize degraders for a selected target that are optimized for overall catalytic efficiency and properties such as solubility, permeability and oral bioavailability. These PK/PD models allow us to predict the depth and duration of target degradation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select candidate degraders with confidence. For example, our PK/PD models for CFT7455 accurately predicted the target level response as a function of time at a 1mg / kg oral dose, demonstrating the predictive capability of our TORPEDO platform. We observed similar predictive effectiveness in a PK/PD model for CFT7503, which is the parent compound of our lead BRD9 compound, CFT8634. As a result of data such as these, we believe our approach maximizes our potential to create effective drugs across many targets. Another aspect of TORPEDO platform is that we have developed a rich toolkit of 14 novel, structurally distinct binders targeting the E3 ligase, Cereblon. The IMiD class of molecules, which includes approved therapies thalidomide, lenalidomide and pomalidomide, harness Cereblon to effect the degradation of protein targets, resulting in anti-cancer activity. To date, Cereblon is the only E3 ligase known to be targeted by an approved drug to cause protein degradation. Notably, Cereblon is widely expressed across tissues, potentially allowing for therapeutic Cereblon-mediated targeted protein degradation in a wide variety of clinical settings.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CFT7455 is an orally bioavailable degrader targeting IKZF1/3 for the treatment of MM and NHLs, including PTCL and MCL. We have selected IKZF1/3 as our initial targets because they have a strong mechanistic rationale and well-defined biology and targeting them with a novel degrader may address a significant unmet need. In our preclinical studies, CFT7455 has demonstrated potent and selective protein degradation with favorable pharmacological properties. We believe that the differentiated pharmacology of CFT7455, including its high potency, may translate into improved clinical outcomes over the current standard-of-care agents in each of the indications we are pursuing. We expect to file an IND for CFT7455 in the fourth quarter of 2020 and expect to dose the first patient in the first half of 2021. Our planned first-in-human Phase 1/2 trial is designed as an open-label dose escalation trial of CFT7455 in approximately 18 to 30 subjects with MM and NHL. The trial will primarily investigate the safety 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40"/>
          </w:cols>
          <w:pgMar w:left="320" w:top="454"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color w:val="auto"/>
        </w:rPr>
        <w:t>tolerability of CFT7455, and key secondary endpoints will be to characterize its PK/PD profile and anti-tumor activity. We expect the results from this clinical trial will help us better understand the disease characteristics of those patients who may derive benefit from CFT7455, which will enable us to design future clinical trials more effectively for the drug.</w:t>
      </w:r>
    </w:p>
    <w:p>
      <w:pPr>
        <w:spacing w:after="0" w:line="11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 xml:space="preserve">CFT8634 is an orally bioavailable degrader targeting BRD9 for the treatment of synovial sarcoma and SMARCB1-deleted solid malignancies. BRD9 has been considered an undruggable target using currently available modalities. BRD9 is a component of the non-canonical BAF complex, or ncBAF, that plays a role in regulating gene transcription. In normal cells, this complex is not required for cell survival. However, some tumors, including synovial sarcoma, encode genetic mutations that render the ncBAF complex—and thus BRD9—essential for tumor growth. CFT8634 has shown potent anti-tumor activity in synovial sarcoma cell lines, but does not appear to affect normal cells. Further, CFT8634 has shown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in synovial sarcoma xenograft models when dosed orally. We expect to file an IND for CFT8634 with the FDA in the second half of 2021 and dose the first patient in a first-in-human Phase 1/2 clinical trial of this product candidate by the end of 2021. We expect to design our first-in-human Phase 1/2 clinical trial for this product candidate to be an open-label dose escalation/expansion study in both synovial sarcoma and solid tumors with SMARCB1 loss.</w:t>
      </w:r>
    </w:p>
    <w:p>
      <w:pPr>
        <w:spacing w:after="0" w:line="12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to our lead product candidates, we are also developing degraders specifically targeting V600E mutant BRAF to treat melanoma, non-small cell lung cancer, or NSCLC, colorectal cancer and other solid malignancies that harbor this mutation, as well as degraders targeting RET to treat lung cancer, sporadic medullary thyroid cancers and other solid malignancies that harbor oncogenic RET lesions. We expect to have our lead product candidates, CFT7455 and CFT8634, in the clinic by the end of 2021, and product candidates from our two other lead programs, BRAF V600E and RET, in the clinic by the end of 2022. Beyond these four initial product candidates, we are further diversifying our pipeline by developing new degraders against targets where we believe degradation offers potential advantages over existing therapeutic modalities such as the treatment of neurodegenerative diseases. As part of these efforts, we have engineered degraders that have successfully achieved blood-brain barrier penetration in preclinical studies, which is a key step in developing drugs with the potential to treat neurodegenerative diseases. We also believe there are many other therapeutic areas and indications where leveraging our TORPEDO platform to develop novel degraders may be advantageous.</w:t>
      </w:r>
    </w:p>
    <w:p>
      <w:pPr>
        <w:spacing w:after="0" w:line="12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been a pioneer in the field of targeted protein degradation since our founding in 2015. Our technology originated from research at the Dana-Farber Cancer Institute by Jay Bradner, M.D., Ken Anderson, M.D. and Nathanael Gray, Ph.D., leading researchers in the field of protein degradation who co-founded our company along with our Executive Chairman, Marc A. Cohen. We have assembled a scientific team with extensive knowledge and translational medicine expertise in the protein degradation field. Our management team draws on experience in all phases of drug discovery and development gained at large pharmaceutical and biotechnology companies. In addition, we have entered into key strategic collaborations with each of F. Hoffman-La Roche Ltd., or Roche, Biogen, Inc., or Biogen, and Calico Life Sciences LLC, or Calico, that help us address targets across multiple therapeutic areas. Through these collaborations we have received upfront and milestone payments in an aggregate of $154.8 million through June 30, 2020. In addition, we have secured additional funding from a strong group of investors, including Cobro Ventures, Perceptive Advisors, Adage Capital Management, Axil Capital, Bain Capital Life Sciences, Commodore Capital, 3E Bioventures Capital, HBM Healthcare Investments, Lightchain Capital, Logos Capital, Mizuho Securities Principal Investment, Nextech, RA Capital, RTW Investments, Sphera Funds Management, Taiwania Capital, Yonjin Venture and funds and accounts managed by T. Rowe Price and Janus Henderson.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7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have leveraged our TORPEDO platform to generate a robust pipeline of orally available, potent and selective protein degradation drug candidates that may be capable of treating diseases in a wide range of organ systems and tissues. Our pipeline focus is on establishing clear clinical proof-of-concept for targets with well-established biology and a defined regulatory pathway. As shown in the table below, we currently have four preclinical programs in development. We anticipate our CFT7455 and CFT8634 product candidates will be in the clinic by the end of 2021, and our BRAF V600E and RET programs will be in the clinic by the end of 2022. We have also secured three strategic collaborations with partners that provide additional pipeline optionality and an expansion of our potential targets for protein degradation.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40"/>
          </w:cols>
          <w:pgMar w:left="320" w:top="454"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are advancing two types of protein degraders. We refer to the first type of degrader as MonoDACs, which are </w:t>
      </w:r>
      <w:r>
        <w:rPr>
          <w:rFonts w:ascii="Arial" w:cs="Arial" w:eastAsia="Arial" w:hAnsi="Arial"/>
          <w:sz w:val="17"/>
          <w:szCs w:val="17"/>
          <w:u w:val="single" w:color="auto"/>
          <w:color w:val="auto"/>
        </w:rPr>
        <w:t>Mono</w:t>
      </w:r>
      <w:r>
        <w:rPr>
          <w:rFonts w:ascii="Arial" w:cs="Arial" w:eastAsia="Arial" w:hAnsi="Arial"/>
          <w:sz w:val="17"/>
          <w:szCs w:val="17"/>
          <w:color w:val="auto"/>
        </w:rPr>
        <w:t xml:space="preserve">functional </w:t>
      </w:r>
      <w:r>
        <w:rPr>
          <w:rFonts w:ascii="Arial" w:cs="Arial" w:eastAsia="Arial" w:hAnsi="Arial"/>
          <w:sz w:val="17"/>
          <w:szCs w:val="17"/>
          <w:u w:val="single" w:color="auto"/>
          <w:color w:val="auto"/>
        </w:rPr>
        <w:t>D</w:t>
      </w:r>
      <w:r>
        <w:rPr>
          <w:rFonts w:ascii="Arial" w:cs="Arial" w:eastAsia="Arial" w:hAnsi="Arial"/>
          <w:sz w:val="17"/>
          <w:szCs w:val="17"/>
          <w:color w:val="auto"/>
        </w:rPr>
        <w:t>egradation</w:t>
      </w:r>
    </w:p>
    <w:p>
      <w:pPr>
        <w:spacing w:after="0" w:line="14"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 xml:space="preserve">ctivating </w:t>
      </w:r>
      <w:r>
        <w:rPr>
          <w:rFonts w:ascii="Arial" w:cs="Arial" w:eastAsia="Arial" w:hAnsi="Arial"/>
          <w:sz w:val="17"/>
          <w:szCs w:val="17"/>
          <w:u w:val="single" w:color="auto"/>
          <w:color w:val="auto"/>
        </w:rPr>
        <w:t>C</w:t>
      </w:r>
      <w:r>
        <w:rPr>
          <w:rFonts w:ascii="Arial" w:cs="Arial" w:eastAsia="Arial" w:hAnsi="Arial"/>
          <w:sz w:val="17"/>
          <w:szCs w:val="17"/>
          <w:color w:val="auto"/>
        </w:rPr>
        <w:t xml:space="preserve">ompounds. MonoDACs function by binding to E3 ligases and creating a new surface on the E3 ligases that enhances the binding of the E3 ligases to target proteins. We refer to our second type of degrader as BiDACs, which are </w:t>
      </w:r>
      <w:r>
        <w:rPr>
          <w:rFonts w:ascii="Arial" w:cs="Arial" w:eastAsia="Arial" w:hAnsi="Arial"/>
          <w:sz w:val="17"/>
          <w:szCs w:val="17"/>
          <w:u w:val="single" w:color="auto"/>
          <w:color w:val="auto"/>
        </w:rPr>
        <w:t>Bi</w:t>
      </w:r>
      <w:r>
        <w:rPr>
          <w:rFonts w:ascii="Arial" w:cs="Arial" w:eastAsia="Arial" w:hAnsi="Arial"/>
          <w:sz w:val="17"/>
          <w:szCs w:val="17"/>
          <w:color w:val="auto"/>
        </w:rPr>
        <w:t xml:space="preserve">functional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egradation </w:t>
      </w:r>
      <w:r>
        <w:rPr>
          <w:rFonts w:ascii="Arial" w:cs="Arial" w:eastAsia="Arial" w:hAnsi="Arial"/>
          <w:sz w:val="17"/>
          <w:szCs w:val="17"/>
          <w:u w:val="single" w:color="auto"/>
          <w:color w:val="auto"/>
        </w:rPr>
        <w:t>A</w:t>
      </w:r>
      <w:r>
        <w:rPr>
          <w:rFonts w:ascii="Arial" w:cs="Arial" w:eastAsia="Arial" w:hAnsi="Arial"/>
          <w:sz w:val="17"/>
          <w:szCs w:val="17"/>
          <w:color w:val="auto"/>
        </w:rPr>
        <w:t xml:space="preserve">ctivating </w:t>
      </w:r>
      <w:r>
        <w:rPr>
          <w:rFonts w:ascii="Arial" w:cs="Arial" w:eastAsia="Arial" w:hAnsi="Arial"/>
          <w:sz w:val="17"/>
          <w:szCs w:val="17"/>
          <w:u w:val="single" w:color="auto"/>
          <w:color w:val="auto"/>
        </w:rPr>
        <w:t>C</w:t>
      </w:r>
      <w:r>
        <w:rPr>
          <w:rFonts w:ascii="Arial" w:cs="Arial" w:eastAsia="Arial" w:hAnsi="Arial"/>
          <w:sz w:val="17"/>
          <w:szCs w:val="17"/>
          <w:color w:val="auto"/>
        </w:rPr>
        <w:t>ompounds. BiDACs are designed so that one end of the molecule binds to the disease-causing target protein and the other end binds to the E3 ligase. Each of these types of degrader is intended to result in the same end point: the specific degradation of the target proteins of interest. These two approaches have complementary requirements for target engagement: BiDACs utilize specific binding sites where chemical binding moieties, which are portions of a molecule, can be identified, which enables a rational drug discovery approach, while MonoDACs, in contrast, rely on ligase-to-target protein surface interactions to drive the ubiquitination process, which is the process by which an E3 ligase tags a target protein for degradation using a molecular tag called ubiquitin, rather than specific compound-binding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122555</wp:posOffset>
            </wp:positionV>
            <wp:extent cx="5095240" cy="1545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95240"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560"/>
        <w:spacing w:after="0" w:line="271" w:lineRule="auto"/>
        <w:rPr>
          <w:sz w:val="20"/>
          <w:szCs w:val="20"/>
          <w:color w:val="auto"/>
        </w:rPr>
      </w:pPr>
      <w:r>
        <w:rPr>
          <w:rFonts w:ascii="Arial" w:cs="Arial" w:eastAsia="Arial" w:hAnsi="Arial"/>
          <w:sz w:val="17"/>
          <w:szCs w:val="17"/>
          <w:color w:val="auto"/>
        </w:rPr>
        <w:t>In addition to the programs identified above and our early-stage development collaborations with Roche, Biogen and Calico, we are conducting exploratory research and development work on various other targets.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committed to transforming the treatment of cancer, neurodegenerative conditions and other diseases through the discovery, development and commercialization of novel therapies that destroy disease-causing proteins.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Key elements of our strategy are to:</w:t>
      </w:r>
    </w:p>
    <w:p>
      <w:pPr>
        <w:spacing w:after="0" w:line="190" w:lineRule="exact"/>
        <w:rPr>
          <w:sz w:val="20"/>
          <w:szCs w:val="20"/>
          <w:color w:val="auto"/>
        </w:rPr>
      </w:pPr>
    </w:p>
    <w:p>
      <w:pPr>
        <w:ind w:left="880" w:hanging="432"/>
        <w:spacing w:after="0" w:line="235" w:lineRule="auto"/>
        <w:tabs>
          <w:tab w:leader="none" w:pos="880" w:val="left"/>
        </w:tabs>
        <w:numPr>
          <w:ilvl w:val="0"/>
          <w:numId w:val="55"/>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Continue rapid progression toward clinical development of our lead programs developed with our TORPEDO platform. </w:t>
      </w:r>
      <w:r>
        <w:rPr>
          <w:rFonts w:ascii="Arial" w:cs="Arial" w:eastAsia="Arial" w:hAnsi="Arial"/>
          <w:sz w:val="17"/>
          <w:szCs w:val="17"/>
          <w:color w:val="auto"/>
        </w:rPr>
        <w:t>Our two</w:t>
      </w:r>
      <w:r>
        <w:rPr>
          <w:rFonts w:ascii="Arial" w:cs="Arial" w:eastAsia="Arial" w:hAnsi="Arial"/>
          <w:sz w:val="17"/>
          <w:szCs w:val="17"/>
          <w:b w:val="1"/>
          <w:bCs w:val="1"/>
          <w:color w:val="auto"/>
        </w:rPr>
        <w:t xml:space="preserve"> </w:t>
      </w:r>
      <w:r>
        <w:rPr>
          <w:rFonts w:ascii="Arial" w:cs="Arial" w:eastAsia="Arial" w:hAnsi="Arial"/>
          <w:sz w:val="17"/>
          <w:szCs w:val="17"/>
          <w:color w:val="auto"/>
        </w:rPr>
        <w:t>lead product candidates are CFT7455, targeting IKZF1/3, and CFT8634, targeting BRD9. We expect to initiate a Phase 1/2 open-label trial for CFT7455 in patients with relapsed or refractory MM or NHLs such as PTCL and MCL in the first half of 2021, and we expect to initiate a Phase 1/2 open-label trial for CFT8634 in patients with synovial sarcoma and SMARCB1-deleted solid tumors by the end of 2021. Using our proprietary TORPEDO platform, we have generated novel product candidates for the treatment of cancer and we believe favorable trial results from our lead programs would offer important validation for both our platform and those programs themselves. Based on the results of these planned Phase 1/2 trials, we will work with the FDA to discuss potential expedited development and accelerated approval pathways for the product candidates in these lead programs. Additionally, we will leverage the knowledge gained from our lead programs to strengthen and improve our TORPEDO platform for our other pipeline candidates.</w:t>
      </w:r>
    </w:p>
    <w:p>
      <w:pPr>
        <w:spacing w:after="0" w:line="6" w:lineRule="exact"/>
        <w:rPr>
          <w:rFonts w:ascii="MS PGothic" w:cs="MS PGothic" w:eastAsia="MS PGothic" w:hAnsi="MS PGothic"/>
          <w:sz w:val="12"/>
          <w:szCs w:val="12"/>
          <w:color w:val="auto"/>
        </w:rPr>
      </w:pPr>
    </w:p>
    <w:p>
      <w:pPr>
        <w:jc w:val="both"/>
        <w:ind w:left="880" w:right="120" w:hanging="432"/>
        <w:spacing w:after="0" w:line="242" w:lineRule="auto"/>
        <w:tabs>
          <w:tab w:leader="none" w:pos="880" w:val="left"/>
        </w:tabs>
        <w:numPr>
          <w:ilvl w:val="0"/>
          <w:numId w:val="55"/>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Rapidly advance our late-stage discovery programs to generate product candidates. </w:t>
      </w:r>
      <w:r>
        <w:rPr>
          <w:rFonts w:ascii="Arial" w:cs="Arial" w:eastAsia="Arial" w:hAnsi="Arial"/>
          <w:sz w:val="17"/>
          <w:szCs w:val="17"/>
          <w:color w:val="auto"/>
        </w:rPr>
        <w:t>In addition to our lead product candidates, we</w:t>
      </w:r>
      <w:r>
        <w:rPr>
          <w:rFonts w:ascii="Arial" w:cs="Arial" w:eastAsia="Arial" w:hAnsi="Arial"/>
          <w:sz w:val="17"/>
          <w:szCs w:val="17"/>
          <w:b w:val="1"/>
          <w:bCs w:val="1"/>
          <w:color w:val="auto"/>
        </w:rPr>
        <w:t xml:space="preserve"> </w:t>
      </w:r>
      <w:r>
        <w:rPr>
          <w:rFonts w:ascii="Arial" w:cs="Arial" w:eastAsia="Arial" w:hAnsi="Arial"/>
          <w:sz w:val="17"/>
          <w:szCs w:val="17"/>
          <w:color w:val="auto"/>
        </w:rPr>
        <w:t>have progressed programs targeting BRAF V600E, in collaboration with our partner Roche, and RET. We are also pursuing several other earlier-stage research programs. We believe that our platform and approach are broadly applicable to address unmet medical needs in a variety of indications and we aim to continue expanding and advancing our pipeline.</w:t>
      </w:r>
    </w:p>
    <w:p>
      <w:pPr>
        <w:ind w:left="880" w:right="80" w:hanging="432"/>
        <w:spacing w:after="0" w:line="249" w:lineRule="auto"/>
        <w:tabs>
          <w:tab w:leader="none" w:pos="880" w:val="left"/>
        </w:tabs>
        <w:numPr>
          <w:ilvl w:val="0"/>
          <w:numId w:val="55"/>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Leverage our TORPEDO platform to generate discovery programs for previously undruggable or challenging targets.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that we can apply the principles and approaches used to advance our lead programs more broadly to develop novel degraders for diseases where traditional small molecule inhibitors and other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454"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900" w:right="60"/>
        <w:spacing w:after="0" w:line="237" w:lineRule="auto"/>
        <w:rPr>
          <w:sz w:val="20"/>
          <w:szCs w:val="20"/>
          <w:color w:val="auto"/>
        </w:rPr>
      </w:pPr>
      <w:r>
        <w:rPr>
          <w:rFonts w:ascii="Arial" w:cs="Arial" w:eastAsia="Arial" w:hAnsi="Arial"/>
          <w:sz w:val="17"/>
          <w:szCs w:val="17"/>
          <w:color w:val="auto"/>
        </w:rPr>
        <w:t>therapeutic approaches have been unsuccessful. We believe our degraders offer potential broad tissue distribution, oral delivery, relative ease of manufacturing and well-established development and regulatory pathways, which are all critical characteristics across disease areas. Additionally, our targeted protein degradation approach has the potential to address many protein targets that are currently considered undruggable, as our degraders can theoretically destroy proteins using any available conserved binding site, including low-affinity binding sites or non-functional binding sites, bringing biological utility to ligands that would otherwise be inactive. We are focusing our current programs on selected oncology indications, but we believe our platform has broad applicability beyond cancer that we plan to capitalize on in the future.</w:t>
      </w:r>
    </w:p>
    <w:p>
      <w:pPr>
        <w:spacing w:after="0" w:line="1" w:lineRule="exact"/>
        <w:rPr>
          <w:sz w:val="20"/>
          <w:szCs w:val="20"/>
          <w:color w:val="auto"/>
        </w:rPr>
      </w:pPr>
    </w:p>
    <w:p>
      <w:pPr>
        <w:ind w:left="880" w:right="40" w:hanging="432"/>
        <w:spacing w:after="0" w:line="238" w:lineRule="auto"/>
        <w:tabs>
          <w:tab w:leader="none" w:pos="880" w:val="left"/>
        </w:tabs>
        <w:numPr>
          <w:ilvl w:val="0"/>
          <w:numId w:val="56"/>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Strategically invest in our TORPEDO platform. </w:t>
      </w:r>
      <w:r>
        <w:rPr>
          <w:rFonts w:ascii="Arial" w:cs="Arial" w:eastAsia="Arial" w:hAnsi="Arial"/>
          <w:sz w:val="17"/>
          <w:szCs w:val="17"/>
          <w:color w:val="auto"/>
        </w:rPr>
        <w:t>To date we have invested significant time and resources into the experimental and</w:t>
      </w:r>
      <w:r>
        <w:rPr>
          <w:rFonts w:ascii="Arial" w:cs="Arial" w:eastAsia="Arial" w:hAnsi="Arial"/>
          <w:sz w:val="17"/>
          <w:szCs w:val="17"/>
          <w:b w:val="1"/>
          <w:bCs w:val="1"/>
          <w:color w:val="auto"/>
        </w:rPr>
        <w:t xml:space="preserve"> </w:t>
      </w:r>
      <w:r>
        <w:rPr>
          <w:rFonts w:ascii="Arial" w:cs="Arial" w:eastAsia="Arial" w:hAnsi="Arial"/>
          <w:sz w:val="17"/>
          <w:szCs w:val="17"/>
          <w:color w:val="auto"/>
        </w:rPr>
        <w:t>analytical components of our TORPEDO platform. This platform enables us to quickly develop novel protein degraders. We will continue to invest in the latest experimental tools to improve our capabilities and continue to enhance our proprietary computational and predictive models. We believe that this investment will support our continued discovery and development of degraders against technically challenging and high-value targets. Additionally, we plan to continue expanding our intellectual property portfolio, including through the identification and optimization of additional binders with unique and desirable drug-like properties.</w:t>
      </w:r>
    </w:p>
    <w:p>
      <w:pPr>
        <w:ind w:left="880" w:right="160" w:hanging="432"/>
        <w:spacing w:after="0" w:line="236" w:lineRule="auto"/>
        <w:tabs>
          <w:tab w:leader="none" w:pos="880" w:val="left"/>
        </w:tabs>
        <w:numPr>
          <w:ilvl w:val="0"/>
          <w:numId w:val="56"/>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Engage with strategic partners to accelerate program development and maximize the potential of our TORPEDO platform. </w:t>
      </w:r>
      <w:r>
        <w:rPr>
          <w:rFonts w:ascii="Arial" w:cs="Arial" w:eastAsia="Arial" w:hAnsi="Arial"/>
          <w:sz w:val="17"/>
          <w:szCs w:val="17"/>
          <w:color w:val="auto"/>
        </w:rPr>
        <w:t>We</w:t>
      </w:r>
      <w:r>
        <w:rPr>
          <w:rFonts w:ascii="Arial" w:cs="Arial" w:eastAsia="Arial" w:hAnsi="Arial"/>
          <w:sz w:val="17"/>
          <w:szCs w:val="17"/>
          <w:b w:val="1"/>
          <w:bCs w:val="1"/>
          <w:color w:val="auto"/>
        </w:rPr>
        <w:t xml:space="preserve"> </w:t>
      </w:r>
      <w:r>
        <w:rPr>
          <w:rFonts w:ascii="Arial" w:cs="Arial" w:eastAsia="Arial" w:hAnsi="Arial"/>
          <w:sz w:val="17"/>
          <w:szCs w:val="17"/>
          <w:color w:val="auto"/>
        </w:rPr>
        <w:t>have entered into strategic collaborations with Roche, Biogen and Calico, under which we are working to identify and develop novel degraders across multiple therapeutic areas. These collaborations provide us with access to the resources of larger biopharmaceutical companies and expertise that enable us to further develop and maximize the potential of our TORPEDO platform. In the future, we may opportunistically enter into additional strategic partnerships around certain targets, product candidates and disease areas, which could advance and accelerate our development programs, allow us to access additional capabilities and expand the utility of our TORPEDO platform.</w:t>
      </w:r>
    </w:p>
    <w:p>
      <w:pPr>
        <w:spacing w:after="0" w:line="5" w:lineRule="exact"/>
        <w:rPr>
          <w:rFonts w:ascii="MS PGothic" w:cs="MS PGothic" w:eastAsia="MS PGothic" w:hAnsi="MS PGothic"/>
          <w:sz w:val="12"/>
          <w:szCs w:val="12"/>
          <w:color w:val="auto"/>
        </w:rPr>
      </w:pPr>
    </w:p>
    <w:p>
      <w:pPr>
        <w:ind w:left="880" w:hanging="432"/>
        <w:spacing w:after="0" w:line="238" w:lineRule="auto"/>
        <w:tabs>
          <w:tab w:leader="none" w:pos="880" w:val="left"/>
        </w:tabs>
        <w:numPr>
          <w:ilvl w:val="0"/>
          <w:numId w:val="56"/>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Maximize the potential of our product candidates with selective use of commercial partnerships. </w:t>
      </w:r>
      <w:r>
        <w:rPr>
          <w:rFonts w:ascii="Arial" w:cs="Arial" w:eastAsia="Arial" w:hAnsi="Arial"/>
          <w:sz w:val="17"/>
          <w:szCs w:val="17"/>
          <w:color w:val="auto"/>
        </w:rPr>
        <w:t>We retain worldwide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rights to CFT7455, CFT8634 and our RET program. In the future, we intend to selectively evaluate commercialization partnerships for our drug candidates with partners whose capabilities complement our own while retaining meaningful commercial rights in key geographic territories. We evaluate potential partnerships based not solely upon their ability to generate additional revenue streams for us, but also based on how they might increase our ability to reach a broader set of patients in our targeted disease areas or expand the breadth of indications that our product candidates are approved to treat.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Protein Degradation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Protein Degradation</w:t>
      </w:r>
    </w:p>
    <w:p>
      <w:pPr>
        <w:spacing w:after="0" w:line="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Proteins are large, complex molecules that play many critical roles in the human body. Due to their central role in biological function, protein interactions control the mechanisms leading to healthy and diseased states. Diseases are often caused by mutations that alter the normal function of proteins and in turn lead to protein dysfunction and then disease. Recent scientific advances continue to implicate the role of specific proteins in multiple disease states.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60"/>
          </w:cols>
          <w:pgMar w:left="320" w:top="454" w:right="41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proteins age or are damaged, the human body has a highly conserved homeostasis system, which maintains a stable equilibrium, and relies on protein degradation machinery to identify and break down proteins into their component amino acids. This protein homeostasis process is mediated in part by E3 ligases. The primary role of E3 ligases is to act as a quality control inspector by identifying proteins that are old, damaged, misfolded or otherwise deemed ready for degradation. When an E3 ligase identifies a target protein for degradation, it attaches a molecular tag called ubiquitin in a process called ubiquitination. This ubiquitination process typically continues until the target protein is tagged with multiple ubiquitin proteins, known as poly-ubiquitination. Once the target protein is poly-ubiquitinated, it is released by the E3 ligase and is then quickly recognized by a proteasome, which is the cell’s recycling plant. The proteasome degrades poly-ubiquitinated proteins into their component amino acids, and these amino acids can then be recycled to form new proteins or can be excreted by the cell. This process is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120015</wp:posOffset>
            </wp:positionV>
            <wp:extent cx="5137785" cy="19958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37785"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Approximately five percent of the human genome is dedicated to the ubiquitin-proteasome system. In addition, many proteins of therapeutic interest are often regulated by E3 ligases, which normally function to achieve rapid control of protein concentration across multiple steady states. Collectively, these factors underscore the essential role E3 ligases play in normal cellular function and how they can be leveraged against therapeutic protein targets.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00"/>
          </w:cols>
          <w:pgMar w:left="320" w:top="454" w:right="3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Our approach represents a novel modality that seeks to harness this natural degradation machinery to destroy disease-causing target proteins. Both our MonoDACs and BiDACs follow the same catalytic process, with the first step being the formation of a complex between the native E3 ligase, degrader and target protein, which we refer to as the ternary complex. Formation of an appropriate ternary complex that can undergo ubiquitination results in poly-ubiquitination of the target and then degradation of the target protein by the proteasome. Degraders destroy disease-causing proteins through a catalytic process that recycles the degrader molecule so that it may degrade multiple target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119380</wp:posOffset>
            </wp:positionV>
            <wp:extent cx="5137785" cy="1986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3778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Importantly, both the natural protein degradation process and the targeted protein degradation mediated by our degraders occur rapidly, on the order of milliseconds from initial target-ligase encounter to poly-ubiquitination and release for degradation by the proteasome. The process of targeted protein degradation mediated by our degraders is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114300</wp:posOffset>
            </wp:positionV>
            <wp:extent cx="4874895" cy="24796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74895" cy="2479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Once the targeted protein degradation process occurs for one molecule of a target protein, the degrader is released and the process can be repeated with the same degrader molecule. This recursive process—binding the target protein, ternary complex formation with the E3 ligase, ubiquitination and release for degradation—can occur thousands of times with a single degrader molecule before it is eventually cleared by the body. We refer to this process as the catalytic cycle and it is a crucial differentiator between degraders and traditional protein inhibitors, which must remain bound to the target protein to remain effective.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80"/>
          </w:cols>
          <w:pgMar w:left="320" w:top="454" w:right="39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Many current targeted therapies are based on small molecules that inhibit the biological function of a protein of interest. One of the main limitations of inhibitor-based treatments is that high doses of the inhibitor are often needed for adequate, sustained target occupancy levels that are required for efficacy. Since the pharmacological effect is driven by the drug exposure profile, the overall timing and duration of drug action is dependent on drug absorption, distribution and elimination. These exposures can be challenging to achieve and may increase the likelihood of significant off-target side effects. A further limitation of this approach is the requirement to find compounds that bind to specific active sites on the protein that result in functional inhibition. However, there are many sites on a target protein where small molecules can bind, but have no effect on the overall function. The following figure illustrates the use of a small molecule inhibitor to block the function of a targeted disease-causing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119380</wp:posOffset>
            </wp:positionV>
            <wp:extent cx="5137785" cy="20040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37785" cy="200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Advantages of Targeted Protein Degradation Over Traditional Protein Inhibitors</w:t>
      </w:r>
    </w:p>
    <w:p>
      <w:pPr>
        <w:spacing w:after="0" w:line="39" w:lineRule="exact"/>
        <w:rPr>
          <w:sz w:val="20"/>
          <w:szCs w:val="20"/>
          <w:color w:val="auto"/>
        </w:rPr>
      </w:pPr>
    </w:p>
    <w:p>
      <w:pPr>
        <w:ind w:right="520"/>
        <w:spacing w:after="0" w:line="274" w:lineRule="auto"/>
        <w:rPr>
          <w:sz w:val="20"/>
          <w:szCs w:val="20"/>
          <w:color w:val="auto"/>
        </w:rPr>
      </w:pPr>
      <w:r>
        <w:rPr>
          <w:rFonts w:ascii="Arial" w:cs="Arial" w:eastAsia="Arial" w:hAnsi="Arial"/>
          <w:sz w:val="16"/>
          <w:szCs w:val="16"/>
          <w:color w:val="auto"/>
        </w:rPr>
        <w:t>We believe targeted protein degradation is a novel modality that could offer significant potential benefits over traditional small molecule inhibitor approaches, including improved and sustained potency, fast and recursive catalytic effect, high selectivity and an expansive target landscape.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Improved and Sustained Potency</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Degraders offer a many-fold amplification of effect because a single degrader molecule can exert its effect recursively on a large number of target proteins, thereby boosting the catalytic cycle, known as catalytic amplification. In contrast, traditional protein inhibitors rely on one-to-one binding of an inhibitor molecule with a target protein, with the protein only deactivated while the inhibitor is bound. This means that much higher concentrations of a protein inhibitor drug are needed to achieve the same level of therapeutic effect as a protein degrader.</w:t>
      </w:r>
    </w:p>
    <w:p>
      <w:pPr>
        <w:spacing w:after="0" w:line="11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addition to requiring significantly less drug than a protein inhibitor, the catalytic amplification of degraders means that targeted protein degradation is able to achieve a level of potency necessary for a therapeutic effect in situations that may otherwise be impossible with traditional protein inhibitors. The effect of rapidly-reversible traditional inhibitors on target protein is transient and the target protein typically resumes its disease-causing activity as soon as the inhibitor is no longer bound to the target protein. In contrast, because targeted protein degradation leads to destruction of disease-causing proteins into their component amino acids, the effect of a degrader can persist well after the degrader is cleared from the body because it takes a period of time for the cell to resynthesize disease-causing proteins. Additional potency amplifications can result for target proteins that form complexes with other cellular proteins, since removal of the target protein disrupts the overall complex, not just a specific functional activity of the target protein. In these cases, cellular recovery from the degrader effect requires not only re-synthesis of the target protein, but also its incorporation into a larger molecular complex. This effect can be observed even in cases where the target protein complexes are as small as two proteins, or dimers, as well as larger multi-protein complexes. This means that degraders may help to achieve a more durable biological effect and better clinical outcomes.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20"/>
          </w:cols>
          <w:pgMar w:left="320" w:top="454" w:right="3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Fast and Recursive Catalytic Effect</w:t>
      </w:r>
    </w:p>
    <w:p>
      <w:pPr>
        <w:spacing w:after="0" w:line="40"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One degrader molecule can rapidly degrade many target proteins. Each catalytic cycle initiated by our degraders and ending with degradation of a disease-causing target protein occurs in a matter of milliseconds. The speed of the catalytic cycle combined with the catalytic amplification of our degraders could result in clinical impact on the disease mechanism that cannot be achieved with traditional inhibitors.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High Selectivity</w:t>
      </w:r>
    </w:p>
    <w:p>
      <w:pPr>
        <w:spacing w:after="0" w:line="4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One of the primary challenges of protein inhibition is attempting to identify and develop molecules that only target cancerous cells or mutant proteins without having deleterious effects on normal cells or proteins, commonly referred to as off-target effects. We believe degraders combine the advantages of small molecule therapies with the potential of gene therapies. Degraders have drug-like properties, including oral bioavailability, and are easier to manufacture than other therapeutic modalities involving complex macromolecules, such as antibodies and genetic material. Similar to gene therapies and gene editing strategies, degraders can eliminate the presence of a pathogenic protein. However, treatment with degraders may be halted at any time, in contrast to the long-lasting effects of gene therapies.</w:t>
      </w:r>
    </w:p>
    <w:p>
      <w:pPr>
        <w:spacing w:after="0" w:line="12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Each step in the protein degradation cycle requires specific positioning of the target protein and E3 ligase to progress through the catalytic cycle, and these positioning requirements can serve as filters to increase selectivity of a degrader molecule so that only the target protein is ultimately degraded, even if the molecule binds to multiple proteins. For example, degraders are created with the shape, or conformation, of the target protein in mind because a degrader and its target protein must assume a conformation amenable to forming a ternary complex with an E3 ligase. As a result, even if a degrader were to bind to a non-target protein, the resulting ternary complex may not have a conformation that is appropriate to facilitate ubiquitination and subsequent degradation. We are able to leverage these intrinsic properties of the ubiquitin-proteasome protein degradation pathway to design degraders to be highly selective for disease-causing target proteins.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20"/>
          </w:cols>
          <w:pgMar w:left="320" w:top="454" w:right="3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Expansive Target Landscape</w:t>
      </w:r>
    </w:p>
    <w:p>
      <w:pPr>
        <w:spacing w:after="0" w:line="4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Since targeted protein degradation does not function by inhibiting the target protein’s active site, in theory any conserved binding site on a target protein may be used for degrader binding to facilitate formation of the ternary complex and eventual protein degradation. In contrast, inhibitors are only able to have a therapeutic effect either by binding directly to a protein’s active site or by binding to an allosteric site in such a way to cause a conformational change in the protein that inhibits the active site. This inherently limits the number of druggable targets addressable with traditional inhibitors, as many drug binding sites are physically inaccessible or weakly bind with small molecules. Additionally, whereas an inhibitor requires high affinity and a strong bond to the binding site to remain active, degraders can bind with weak affinity for only a short amount of time and still enable ubiquitination and destruction of the protein. Specifically, less than 15% of proteins are considered druggable with traditional small molecule inhibitors because of limitations, including lack of accessible active binding sites, while targeted protein degradation fundamentally enables access to a high proportion of the potential target proteins that are currently considered undruggable.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120015</wp:posOffset>
            </wp:positionV>
            <wp:extent cx="4968240" cy="2454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68240" cy="245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5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We employ a comprehensive approach to product candidate selection and development to maximize the potential therapeutic benefit of our protein degraders. We seek out indications with high value protein targets that may benefit the most from degraders, with catalytic degradation turnover as the key metric by which to assess protein degradation. To that end, we have invested heavily in experimental tools, computational and predictive models and team expertise to analyze and optimize the catalytic ability of our degraders through our TORPEDO platform. Additionally, we leverage our platform to optimize the ability of our degraders to initiate the ubiquitin-proteasome protein degradation cycle and predict their function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Due to the rapid optimization allowed by our TORPEDO platform and the ability of our platform to predict degrader effects </w:t>
      </w:r>
      <w:r>
        <w:rPr>
          <w:rFonts w:ascii="Arial" w:cs="Arial" w:eastAsia="Arial" w:hAnsi="Arial"/>
          <w:sz w:val="17"/>
          <w:szCs w:val="17"/>
          <w:i w:val="1"/>
          <w:iCs w:val="1"/>
          <w:color w:val="auto"/>
        </w:rPr>
        <w:t>in vivo</w:t>
      </w:r>
      <w:r>
        <w:rPr>
          <w:rFonts w:ascii="Arial" w:cs="Arial" w:eastAsia="Arial" w:hAnsi="Arial"/>
          <w:sz w:val="17"/>
          <w:szCs w:val="17"/>
          <w:color w:val="auto"/>
        </w:rPr>
        <w:t>, we are able to quickly and efficiently advance programs from target identification to the candidate development stage.</w:t>
      </w:r>
    </w:p>
    <w:p>
      <w:pPr>
        <w:spacing w:after="0" w:line="12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oral, small molecule targeted protein degraders leverage the body’s natural degradation machinery and repurpose it to recognize disease-causing proteins and tag them for destruction by the proteasome. Both our MonoDAC and BiDAC protein degrader approaches are complementary and this provides us with additional flexibility to design degraders for each application and specific target. Since our degraders are fundamentally small molecules, we are able to deliver them through any route of administration available to traditional small molecules, including oral, intravenous and subcutaneous. Furthermore, our approach emphasizes the value of rapid catalytic degradation to increase the rate with which degradation of disease-causing target proteins occurs. Our approach focuses on minimizing biology and toxicity risk and pursuing diseases with significant unmet medical need and defined regulatory pathways.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40"/>
          </w:cols>
          <w:pgMar w:left="320" w:top="454"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TORPEDO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88265</wp:posOffset>
            </wp:positionV>
            <wp:extent cx="4263390" cy="19361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63390"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 xml:space="preserve">Our proprietary platform, TORPEDO, allows for informed and efficient drug design and discovery through a robust chemistry engine and proprietary assays, culminating in predictive models that enable us to maximize catalytic turnover and predict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performance. Key elements of the platform include:</w:t>
      </w:r>
    </w:p>
    <w:p>
      <w:pPr>
        <w:spacing w:after="0" w:line="149" w:lineRule="exact"/>
        <w:rPr>
          <w:sz w:val="20"/>
          <w:szCs w:val="20"/>
          <w:color w:val="auto"/>
        </w:rPr>
      </w:pPr>
    </w:p>
    <w:p>
      <w:pPr>
        <w:ind w:left="880" w:hanging="432"/>
        <w:spacing w:after="0" w:line="238" w:lineRule="auto"/>
        <w:tabs>
          <w:tab w:leader="none" w:pos="880" w:val="left"/>
        </w:tabs>
        <w:numPr>
          <w:ilvl w:val="0"/>
          <w:numId w:val="57"/>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Structural biology and ternary complex model development: </w:t>
      </w:r>
      <w:r>
        <w:rPr>
          <w:rFonts w:ascii="Arial" w:cs="Arial" w:eastAsia="Arial" w:hAnsi="Arial"/>
          <w:sz w:val="17"/>
          <w:szCs w:val="17"/>
          <w:color w:val="auto"/>
        </w:rPr>
        <w:t>We have invested heavily in structure-based approaches, such as x-ray</w:t>
      </w:r>
      <w:r>
        <w:rPr>
          <w:rFonts w:ascii="Arial" w:cs="Arial" w:eastAsia="Arial" w:hAnsi="Arial"/>
          <w:sz w:val="17"/>
          <w:szCs w:val="17"/>
          <w:b w:val="1"/>
          <w:bCs w:val="1"/>
          <w:color w:val="auto"/>
        </w:rPr>
        <w:t xml:space="preserve"> </w:t>
      </w:r>
      <w:r>
        <w:rPr>
          <w:rFonts w:ascii="Arial" w:cs="Arial" w:eastAsia="Arial" w:hAnsi="Arial"/>
          <w:sz w:val="17"/>
          <w:szCs w:val="17"/>
          <w:color w:val="auto"/>
        </w:rPr>
        <w:t>crystallography and Hydrogen-Deuterium Exchange Mass Spectrophotometry, or HDX-MS, to evaluate degrader binding interactions and enable structure-based design in both the solid-state and solution. These approaches enable, among other things, the ability to dissect the distribution of ternary complexes formed by degrader complexes, allowing us to quickly evaluate and optimize prospective compounds. Our proprietary ternary complex model library incorporates target structure, Cereblon E3 ligase structure and chemistry data to provide insight into differences in activity between degraders and drive the medicinal chemistry optimization process.</w:t>
      </w:r>
    </w:p>
    <w:p>
      <w:pPr>
        <w:spacing w:after="0" w:line="4" w:lineRule="exact"/>
        <w:rPr>
          <w:rFonts w:ascii="MS PGothic" w:cs="MS PGothic" w:eastAsia="MS PGothic" w:hAnsi="MS PGothic"/>
          <w:sz w:val="12"/>
          <w:szCs w:val="12"/>
          <w:color w:val="auto"/>
        </w:rPr>
      </w:pPr>
    </w:p>
    <w:p>
      <w:pPr>
        <w:ind w:left="880" w:hanging="432"/>
        <w:spacing w:after="0" w:line="236" w:lineRule="auto"/>
        <w:tabs>
          <w:tab w:leader="none" w:pos="880" w:val="left"/>
        </w:tabs>
        <w:numPr>
          <w:ilvl w:val="0"/>
          <w:numId w:val="57"/>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Purpose-built chemistry engine: </w:t>
      </w:r>
      <w:r>
        <w:rPr>
          <w:rFonts w:ascii="Arial" w:cs="Arial" w:eastAsia="Arial" w:hAnsi="Arial"/>
          <w:sz w:val="17"/>
          <w:szCs w:val="17"/>
          <w:color w:val="auto"/>
        </w:rPr>
        <w:t>Our TORPEDO chemistry engine is designed to facilitate development of degraders with drug-like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properties, leveraging structural insights generated by the platform and our deep drug development expertise. Traditionally, small molecule inhibitor optimization has often been guided by an emphasis on specific property enhancements, such as the Lipinkski “rule of five,” which stipulates limits on the molecular weight and hydrogen bond donors and acceptors to ensure drug-like properties. Degraders often fall well outside of these traditional boundaries and therefore require a reevaluation of these guidelines, commonly referred to as the “beyond-rule-of-five” space. By applying these principles in our chemistry designs, we are able to improve drug-like properties, including permeability, solubility and oral bioavailability, while maintaining potency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w:t>
      </w:r>
    </w:p>
    <w:p>
      <w:pPr>
        <w:spacing w:after="0" w:line="5" w:lineRule="exact"/>
        <w:rPr>
          <w:rFonts w:ascii="MS PGothic" w:cs="MS PGothic" w:eastAsia="MS PGothic" w:hAnsi="MS PGothic"/>
          <w:sz w:val="12"/>
          <w:szCs w:val="12"/>
          <w:color w:val="auto"/>
        </w:rPr>
      </w:pPr>
    </w:p>
    <w:p>
      <w:pPr>
        <w:ind w:left="880" w:right="180" w:hanging="432"/>
        <w:spacing w:after="0" w:line="238" w:lineRule="auto"/>
        <w:tabs>
          <w:tab w:leader="none" w:pos="880" w:val="left"/>
        </w:tabs>
        <w:numPr>
          <w:ilvl w:val="0"/>
          <w:numId w:val="57"/>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Enabling quantitative degradation assays: </w:t>
      </w:r>
      <w:r>
        <w:rPr>
          <w:rFonts w:ascii="Arial" w:cs="Arial" w:eastAsia="Arial" w:hAnsi="Arial"/>
          <w:sz w:val="17"/>
          <w:szCs w:val="17"/>
          <w:color w:val="auto"/>
        </w:rPr>
        <w:t>We have developed high-throughput cellular degradation assays that produce quantitative</w:t>
      </w:r>
      <w:r>
        <w:rPr>
          <w:rFonts w:ascii="Arial" w:cs="Arial" w:eastAsia="Arial" w:hAnsi="Arial"/>
          <w:sz w:val="17"/>
          <w:szCs w:val="17"/>
          <w:b w:val="1"/>
          <w:bCs w:val="1"/>
          <w:color w:val="auto"/>
        </w:rPr>
        <w:t xml:space="preserve"> </w:t>
      </w:r>
      <w:r>
        <w:rPr>
          <w:rFonts w:ascii="Arial" w:cs="Arial" w:eastAsia="Arial" w:hAnsi="Arial"/>
          <w:sz w:val="17"/>
          <w:szCs w:val="17"/>
          <w:color w:val="auto"/>
        </w:rPr>
        <w:t>data showing the relationship between degrader concentration and target protein degradation. This approach, along with similar robust cellular assay systems, allows protein degradation quantitation with greater precision and higher throughput than traditional western-blot approaches. The application of our experimental data to our robust and proprietary models then allows us to predict protein degradation kinetics, and the high throughput of both approaches allows us to rapidly iterate and improve on degrader candidates and design for properties that optimize catalytic degradation turnover.</w:t>
      </w:r>
    </w:p>
    <w:p>
      <w:pPr>
        <w:ind w:left="880" w:right="100" w:hanging="432"/>
        <w:spacing w:after="0" w:line="236" w:lineRule="auto"/>
        <w:tabs>
          <w:tab w:leader="none" w:pos="880" w:val="left"/>
        </w:tabs>
        <w:numPr>
          <w:ilvl w:val="0"/>
          <w:numId w:val="57"/>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Predictive pharmacology founded on an enzymology framework: </w:t>
      </w:r>
      <w:r>
        <w:rPr>
          <w:rFonts w:ascii="Arial" w:cs="Arial" w:eastAsia="Arial" w:hAnsi="Arial"/>
          <w:sz w:val="17"/>
          <w:szCs w:val="17"/>
          <w:color w:val="auto"/>
        </w:rPr>
        <w:t>We have established an enzymology framework that assesses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balances the relationship between degrader concentration, time and target protein degradation to identify the key kinetic parameters of degrader induced protein degradation. We have extended this framework to proprietary PK/PD models, which integrate these kinetic parameters with metabolism and PK exposure profiles to predict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degrader performance. Our predictions of degrader performance are routinely validated through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PD experiments with measurements of target degradation from tumor samples using standard western blot assays. We have observed that these models linking cellular assays with predicted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performance have significantly accelerated our discovery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454"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process, and we believe that this will increase the likelihood of successfully transitioning from preclinical models to the clinic.</w:t>
      </w:r>
    </w:p>
    <w:p>
      <w:pPr>
        <w:spacing w:after="0" w:line="152"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color w:val="auto"/>
        </w:rPr>
        <w:t>These features help focus our platform on the creation of candidates that we believe will present minimized biology and toxicity risk and address unmet treatment needs.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Minimizing Biology and Toxicity Risk</w:t>
      </w:r>
    </w:p>
    <w:p>
      <w:pPr>
        <w:spacing w:after="0" w:line="3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place a significant emphasis on minimizing risk in our current and planned programs by focusing on candidates with well-established biology and toxicology profiles, which allows us to select degraders that we believe have the best chance of being successful clinically. To reduce biology risk, we pursue targets that have been clinically validated or that have strong preclinical data suggesting that successful target degradation would result in therapeutic benefit. To reduce toxicity risk, we seek to minimize predictable preclinical safety liabilities early in the drug development process. In furtherance of these objectives, we consider the following during program development:</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auto"/>
        </w:rPr>
        <w:t xml:space="preserve">Ligase selection: </w:t>
      </w:r>
      <w:r>
        <w:rPr>
          <w:rFonts w:ascii="Arial" w:cs="Arial" w:eastAsia="Arial" w:hAnsi="Arial"/>
          <w:sz w:val="17"/>
          <w:szCs w:val="17"/>
          <w:color w:val="auto"/>
        </w:rPr>
        <w:t>Our lead degraders exclusively utilize Cereblon as the E3 ligase. There are over 600 E3 ligases in the human proteome,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biology has been well characterized in no more than 50 of them. To our knowledge, only a limited number of E3 ligases, including Cereblon, VHL, MDM2, IAPs and ß-TRCP, are currently suitable for targeted protein degradation. We have chosen to focus on Cereblon as the E3 ligase target of our protein degradation approach for several reasons:</w:t>
      </w:r>
    </w:p>
    <w:p>
      <w:pPr>
        <w:spacing w:after="0" w:line="157" w:lineRule="exact"/>
        <w:rPr>
          <w:sz w:val="20"/>
          <w:szCs w:val="20"/>
          <w:color w:val="auto"/>
        </w:rPr>
      </w:pPr>
    </w:p>
    <w:p>
      <w:pPr>
        <w:ind w:left="880" w:right="200" w:hanging="432"/>
        <w:spacing w:after="0"/>
        <w:tabs>
          <w:tab w:leader="none" w:pos="880" w:val="left"/>
        </w:tabs>
        <w:numPr>
          <w:ilvl w:val="0"/>
          <w:numId w:val="58"/>
        </w:numPr>
        <w:rPr>
          <w:rFonts w:ascii="MS PGothic" w:cs="MS PGothic" w:eastAsia="MS PGothic" w:hAnsi="MS PGothic"/>
          <w:sz w:val="12"/>
          <w:szCs w:val="12"/>
          <w:color w:val="auto"/>
        </w:rPr>
      </w:pPr>
      <w:r>
        <w:rPr>
          <w:rFonts w:ascii="Arial" w:cs="Arial" w:eastAsia="Arial" w:hAnsi="Arial"/>
          <w:sz w:val="17"/>
          <w:szCs w:val="17"/>
          <w:color w:val="auto"/>
        </w:rPr>
        <w:t>Extensive clinical experience with the approved drugs thalidomide, lenalidomide and pomalidomide has shown that using Cereblon can effect target degradation. The mechanism of action of these molecules is to degrade disease targets, specifically IKZF1 and IKZF3, by bringing them into complex with Cereblon. Lenalidomide and pomalidomide are both approved drugs that have served as part of the standard of care for the treatment of MM for the last 15 and seven years, respectively. Together, this experience clinically validates that Cereblon has been harnessed both safely and effectively by other drugs.</w:t>
      </w:r>
    </w:p>
    <w:p>
      <w:pPr>
        <w:ind w:left="880" w:right="120" w:hanging="432"/>
        <w:spacing w:after="0" w:line="254" w:lineRule="auto"/>
        <w:tabs>
          <w:tab w:leader="none" w:pos="880" w:val="left"/>
        </w:tabs>
        <w:numPr>
          <w:ilvl w:val="0"/>
          <w:numId w:val="58"/>
        </w:numPr>
        <w:rPr>
          <w:rFonts w:ascii="MS PGothic" w:cs="MS PGothic" w:eastAsia="MS PGothic" w:hAnsi="MS PGothic"/>
          <w:sz w:val="12"/>
          <w:szCs w:val="12"/>
          <w:color w:val="auto"/>
        </w:rPr>
      </w:pPr>
      <w:r>
        <w:rPr>
          <w:rFonts w:ascii="Arial" w:cs="Arial" w:eastAsia="Arial" w:hAnsi="Arial"/>
          <w:sz w:val="17"/>
          <w:szCs w:val="17"/>
          <w:color w:val="auto"/>
        </w:rPr>
        <w:t>We have developed methods to obtain high resolution structural data with Cereblon bound to novel chemical binders, which allows us to rationally design improved binders with unique chemical features.</w:t>
      </w:r>
    </w:p>
    <w:p>
      <w:pPr>
        <w:ind w:left="880" w:right="340" w:hanging="432"/>
        <w:spacing w:after="0" w:line="270" w:lineRule="auto"/>
        <w:tabs>
          <w:tab w:leader="none" w:pos="880" w:val="left"/>
        </w:tabs>
        <w:numPr>
          <w:ilvl w:val="0"/>
          <w:numId w:val="58"/>
        </w:numPr>
        <w:rPr>
          <w:rFonts w:ascii="MS PGothic" w:cs="MS PGothic" w:eastAsia="MS PGothic" w:hAnsi="MS PGothic"/>
          <w:sz w:val="12"/>
          <w:szCs w:val="12"/>
          <w:color w:val="auto"/>
        </w:rPr>
      </w:pPr>
      <w:r>
        <w:rPr>
          <w:rFonts w:ascii="Arial" w:cs="Arial" w:eastAsia="Arial" w:hAnsi="Arial"/>
          <w:sz w:val="16"/>
          <w:szCs w:val="16"/>
          <w:color w:val="auto"/>
        </w:rPr>
        <w:t>Cereblon is widely expressed across tissues and is present in all of the cellular compartments, including the cytoplasm and nucleus, potentially allowing for Cereblon-mediated targeted protein degradation across a wide variety of clinical settings and potential targets.</w:t>
      </w:r>
    </w:p>
    <w:p>
      <w:pPr>
        <w:jc w:val="both"/>
        <w:ind w:left="880" w:right="460" w:hanging="432"/>
        <w:spacing w:after="0" w:line="249" w:lineRule="auto"/>
        <w:tabs>
          <w:tab w:leader="none" w:pos="880" w:val="left"/>
        </w:tabs>
        <w:numPr>
          <w:ilvl w:val="0"/>
          <w:numId w:val="58"/>
        </w:numPr>
        <w:rPr>
          <w:rFonts w:ascii="MS PGothic" w:cs="MS PGothic" w:eastAsia="MS PGothic" w:hAnsi="MS PGothic"/>
          <w:sz w:val="12"/>
          <w:szCs w:val="12"/>
          <w:color w:val="auto"/>
        </w:rPr>
      </w:pPr>
      <w:r>
        <w:rPr>
          <w:rFonts w:ascii="Arial" w:cs="Arial" w:eastAsia="Arial" w:hAnsi="Arial"/>
          <w:sz w:val="17"/>
          <w:szCs w:val="17"/>
          <w:color w:val="auto"/>
        </w:rPr>
        <w:t>We have developed multiple distinct, proprietary Cereblon binders that we have designed for improved drug-like properties, such as enhanced oral bioavailability, solubility, permeability and stability, and all of our product candidates and programs benefit from these properties of our proprietary Cereblon binders.</w:t>
      </w:r>
    </w:p>
    <w:p>
      <w:pPr>
        <w:spacing w:after="0" w:line="112" w:lineRule="exact"/>
        <w:rPr>
          <w:sz w:val="20"/>
          <w:szCs w:val="20"/>
          <w:color w:val="auto"/>
        </w:rPr>
      </w:pPr>
    </w:p>
    <w:p>
      <w:pPr>
        <w:jc w:val="both"/>
        <w:ind w:right="140"/>
        <w:spacing w:after="0" w:line="250" w:lineRule="auto"/>
        <w:rPr>
          <w:sz w:val="20"/>
          <w:szCs w:val="20"/>
          <w:color w:val="auto"/>
        </w:rPr>
      </w:pPr>
      <w:r>
        <w:rPr>
          <w:rFonts w:ascii="Arial" w:cs="Arial" w:eastAsia="Arial" w:hAnsi="Arial"/>
          <w:sz w:val="17"/>
          <w:szCs w:val="17"/>
          <w:color w:val="auto"/>
        </w:rPr>
        <w:t>Our library of Cereblon binders offers a proprietary and powerful toolkit for degrader discovery. This Cereblon binder toolkit enables a more modular approach to identifying and optimizing degraders, as each of these binder classes encode distinct drug-like properties and, importantly, unique “exit trajectories” from the Cereblon surface following protein degradation, which can promote better target degradation turnover.</w:t>
      </w:r>
    </w:p>
    <w:p>
      <w:pPr>
        <w:spacing w:after="0" w:line="10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b w:val="1"/>
          <w:bCs w:val="1"/>
          <w:color w:val="auto"/>
        </w:rPr>
        <w:t>Minimizing target toxicity and maximizing potential degradation</w:t>
      </w:r>
      <w:r>
        <w:rPr>
          <w:rFonts w:ascii="Arial" w:cs="Arial" w:eastAsia="Arial" w:hAnsi="Arial"/>
          <w:sz w:val="17"/>
          <w:szCs w:val="17"/>
          <w:color w:val="auto"/>
        </w:rPr>
        <w:t>: We select target proteins where we believe degradation of the target in adult</w:t>
      </w:r>
      <w:r>
        <w:rPr>
          <w:rFonts w:ascii="Arial" w:cs="Arial" w:eastAsia="Arial" w:hAnsi="Arial"/>
          <w:sz w:val="17"/>
          <w:szCs w:val="17"/>
          <w:b w:val="1"/>
          <w:bCs w:val="1"/>
          <w:color w:val="auto"/>
        </w:rPr>
        <w:t xml:space="preserve"> </w:t>
      </w:r>
      <w:r>
        <w:rPr>
          <w:rFonts w:ascii="Arial" w:cs="Arial" w:eastAsia="Arial" w:hAnsi="Arial"/>
          <w:sz w:val="17"/>
          <w:szCs w:val="17"/>
          <w:color w:val="auto"/>
        </w:rPr>
        <w:t>humans will likely be tolerable, often by selecting target proteins that have already been targeted by traditional inhibitors with good tolerability. Three of our lead targets, IKZF1/3, BRAF V600E and RET, have been previously targeted clinically with inhibitors, and their inhibition has been tolerated. One of our lead programs, BRAF V600E, specifically targets only the mutant disease-causing protein that is found only in cancer cells, which means that on-target protein degradation should only impact cancer cells. We also aim to limit on-target toxicity risk by specifically targeting proteins that are only critical in the setting of genetically driven cancer but not normal cells, as is the case with BRD9 and proteins that are minimally expressed in healthy adult cells, such as RET.</w:t>
      </w:r>
    </w:p>
    <w:p>
      <w:pPr>
        <w:spacing w:after="0" w:line="12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color w:val="auto"/>
        </w:rPr>
        <w:t xml:space="preserve">Degrader design: </w:t>
      </w:r>
      <w:r>
        <w:rPr>
          <w:rFonts w:ascii="Arial" w:cs="Arial" w:eastAsia="Arial" w:hAnsi="Arial"/>
          <w:sz w:val="17"/>
          <w:szCs w:val="17"/>
          <w:color w:val="auto"/>
        </w:rPr>
        <w:t>We seek to optimize catalytic degradation turnover and high selectivity, while also managing safety risk, by focusing our analytical</w:t>
      </w:r>
      <w:r>
        <w:rPr>
          <w:rFonts w:ascii="Arial" w:cs="Arial" w:eastAsia="Arial" w:hAnsi="Arial"/>
          <w:sz w:val="17"/>
          <w:szCs w:val="17"/>
          <w:b w:val="1"/>
          <w:bCs w:val="1"/>
          <w:color w:val="auto"/>
        </w:rPr>
        <w:t xml:space="preserve"> </w:t>
      </w:r>
      <w:r>
        <w:rPr>
          <w:rFonts w:ascii="Arial" w:cs="Arial" w:eastAsia="Arial" w:hAnsi="Arial"/>
          <w:sz w:val="17"/>
          <w:szCs w:val="17"/>
          <w:color w:val="auto"/>
        </w:rPr>
        <w:t>techniques and predictive models on the relationship between degrader properties and ultimate protein degradation. Our degraders activate the E3 ligase and facilitate target protein binding and ubiquitination, resulting in rapid overall target degradation. The ability of our degraders to repeat this process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80"/>
          </w:cols>
          <w:pgMar w:left="320" w:top="454" w:right="39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recursively with many copies of the target protein with the same single degrader molecule allows us to optimize our product candidates for catalytic degradation turnover and, as a result, create candidates that have the potential to provide a greater therapeutic effect. Our MonoDACs and BiDACs need to achieve sufficient binding affinity to initiate brief ternary complex formation, but, unlike traditional inhibitors, they do not need to achieve prolonged stable binding to achieve desired physiological effects. In fact, in a number of our pre-clinical research activities, we have observed that even weaker binders can still result in very efficient degraders since they may allow for higher rates of catalytic degradation turnover, which is something we prioritize to achieve potentially greater activity. We can target disease-causing proteins to which traditional inhibitors have been unable to sufficiently bind because we are not restricted to selecting compounds that have high target binding affinity. Moreover, in some instances we are able to repurpose molecules developed for traditional inhibitor approaches as the target-protein-binding end of our degraders and improve upon their biologic properties by incorporating them into a BiDAC.</w:t>
      </w:r>
    </w:p>
    <w:p>
      <w:pPr>
        <w:spacing w:after="0" w:line="123"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We address toxicity driven by degradation of proteins other than the intended target, or off-target toxicity, by developing degraders with high selectivity. We confirm selectivity by global protein expression studies and validate the results through standard good laboratory practice, or GLP, toxicity studies. We also minimize the risk of toxicity driven by the chemical matter making up our MonoDAC and BiDAC molecules that is independent of the specific toxicities described above, or molecule-related toxicity, with high quality chemical matter optimized to minimize known chemical and metabolic liabilities.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Focus on High Unmet Medical Need</w:t>
      </w:r>
    </w:p>
    <w:p>
      <w:pPr>
        <w:spacing w:after="0" w:line="3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currently focus on indications where there is a clear and high unmet medical need. Given the broad potential applicability of our approach, we believe it is important to prioritize treating diseases where traditional therapeutic modalities have failed or had a suboptimal therapeutic impact. In some cases of significant unmet need, there can be opportunities for expedited product development and a path to accelerated regulatory approval. Pursuing these types of accelerated pathways is a focus of our approach and provides the potential to address patients’ needs expediently while also validating our platform. We believe our platform has broad applicability beyond cancer that we plan to address in the future.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Leveraging our Differentiated Platform and Approach</w:t>
      </w:r>
    </w:p>
    <w:p>
      <w:pPr>
        <w:spacing w:after="0" w:line="39"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believe that these features differentiate our platform from other drug development approaches, including those of others in the targeted protein degradation space. We believe these differentiating features, as exemplified in our four lead programs, will help us succeed in developing novel degraders of disease-causing proteins to address unmet medical need.</w:t>
      </w:r>
    </w:p>
    <w:p>
      <w:pPr>
        <w:spacing w:after="0" w:line="119"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Our four lead programs will be delivered orally because, in these indications, against these targets, oral delivery provides potential therapeutic and commercial advantages. Also, oral delivery helps mitigate the risk of adverse events associated with intravenous or intramuscular administration, including pain or extravasation, or leakage into the extravascular tissue, at the infusion site. By focusing on targets with reduced biology and toxicity risk and pursuing conditions with high unmet medical need, we have selected four preclinical programs to advance into the clinic.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Candidates—Highly Selective Protein Degraders</w:t>
      </w:r>
    </w:p>
    <w:p>
      <w:pPr>
        <w:spacing w:after="0" w:line="71" w:lineRule="exact"/>
        <w:rPr>
          <w:sz w:val="20"/>
          <w:szCs w:val="20"/>
          <w:color w:val="auto"/>
        </w:rPr>
      </w:pPr>
    </w:p>
    <w:p>
      <w:pPr>
        <w:jc w:val="both"/>
        <w:ind w:right="40"/>
        <w:spacing w:after="0" w:line="250" w:lineRule="auto"/>
        <w:rPr>
          <w:sz w:val="20"/>
          <w:szCs w:val="20"/>
          <w:color w:val="auto"/>
        </w:rPr>
      </w:pPr>
      <w:r>
        <w:rPr>
          <w:rFonts w:ascii="Arial" w:cs="Arial" w:eastAsia="Arial" w:hAnsi="Arial"/>
          <w:sz w:val="17"/>
          <w:szCs w:val="17"/>
          <w:color w:val="auto"/>
        </w:rPr>
        <w:t>We currently have four preclinical product candidates in development. We anticipate that our CFT7455 and CFT8634 product candidates will be in the clinic by the end of 2021, and that our BRAF V600E and RET programs will be in the clinic by the end of 2022. These programs are directed towards targets that remain inadequately treated with available therapies or are undruggable.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CFT7455: A IKZF1/3 Degrader for Multiple Myeloma, Peripheral T-Cell Lymphoma and Mantle Cell Lymphoma</w:t>
      </w:r>
    </w:p>
    <w:p>
      <w:pPr>
        <w:spacing w:after="0" w:line="4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We are developing CFT7455, an orally bioavailable degrader targeting IKZF1/3, for the treatment of MM and NHLs, including PTCL and MCL. We have chosen IKZF1/3 as our initial targets for degradation because of their strong mechanistic rationale and well-defined biology. In preclinical studies, CFT7455 has shown robust activity in MM, PTCL and MCL subcutaneous xenograft mouse models, providing preclinical proof of concept. Specifically in MM, we have observed in preclinical studies that CFT7455 remains active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that are relatively insensitive to standard of care agents that have a similar mechanism of action, such as pomalidomide. We believe that the differentiated pharmacology of CFT7455, including its high potency, may translate into significantly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40"/>
          </w:cols>
          <w:pgMar w:left="320" w:top="454"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both"/>
        <w:ind w:right="40"/>
        <w:spacing w:after="0" w:line="250" w:lineRule="auto"/>
        <w:rPr>
          <w:sz w:val="20"/>
          <w:szCs w:val="20"/>
          <w:color w:val="auto"/>
        </w:rPr>
      </w:pPr>
      <w:r>
        <w:rPr>
          <w:rFonts w:ascii="Arial" w:cs="Arial" w:eastAsia="Arial" w:hAnsi="Arial"/>
          <w:sz w:val="17"/>
          <w:szCs w:val="17"/>
          <w:color w:val="auto"/>
        </w:rPr>
        <w:t>improved clinical outcomes over current standard-of-care agents in each of the indications in which we are pursuing its development. Additionally, our first-in-human Phase 1/2 clinical trial is designed to capitalize on potential opportunities for expedited product development and accelerated approval in MM, PTCL and MCL.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IKZF1/3 Is a Well Understood Biological Target for Certain Blood Cancers</w:t>
      </w:r>
    </w:p>
    <w:p>
      <w:pPr>
        <w:spacing w:after="0" w:line="3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IKZF1 and IKZF3 are transcription factors central to the differentiation of lympho-myeloid multipotent progenitor cells through mature immune cells, including T cells and plasma cells, such as B cells. In particular, by preventing the maturation of B cells there is an antiproliferative effect in B-cell driven blood cancers, such as MM, B-cell lymphomas and myelodysplastic syndrome. In addition to these cell-intrinsic dependencies on IKFZ1/3 for B cell maturation, degradation of IKZF1 and IKZF3 has been shown in third-party research to lead to enhanced IL-2 expression in T cells, meaning IKZF1/3 degradation also induces T cell activity and may exert anti-cancer effects. IKZF1/3 has been previously validated as a target in clinical practice. Lenalidomide and pomalidomide primarily target IKZF1/3 as their mechanism of action.</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Multiple Myeloma</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the United States, MM represents nearly 1.8% of all new cancer cases. The National Cancer Institute estimates that there will be 32,270 new cases of MM in the United States and 12,830 deaths from the disease in 2020. Although overall outcomes for patients with MM have improved substantially over the past several decades, patients with MM have a poor prognosis and the predicted median five-year relative survival rate is only 53.9%. As such, there remains a significant unmet need.</w:t>
      </w:r>
    </w:p>
    <w:p>
      <w:pPr>
        <w:spacing w:after="0" w:line="11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Most patients with MM will have an initial response to treatment. Based on fluorescence in situ hybridization, or FISH, studies on bone marrow, patients are stratified into high-risk or standard-risk categories. High-risk patients eligible for hematopoietic cell transplantation receive induction therapy with a combination regimen, often including an IKZF1/3 targeting drug like lenalidomide, to reduce the number of tumor cells prior to stem cell collection. Alternatively, patients who are ineligible for hematopoietic cell transplantation immediately receive a combination regimen, often with three to four classes of drugs, including an IKZF1/3 targeting-drug and a steroid, typically dexamethasone, until progression or unacceptable toxicity.</w:t>
      </w:r>
    </w:p>
    <w:p>
      <w:pPr>
        <w:spacing w:after="0" w:line="11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However, current therapies are not curative, and most patients will ultimately progress. Despite the likelihood of an initial remission, there is a significant unmet need because most patients experience serial relapse and will be treated with most available agents at some point during their disease course. In our clinical program, we will initially focus on treating patients with relapsed/refractory MM who have received at least two lines of specified prior therapy, including lenalidomide, pomalidomide, two proteasome inhibitors and/or an anti-CD38 monoclonal antibody, or mAb. Ultimately, our intention is to seek approval in earlier lines of therapy, replacing or complementing current IKZF1/3 targeting-drugs. We believe that the high potency and activity we have seen </w:t>
      </w:r>
      <w:r>
        <w:rPr>
          <w:rFonts w:ascii="Arial" w:cs="Arial" w:eastAsia="Arial" w:hAnsi="Arial"/>
          <w:sz w:val="17"/>
          <w:szCs w:val="17"/>
          <w:i w:val="1"/>
          <w:iCs w:val="1"/>
          <w:color w:val="auto"/>
        </w:rPr>
        <w:t>in vivo has the potential to translate into a meaningful benefit for patients.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Peripheral T-cell Lymphomas</w:t>
      </w:r>
    </w:p>
    <w:p>
      <w:pPr>
        <w:spacing w:after="0" w:line="3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PTCLs are a heterogeneous and typically aggressive group of NHLs. The Surveillance, Epidemiology and End Results Program or SEER Program, of the National Institutes of Health, or NIH, estimates that there will be 77,240 new cases of NHL in the United States and 19,940 deaths from the disease in 2020. PTCLs comprise approximately 4% of all NHLs in the United States and Europe, with an incidence that increased from 0.1 cases per 100,000 in 1992 to 0.4 cases per 100,000 in 2006, potentially reflecting improved diagnostic methods. The median five-year relative survival of patients with PTCL is 50%.</w:t>
      </w:r>
    </w:p>
    <w:p>
      <w:pPr>
        <w:spacing w:after="0" w:line="12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PTCL is a heterogeneous malignancy with many subtypes. The outcomes in these subtypes vary, but many patients with PTCL do poorly. In patients with PTCL in whom no subtype is defined, which is often referred to as PTCL not otherwise specified or PTCL-NOS, the five-year overall survival is approximately 20% to 32%. In other subtypes, outcomes vary greatly, though most patient with these subtypes do poorly. For instance, patients with angioimmunoblastic, natural killer/T-cell lymphoma, adult T-cell leukemia/lymphoma, hepatosplenic, enteropathy type or ALK-peripheral T-cell lymphoma all have a median five-year overall survival of less than 50%. Although initial overall response rates for chemotherapy are approximately 40% to 75%, most patients either relapse or fail to achieve remission. Median progression free survival or PFS, following chemotherapy is 12 to 14 months with a median five-year survival rate of approximately 20% to 30%. There is a significant unmet need for relapsed/refractory disease as there is no accepted standard of care for this population. Lenalidomide has been tested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20"/>
          </w:cols>
          <w:pgMar w:left="320" w:top="454" w:right="3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clinically in PTCL in a Phase 2 trial and shown to have an overall response rate of 22% to 26%. Cereblon modulators, such as lenalidomide, also known as IMiDs, are not widely used nor approved for treating PTCL. Based on our preclinical data, we believe CFT7455 has the potential to create a meaningful benefit for these patients.</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Mantle Cell Lymphoma</w:t>
      </w:r>
    </w:p>
    <w:p>
      <w:pPr>
        <w:spacing w:after="0" w:line="3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MCL is one of the mature B-cell NHLs. MCL comprises approximately seven percent of adult NHLs in the United States and Europe with an incidence of approximately 0.8 cases per 100,000 persons per year according to recent SEER Program estimates. Median overall survival for patients receiving intensive therapy is four to five years. There is no universally accepted standard of care for MCL. Outside of agents being tested in clinical trials, treatment options typically include some combination of conventional chemoimmunotherapy, rituximab and radiation therapy. Most patients with MCL experience serial relapse and are treated with various agents, including IKFZ1/3-targeting drugs, BTK inhibitors or the BH-3 mimetic venetoclax. Lenalidomide is approved for use in patient with MCL whose disease has relapsed or progressed after two prior therapies, one of which</w:t>
      </w:r>
    </w:p>
    <w:p>
      <w:pPr>
        <w:spacing w:after="0" w:line="1"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included bortezomib, based in part on an observed overall response rate of approximately 26%. However, lenalidomide is not widely used to treat MCL. Accordingly, we believe that CFT7455 has the potential to meaningfully improve outcomes and become an established standard of care for these patients.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Development</w:t>
      </w:r>
    </w:p>
    <w:p>
      <w:pPr>
        <w:spacing w:after="0" w:line="3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conducted a comprehensive preclinical program across multiple mouse models to study CFT7455 as a potential treatment for MM, PTCL and MCL. We are preparing to submit an IND for CFT7455 in the fourth quarter of 2020 and intend to initiate a Phase 1/2 first-in-human trial in the first half of 2021.</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performed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analysis of CFT7455 at varying doses in cells lines across MM and PTCL. The figure below on the left depicts CFT7455, in a</w:t>
      </w:r>
    </w:p>
    <w:p>
      <w:pPr>
        <w:spacing w:after="0" w:line="25" w:lineRule="exact"/>
        <w:rPr>
          <w:sz w:val="20"/>
          <w:szCs w:val="20"/>
          <w:color w:val="auto"/>
        </w:rPr>
      </w:pPr>
    </w:p>
    <w:p>
      <w:pPr>
        <w:ind w:right="40" w:firstLine="7"/>
        <w:spacing w:after="0" w:line="244" w:lineRule="auto"/>
        <w:tabs>
          <w:tab w:leader="none" w:pos="329" w:val="left"/>
        </w:tabs>
        <w:numPr>
          <w:ilvl w:val="0"/>
          <w:numId w:val="59"/>
        </w:numPr>
        <w:rPr>
          <w:rFonts w:ascii="Arial" w:cs="Arial" w:eastAsia="Arial" w:hAnsi="Arial"/>
          <w:sz w:val="17"/>
          <w:szCs w:val="17"/>
          <w:color w:val="auto"/>
        </w:rPr>
      </w:pPr>
      <w:r>
        <w:rPr>
          <w:rFonts w:ascii="Arial" w:cs="Arial" w:eastAsia="Arial" w:hAnsi="Arial"/>
          <w:sz w:val="17"/>
          <w:szCs w:val="17"/>
          <w:color w:val="auto"/>
        </w:rPr>
        <w:t>model, degrading up to approximately 90% of the IKZF1 target protein within 24 hours in a dose-dependent fashion. The figure below on the right depicts CFT7455, in a PTCL model, dose dependently degrading up to approximately 90% of IKZF1 in six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116840</wp:posOffset>
            </wp:positionV>
            <wp:extent cx="4170045" cy="1681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70045"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20"/>
          </w:cols>
          <w:pgMar w:left="320" w:top="454" w:right="3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CFT7455 is a highly selective degrader of IKZF1 and IKZF3, as demonstrated by the figure below. The figure depicts the standard method for determining degrader selectivity is a global proteomics experiment, which utilizes mass spectrometry to quantify cellular protein levels in DL-40 xenograft tumor cells following drug treatment. Specifically, the total cellular protein pool is extracted and processed from cells treated with a degrader, then each protein is individually identified and its level quantified. Using this process, we analyzed the effect of CFT7455 on over 8,000 proteins. These data were then compared to control samples from cells treated with the dosing solution alone, or vehicle, to provide the relative level changes for each protein in the entire cellular protein pool. The x-axis in the graph represents the relative level of proteins in the treated cells compared to control samples, and the y-axis shows the level of statistical confidence in the difference in relative levels of each protein. The figure below depicts cells treated with CFT7455 degrading only a small subset of the cellular proteins with statistical confidence, which are the proteins highlighted in red falling outside of the shaded area. This analysis shows that CFT7455 is a highly selective degrader of IKZF1 and IKZF3.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121285</wp:posOffset>
            </wp:positionV>
            <wp:extent cx="2148840" cy="3065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48840" cy="306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Further, we have profiled known Cereblon targets of pomalidomide and lenalidomide, including GSPT1, GSPT2 and SALL4, using target-specific assays. We observed that CFT7455 has no detectable activity against GSPT1 or GSPT2, but it does degrade SALL4, which is not expressed in the cell line used in the analysis reflected in the figure above, and accordingly, its downregulation is not detected in this assay.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40"/>
          </w:cols>
          <w:pgMar w:left="320" w:top="454"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In addition to IKZF1 and IKZF3 degradation and selectivity, we have observed potent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across a panel of relevant cell lines. In multiple subcutaneous xenograft mouse models of MM, PTCL and other NHLs, CFT7455 treatment resulted in complete regression at doses that we believe could be clinically active, as shown in the graphs below. Significantly, 30 µg/kg of CFT7455 administered once daily, or QD, demonstrated complete regression and clear dose responsiveness in a widely used MM xenograft model, H929, as shown in the graph on the left below. Additionally, in the RPMI-8226 MM xenograft model, a MM model that is relatively insensitive to treatment with pomalidomide, CFT7455 demonstrated tumor regression and dose responsiveness, as shown in the graph on the right below, and the combination of dexamethasone and CFT7455 resulted in increased activity compared to either CFT7455 or dexamethasone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119380</wp:posOffset>
            </wp:positionV>
            <wp:extent cx="5019040" cy="1698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19040"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 xml:space="preserve">In the RPMI-8226 MM xenograft, we observed that pomalidomide at the clinically relevant dose of 3,000 </w:t>
      </w:r>
      <w:r>
        <w:rPr>
          <w:rFonts w:ascii="Times New Roman" w:cs="Times New Roman" w:eastAsia="Times New Roman" w:hAnsi="Times New Roman"/>
          <w:sz w:val="17"/>
          <w:szCs w:val="17"/>
          <w:color w:val="auto"/>
        </w:rPr>
        <w:t>m</w:t>
      </w:r>
      <w:r>
        <w:rPr>
          <w:rFonts w:ascii="Arial" w:cs="Arial" w:eastAsia="Arial" w:hAnsi="Arial"/>
          <w:sz w:val="17"/>
          <w:szCs w:val="17"/>
          <w:color w:val="auto"/>
        </w:rPr>
        <w:t xml:space="preserve">g/kg was indistinguishable from treatment with the vehicle as shown in the graphic below. A low dose of CFT7455, 30 </w:t>
      </w:r>
      <w:r>
        <w:rPr>
          <w:rFonts w:ascii="Times New Roman" w:cs="Times New Roman" w:eastAsia="Times New Roman" w:hAnsi="Times New Roman"/>
          <w:sz w:val="17"/>
          <w:szCs w:val="17"/>
          <w:color w:val="auto"/>
        </w:rPr>
        <w:t>m</w:t>
      </w:r>
      <w:r>
        <w:rPr>
          <w:rFonts w:ascii="Arial" w:cs="Arial" w:eastAsia="Arial" w:hAnsi="Arial"/>
          <w:sz w:val="17"/>
          <w:szCs w:val="17"/>
          <w:color w:val="auto"/>
        </w:rPr>
        <w:t xml:space="preserve">g/kg, was active in the model, even when administered to large tumors that had grown despite treatment with 3,000 </w:t>
      </w:r>
      <w:r>
        <w:rPr>
          <w:rFonts w:ascii="Times New Roman" w:cs="Times New Roman" w:eastAsia="Times New Roman" w:hAnsi="Times New Roman"/>
          <w:sz w:val="17"/>
          <w:szCs w:val="17"/>
          <w:color w:val="auto"/>
        </w:rPr>
        <w:t>m</w:t>
      </w:r>
      <w:r>
        <w:rPr>
          <w:rFonts w:ascii="Arial" w:cs="Arial" w:eastAsia="Arial" w:hAnsi="Arial"/>
          <w:sz w:val="17"/>
          <w:szCs w:val="17"/>
          <w:color w:val="auto"/>
        </w:rPr>
        <w:t>g/kg of pomalidomide for 21 days and were insensitive to pomalidomide and then were switched to treatment with CFT7455.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109220</wp:posOffset>
            </wp:positionV>
            <wp:extent cx="2590165" cy="20040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0165" cy="200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20"/>
          </w:cols>
          <w:pgMar w:left="320" w:top="454"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As shown in the figures below, in preclinical studies evaluating various doses of CFT7455 and pomalidomide in MM H929 cells, CFT7455 was up to 10,000-fold more potent than pomalidomide, as measured by impact on cell viability after 96 hours. Further, CFT7455 exhibited a high catalytic turnover rate, as measured by CFT7455’s cellular degradation rate of up to 75% at 1.5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114300</wp:posOffset>
            </wp:positionV>
            <wp:extent cx="3031490" cy="32867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031490" cy="328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Based on its pharmacological properties, we believe CFT7455 may have a favorable therapeutic index and has the potential to replace or follow existing standard of care therapies. We have also evaluated varied dose regimens, as shown in the figure below, which suggest the possibility of intermittent dosing of CFT7455. This could further increase the therapeutic index if adverse events are observed, by incorporating drug holidays in the dosing schedule. Preliminary data from 28-day oral toxicity studies conducted in rats and monkeys demonstrated that exposures well above the modeled efficacious exposures in humans have been tolerated. Definitive GLP-toxicity studies are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119380</wp:posOffset>
            </wp:positionV>
            <wp:extent cx="3380105" cy="17494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8010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Planned First-in-Human Phase 1/2 Trial</w:t>
      </w:r>
    </w:p>
    <w:p>
      <w:pPr>
        <w:spacing w:after="0" w:line="39"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We expect to file an IND for CFT7455 in the fourth quarter of 2020 and expect to dose the first patient in a clinical trial of this product candidate in the first half of 2021. Our planned Phase 1/2 trial is designed as a dose escalation trial of CFT7455 in approximately 18 to 30 subjects with MM and NHL. We have designed the trial to identify a</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20"/>
          </w:cols>
          <w:pgMar w:left="320" w:top="454" w:right="3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maximum tolerable dose and a recommended dose for expansion in patients with MM, and a discrete dose for patients with NHL. Identifying discrete doses for each indication is done for two reasons: first, it has been observed in prior clinical experience that patients with MM may tolerate a higher dose of IKZF1/3 targeting agents than do NHL patients; second, in MM, the addition of dexamethasone to CFT7455 may increase the clinical activity or therapeutic index of CFT7455, thus we will explore CFT7455 both as a single agent and in combination with dexamethasone in MM but only as a single agent in NHL. This trial will primarily investigate the safety and tolerability of CFT7455, and key secondary endpoints will be to characterize its PK/PD and anti-tumor activity. We expect the Phase 1/2 results will help us better understand the disease characteristics of those patients who may derive benefit from CFT7455, which will enable us to design future clinical trials for this product candidate more effectively. The initial cohort will enroll three to six subjects with relapsed/refractory MM or NHL and we will administer CFT7455 over a 28-day cycle, evaluating the window for any potential dose-limiting toxicity. We anticipate Phase 1/2 initial topline safety and PK results approximately one year after the first patient is dosed. In the expansion stage, we expect to enroll an additional 30 patients with relapsed/refractory MM, 20 patients with MCL and 20 patients with PTCL.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CFT8634: A Novel BRD9 Degrader for Synovial Sarcoma</w:t>
      </w:r>
    </w:p>
    <w:p>
      <w:pPr>
        <w:spacing w:after="0" w:line="39"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We are developing CFT8634, an orally bioavailable protein degrader targeting BRD9 for the treatment of synovial sarcoma and SMARCB1-deleted solid malignancies. We have chosen BRD9 as a target for our approach because of the strong mechanistic rationale, the well-defined biology, the unique opportunity to target BRD9 with a degrader (traditional protein inhibitors are infective in this setting) and a significant unmet need in these patient populations. We plan to initially pursue development in synovial sarcoma, which is defined by a gene translocation SS18-SSX that results in dependency on BRD9 and is therefore potentially addressable by a BRD9 degrader. There are currently no clinical stage molecules targeting BRD9, as BRD9 has been considered an undruggable target with standard modalities. There is limited benefit of existing treatments for metastatic or locally advanced synovial sarcoma, with patients having a median survival of approximately 18 months. We believe that the ability of our degrader CFT8634 to drug BRD9 has the potential to offer a benefit over currently available therapies for patients with synovial sarcoma.</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BRD9 Is a Well Characterized Driver of Cancer with No Currently Available Targeted Therapies</w:t>
      </w:r>
    </w:p>
    <w:p>
      <w:pPr>
        <w:spacing w:after="0" w:line="39"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BRD9 is a component of the ncBAF, which is one of three types of BAF complexes in human cells. The BAF complexes, also known as SWI/SNF complexes, are responsible for regulating gene transcription. Critically, BRD9 and the ncBAF complex of which it is a component, is not normally required for cell survival. Normal cells rely on another complex, cBAF, for cellular growth, and BRD9 is not a member of this complex. However, in certain genetic settings, ncBAF drives malignancy and these tumors are dependent on BRD9. Genetic settings in which BRD9 is critical share the same feature: the function of the cBAF complex is compromised because SMARCB1, a critical component for normal function of the cBAF complex, is removed from the complex. This situation, referred to as BAF perturbation, is seen in both cancers in which SMARCB1 is deleted, such as malignant rhabdoid tumors, or MRTs, and epithelioid sarcoma, as well as when a pathogenic fusion protein referred to as SS18-SSX results in the ejection of SMARCB1 from the BAF complex. This SS18-SSX fusion protein is the defining genetic lesion that drives synovial sarcoma. In each of these settings, BAF perturbation results in a central dependency on the ncBAF complex, and as a result BRD9, for tumor growth. This is an example of synthetic lethality, in which the cancer cell has a specific vulnerability to BRD9 degradation in the setting of the underlying genetic lesion. In contrast, normal cells, which do not harbor this genetic lesion, are relatively unaffected by the degradation of BRD9. Thus, BRD9 is a critical dependency of the cancer in these genetic settings, and depriving the cancer cell of BRD9 effectively stops tumor growth.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40"/>
          </w:cols>
          <w:pgMar w:left="320" w:top="454" w:right="3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BRD9 has previously been considered undruggable because existing small molecule inhibitors of the bromodomain are inactive against synovial sarcoma. This is because inhibition of this domain is not sufficient to block BRD9 from driving cancer cell growth, preclinically. Inhibitors of other protein functions, such as that of the critical domain of unknown function, or DUF, have not been described. We believe that our approach to targeted protein degradation of BRD9 has the potential to offer a major benefit over currently available therapies for synovial sarcoma and SMARCB1-deleted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119380</wp:posOffset>
            </wp:positionV>
            <wp:extent cx="5027295" cy="2675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27295" cy="267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Synovial Sarcoma</w:t>
      </w:r>
    </w:p>
    <w:p>
      <w:pPr>
        <w:spacing w:after="0" w:line="3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Synovial sarcoma is an aggressive tumor that accounts for approximately 900 cases in the United States each year, or approximately 10% of all soft tissue sarcomas. While it is prevalent in patients over a wide range of ages, it is more common in younger adult patients, with a median age of onset of 36 years. Like many sarcomas, synovial sarcoma is characterized by recurrent chromosomal arrangements and is referred to as a fusion gene driven malignancy. Specifically, nearly all synovial sarcomas contain a fusion of the SS18 gene on chromosome 18 to the SSX1, SSX2 or SSX4 gene on the X chromosome. This type of mutation is referred to as a t(X;18) chromosomal rearrangement, or an SS18-SSX fusion.</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SMARCB1-deleted Tumors</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SMARCB1 is a key member of the BAF chromatin-remodeling complex and assists in the control of gene transcription. The function of SMARCB1 and the BAF complex in cancer has only recently been established. SMARCB1 is a tumor suppressor gene, meaning any decrease in function could potentially result in tumor proliferation. The inactivation of both alleles of SMARCB1 has been shown to result in several types of tumors, including malignant rhabdoid tumors, or MRTs, as well as epithelioid sarcoma, renal medullary carcinoma, undifferentiated pediatric sarcomas, a subset of hepatoblastomas and others.</w:t>
      </w:r>
    </w:p>
    <w:p>
      <w:pPr>
        <w:spacing w:after="0" w:line="122"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MRTs typically present in infancy or early childhood and are often aggressive. If the MRT is found in the central nervous system, MRTs are referred to as atypical teratoid/rhabdoid tumors, or AT/RT. Whether the tumor is classified as MRT or AT/RT, the vast majority of these tumors are characterized by the loss of function of the SMARCB1 subunit of the BAF complex.</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BRD9 has been shown to be an attractive target in pediatric MRTs because the loss or inactivation of the SMARCB1 subunit of the BAF complex leads to a dependency on BRD9. Mechanistically, SMARCB1 loss results in the reprogramming of the cBAF complex and makes the ncBAF complex essential, in a similar mechanism to that which drives synovial sarcoma. As a result, SMARCB1-mutant malignant rhabdoid tumors are dependent on the BRD9-containing ncBAF complex. Thus, we are able to target this tumor by degrading BRD9. We believe our BRD9 degrader could reduce tumor cell proliferation and improve patient outcomes.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20"/>
          </w:cols>
          <w:pgMar w:left="320" w:top="454" w:right="3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Intensive, multimodality treatment approaches have improved the clinical outcome of these young patients in a stepwise manner. However, their prognosis remains poor even on these treatment approaches and the median duration of survival in clinical trials does not exceed nine to 17 months. New therapeutic strategies are urgently needed and we believe CFT8634 may have a potentially meaningful clinical impact in these patients.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Development</w:t>
      </w:r>
    </w:p>
    <w:p>
      <w:pPr>
        <w:spacing w:after="0" w:line="3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We have conducted preclinical studies of CFT7503 in two mouse models. CFT7503 is the parent racemic mixture of our lead product candidate, CFT8634. In these studies, we have observed comparability between CFT7503 and CFT8634 in terms of cellular potency, selectivity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Further, both CFT7503 and CFT8634 are highly selective for BRD9 relative to other bromodomain containing proteins, including BRD7 and BRD4, as shown in the dose dependency of target degradation in H293T cell lines expressing the individual proteins, as reflected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112395</wp:posOffset>
            </wp:positionV>
            <wp:extent cx="4441825" cy="16052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441825" cy="160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 xml:space="preserve">We have also observed meaningful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dose-dependent inhibition of cell proliferation of synovial sarcoma cell lines over time. Cell proliferation is measured by analyzing the occupied area of cells in a sample over time and densely packed cells are considered confluent. Cell growth inhibition is evidenced in cultures that show a growth plateau below 100%. The figure below on the left shows the effect of CFT7503 on BAF perturbed Yamato cell lines, which is a mouse xenograft model of synovial sarcoma, compared to the effect of a BRD9 inhibitor, shown as BRD9i or the vehicle, dimethylsulfoxide, or DMSO, which were ineffective. CFT7503 had little impact on the growth of a BAF wildtype SW982 cell line, as shown in the graph on the right, showing that its effect was limited to cells with BAF perturbation.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145415</wp:posOffset>
            </wp:positionV>
            <wp:extent cx="3889375" cy="2989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89375" cy="298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20"/>
          </w:cols>
          <w:pgMar w:left="320" w:top="454" w:right="3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below graphic shows CFT7503 was active and tolerated when dosed orally in a mouse xenograft model of synovial sarcoma (Yamato) and a PDX model (SA13412), with dose dependency observed between 6 mg/kg and 50 mg/kg QD for Yamato, and between 6 mg/kg and 40 mg/kg QD for PDX, with all doses being generally tolerated, indicated by limited weight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114300</wp:posOffset>
            </wp:positionV>
            <wp:extent cx="3778885" cy="3796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778885" cy="379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Planned First-in-Human Phase 1/2 Clinical Trial</w:t>
      </w:r>
    </w:p>
    <w:p>
      <w:pPr>
        <w:spacing w:after="0" w:line="39"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We expect to file an IND for CFT8634 with the FDA in the second half of 2021 and dose the first patient in a first-in-human Phase 1/2 clinical trial by the end of 2021. We expect to design our Phase 1/2 trial to be an open-label dose escalation trial in approximately 12 to 18 patients with synovial sarcoma or a solid tumor with SMARCB1 loss. The Phase 1 portion of the trial will primarily investigate the safety and tolerability of CFT8634. If a well-tolerated dose is identified for further development, we expect to enroll two expansion cohorts, one which will include 30 patients who are known to have synovial sarcoma and a second with patients having solid tumors harboring SMARCB1 loss. Assuming CFT8634 has a favorable profile in these early clinical trials, we initially intend to pursue approval in patients with synovial sarcoma after failure of first-line therapy. Depending on the results of the Phase 1/2 trials, we will work with the FDA to discuss potential accelerated approval pathways for this product candidate.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BRAF V600E Degrader Program</w:t>
      </w:r>
    </w:p>
    <w:p>
      <w:pPr>
        <w:spacing w:after="0" w:line="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are developing orally bioavailable degraders of BRAF V600E as part of our ongoing strategic partnership with Roche. We have chosen BRAF V600E as a target for our approach due to strong mechanistic rationale, well-defined biology and unmet need. We plan to initially pursue development in locally advanced or metastatic melanoma and NSCLC, in which approximately 50% and 2%, respectively, of cancers are driven by BRAF V600E mutation. In these patients, there remains a high unmet need for those who relapse after, or do not respond to, approved BRAF inhibitors. BRAF V600E mutations also occur in 10% to 20% of colorectal cancer patients, so we may pursue development of our BRAF V600E programs in other indications in parallel with, or sequentially to, development in our lead indications of relapsed/refractory BRAF V600E-positive melanoma and NSCLC. We believe that a mutant-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20"/>
          </w:cols>
          <w:pgMar w:left="320" w:top="454" w:right="3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560"/>
        <w:spacing w:after="0" w:line="271" w:lineRule="auto"/>
        <w:rPr>
          <w:sz w:val="20"/>
          <w:szCs w:val="20"/>
          <w:color w:val="auto"/>
        </w:rPr>
      </w:pPr>
      <w:r>
        <w:rPr>
          <w:rFonts w:ascii="Arial" w:cs="Arial" w:eastAsia="Arial" w:hAnsi="Arial"/>
          <w:sz w:val="17"/>
          <w:szCs w:val="17"/>
          <w:color w:val="auto"/>
        </w:rPr>
        <w:t>specific BRAF V600E degrader could offer a significant mechanistic benefit over currently available BRAF V600E inhibitors and could have the potential to confer significant improvements in clinical outcomes.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BRAF V600E is a Common and Well Understood Oncogenic Mutation</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BRAF is one of several protein kinases involved in a signaling cascade to initiate cell proliferation, known as the mitogen-activated protein kinase, or MAPK, pathway. The MAPK pathway conducts extracellular proliferative signals to the nucleus of cells, signaling them to proliferate. Many cancers are characterized by activating mutations in components of this MAPK pathway, including BRAF V600E mutations, which confer constitutive activation of the MAPK pathway and promote oncogenic transformation and can cause tumor growth.</w:t>
      </w:r>
    </w:p>
    <w:p>
      <w:pPr>
        <w:spacing w:after="0" w:line="11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Single base substitutions for the amino acid valine at codon 600 in the BRAF gene are known as V600 or Class I mutations, and when those V600 mutations result in substitution of glutamic acid for valine, they are referred to as V600E mutations. BRAF mutations occur in approximately 15% of all cancers, and approximately 70% to 90% of BRAF mutations are V600E mutations. Melanomas have been shown to contain a particularly high prevalence of BRAF mutations at 50%, of which greater than 90% are driven by a V600E mutation.</w:t>
      </w:r>
    </w:p>
    <w:p>
      <w:pPr>
        <w:spacing w:after="0" w:line="11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BRAF V600E mutants activate the MAPK pathway constitutively, meaning that cell proliferation is activated without receiving the extracellular proliferative signals necessary to activate the pathway normally. Constitutive activation occurs because BRAF V600E mutants are able to signal as a single protein, or monomer, while wild type BRAF proteins must form a complex of two proteins, or a dimer, before downstream signaling can occur. This constitutive activation leads to overactivation of the MAPK cell proliferation pathway, causing oncogenic cell proliferation and tumor growth. Approved small molecule inhibitors of BRAF V600E—vemurafenib, dabrafenib and encorafenib—block the constitutive activation of the MAPK pathway by the mutant BRAF monomer. However, BRAF inhibition with these molecules can lead to an alternative activation of the MAPK pathway, known as paradoxical activation. Under these conditions, BRAF inhibitors bind and inhibit BRAF V600E, but this inhibited form can form a protein dimer with other RAF proteins, including both wild type BRAF and BRAF mutants, activating the second molecule for signaling. This BRAF driven paradoxical activation activates, rather than inhibits, the MAPK pathway. BRAF inhibitors are frequently used in combination with MEK inhibitors, a protein downstream of BRAF in the MAPK pathway, which improves response rates and clinical outcomes. However, patients frequently do not respond sufficiently or they develop resistance to this approach. Many known mechanisms of resistance to approved BRAF inhibitors result in the promotion of BRAF dimerization, and in these settings the BRAF inhibitors are ineffective.</w:t>
      </w:r>
    </w:p>
    <w:p>
      <w:pPr>
        <w:spacing w:after="0" w:line="120"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We believe that targeted protein degradation of BRAF V600E offers the potential for a fundamental improvement over current BRAF inhibitors due to the advantages of degraders over inhibitors in general and because degrading mutant BRAF removes the possibility of incorporation into a BRAF dimer and subsequent paradoxical activation.</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Melanoma</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According to the National Cancer Institute, approximately 100,000 patients will be diagnosed with melanoma in 2020, and approximately 13% of those cases, or about 13,000 patients per year, will have locally advanced or metastatic disease. Moreover, approximately 50% of late stage melanoma patients carry BRAF mutations, and approximately 90% of those are BRAF V600E mutations. Taken together, we estimate that there are over 5,000 incidents of newly diagnosed melanoma patients per year with BRAF V600E-mutated locally advanced or metastatic disease.</w:t>
      </w:r>
    </w:p>
    <w:p>
      <w:pPr>
        <w:spacing w:after="0" w:line="11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recommended first-line treatment for patients with BRAF V600E-mutated unresectable or metastatic melanoma is anti-PD-1 monotherapy, such as pembrolizumab or nivolumab, or combination therapy with a BRAF inhibitor, such as dabrafenib, vemurafenib or encorafenib and a MEK inhibitor, such as astrametinib, cobimetinib or binimetinib. However, a significant number of patients undergoing this combination therapy do not sufficiently respond or have a durable response as resistance to the therapy occurs. Specifically, across several double-blind randomized controlled trials conducted by others evaluating BRAF and MEK inhibitor combination therapy in patients with previously untreated locally advanced or metastatic melanoma, median PFS has ranged from 9.9 to 14.9 months. After each of these lines of therapy is used, there are no approved single-agent therapies that effectively target BRAF. In preclinical models of resistance to BRAF inhibition, our degraders remained active when dosed in combination with a MEK inhibitor, in contrast to the approved BRAF inhibitor, encorafenib, which is inactive in this setting. Thus, a BRAF V600E degrader may be active clinically in the setting of resistance to approved BRAF inhibitors.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20"/>
          </w:cols>
          <w:pgMar w:left="320" w:top="454" w:right="3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color w:val="auto"/>
        </w:rPr>
        <w:t>In preclinical studies, in the A375 BRAF V600E melanoma model, we have observed that one of our BRAF V600E degraders, CFT7977, showed deeper and more sustained response in comparison to the standard of care BRAF inhibitor, dabrafenib,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102870</wp:posOffset>
            </wp:positionV>
            <wp:extent cx="3159125" cy="17576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5912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addition, two or our BRAF V600E degraders, CRT8442 and CFT8905, showed sustained activity in the A375 model encoding the NRAS Q61K activating mutation, in combination with the MEK inhibitor, trametinib, which is shown in the following figure. The NRAS Q61K activating mutation is a clinically observed mechanism of resistance to BRAF inhibitors. Both BRAF V600E degraders, in combination with trametinib, also showed improved activity compared to trametinib in combination with the BRAF V600E inhibitor, encorafenib.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118110</wp:posOffset>
            </wp:positionV>
            <wp:extent cx="2547620" cy="21570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47620" cy="2157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believe that our BRAF V600E degraders have the potential to improve upon current clinical outcomes, as our novel protein degraders could offer a potent and selective mechanism to degrade V600E-mutant BRAF and prevent constitutive activation and oncogenic cell proliferation. Furthermore, degrading BRAF V600E may offer a fundamental improvement over inhibiting BRAF V600E because degrading the mutant proteins with our approach may avoid the possibility of paradoxical activation.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 Degrader Program</w:t>
      </w:r>
    </w:p>
    <w:p>
      <w:pPr>
        <w:spacing w:after="0" w:line="39"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We are developing orally bioavailable degrading compounds of RET for the treatment of NSCLC, sporadic medullary thyroid cancers and other solid cancer indications. We have chosen RET because of its well-defined biology and the known drawbacks of RET protein inhibitors that we believe our degrader approach will be able to overcome. Our initial target population is relapsed/refractory patients with RET-altered cancers after treatment with RET inhibitors and we plan subsequently to pursue first-line treatment of RET-driven cancers. We believe our RET degrader has the potential to overcome resistance to standard of care RET inhibitors to effect deeper and more durable responses due to the unique advantages of protein degradation.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20"/>
          </w:cols>
          <w:pgMar w:left="320" w:top="454" w:right="3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RET is a Well-Characterized Protein Target for Oncology with Known Resistance Mechanisms</w:t>
      </w:r>
    </w:p>
    <w:p>
      <w:pPr>
        <w:spacing w:after="0" w:line="4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RET is a receptor tyrosine kinase that activates multiple downstream pathways involved in cell proliferation and survival. RET typically plays a role in normal development, but when mutated it can cause cancers, including NSCLC, medullary thyroid cancer and other solid tumors. Two RET-specific inhibitors have been developed to target these malignancies. Eli Lilly’s selpercatinib and Blueprint Medicines’ pralsetinib were recently approved, both as RET-specific kinase inhibitors to treat RET-altered NSCLC and medullary thyroid cancer. While these molecules showed in their Phase 2 trials that they are effective in the majority of the patients treated and generally well tolerated, patients are observed to relapse, at which point there are currently no approved targeted therapies.</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goal of our RET program is to design a degrader that covers the full landscape of observed and anticipated resistance mutants to current and emerging RET therapies in these relapsed/refractory patients. In particular, we have identified compounds that exhibit activity against the wild-type RET fusions and fusions encoding gatekeeper mutations, as well as similar potency and activity against a solvent front resistant mutant, or G810R, which is a mechanism of resistance to selpercatinib. We believe there may be an opportunity for our RET degrader as a viable alternative in front line therapy where we hope the RET degrader will effect deeper and more durable responses due to the advantages of a degrader over a standard protein inhibitor.</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Non-Small-Cell Lung Cancer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Lung cancer, in particular NSCLC, is often driven by alterations in a single driver oncogene, making these tumors well suited for precision therapies.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One such example is RET translocation, which is present in one percent to two percent of NSCLC.</w:t>
      </w:r>
    </w:p>
    <w:p>
      <w:pPr>
        <w:spacing w:after="0" w:line="130"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NSCLC patients with mutated or rearranged oncogene drivers can be treated with first-line selective inhibitors and achieve fairly high response rates and longer survival than with chemotherapy. However, in some cases, resistance develops to clinical RET inhibitors, due to mechanisms including new RET mutations that make the inhibitors inactive. Our RET degraders are designed to overcome these types of mutations. We believe that our RET degraders have the potential to improve upon current clinical outcomes, as they could offer an alternative to RET inhibition that is less susceptible to resistance mechanisms and potentially able to achieve similar efficacy in front-line settings with an improved pharmacodynamic profile.</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Development</w:t>
      </w:r>
    </w:p>
    <w:p>
      <w:pPr>
        <w:spacing w:after="0" w:line="4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have conducted preclinical experiments to characterize the activity profile of our RET degraders and have observed that they inhibit tumor growth comparably to the leading RET inhibitors, selpercatinib and pralsetinib, and retain activity in the setting of the solvent front mutation, G810R. As shown in the figure below, one of our RET degraders, CFT2521, with daily intravenous, or IV, dosing, has comparable activity to both selpercatinib and pralsetinib dosed orally twice a day, or BID, in the KIF5B:RET fusion murine xenograft model. We are working to identify RET degraders with similar activity using oral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120650</wp:posOffset>
            </wp:positionV>
            <wp:extent cx="2827655" cy="22675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27655" cy="226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40"/>
          </w:cols>
          <w:pgMar w:left="320" w:top="454" w:right="3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40"/>
        <w:spacing w:after="0" w:line="309" w:lineRule="auto"/>
        <w:rPr>
          <w:sz w:val="20"/>
          <w:szCs w:val="20"/>
          <w:color w:val="auto"/>
        </w:rPr>
      </w:pPr>
      <w:r>
        <w:rPr>
          <w:rFonts w:ascii="Arial" w:cs="Arial" w:eastAsia="Arial" w:hAnsi="Arial"/>
          <w:sz w:val="17"/>
          <w:szCs w:val="17"/>
          <w:color w:val="auto"/>
        </w:rPr>
        <w:t xml:space="preserve">We intend to identify a drug candidate and file an IND with the FDA in patients with RET-altered tumors by the end of 2022. </w:t>
      </w:r>
      <w:r>
        <w:rPr>
          <w:rFonts w:ascii="Arial" w:cs="Arial" w:eastAsia="Arial" w:hAnsi="Arial"/>
          <w:sz w:val="17"/>
          <w:szCs w:val="17"/>
          <w:b w:val="1"/>
          <w:bCs w:val="1"/>
          <w:i w:val="1"/>
          <w:iCs w:val="1"/>
          <w:color w:val="auto"/>
        </w:rPr>
        <w:t>Our Other Discovery Programs</w:t>
      </w:r>
    </w:p>
    <w:p>
      <w:pPr>
        <w:ind w:right="20"/>
        <w:spacing w:after="0" w:line="233" w:lineRule="auto"/>
        <w:rPr>
          <w:sz w:val="20"/>
          <w:szCs w:val="20"/>
          <w:color w:val="auto"/>
        </w:rPr>
      </w:pPr>
      <w:r>
        <w:rPr>
          <w:rFonts w:ascii="Arial" w:cs="Arial" w:eastAsia="Arial" w:hAnsi="Arial"/>
          <w:sz w:val="17"/>
          <w:szCs w:val="17"/>
          <w:color w:val="auto"/>
        </w:rPr>
        <w:t>In addition to the programs discussed above, we are also progressing several other early stage pipeline programs. In line with our strategy, we assess on a target-by-target basis whether our degraders would provide a compelling and differentiated approach over standard of care or other approaches to the same disease and are consistent with our focus on minimizing biology and toxicity risk and focusing on high unmet medical need, including rare diseases. These early stage programs include compounds that have already shown the ability to cross the blood-brain barrier in preclinical models, and we are also evaluating degraders for additional oncology targets and rare diseases. Our discovery programs are a combination of internal programs, over which we have full control and ownership, and programs in collaboration with our partners.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Roche Amended and Restated License Agreement</w:t>
      </w:r>
    </w:p>
    <w:p>
      <w:pPr>
        <w:spacing w:after="0" w:line="57"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 March 2016, we entered into a license agreement with Roche, which was amended in June 2016 and amended further in March 2017. We further amended and restated that agreement (as so amended) in December 2018. We refer to this amended and restated agreement as the Roche Agreement. Under the Roche Agreement, we agreed to collaborate with Roche in the research, development, manufacture and commercialization of target-binding small molecules using our proprietary TORPEDO platform for the treatment of cancers and other indications.</w:t>
      </w:r>
    </w:p>
    <w:p>
      <w:pPr>
        <w:spacing w:after="0" w:line="118"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Under the terms of the Roche Agreement, we are responsible for conducting preclinical research and development activities for a number of targets selected by Roche in accordance with a target selection and replacement procedure set forth in the agreement. We are also responsible for conducting Phase 1 clinical trials for products directed to certain targets and for manufacturing activities in connection with the applicable research plans, subject to Roche’s right to assume manufacturing responsibilities at pre-defined times. We and Roche each share in the costs of these research activities.</w:t>
      </w:r>
    </w:p>
    <w:p>
      <w:pPr>
        <w:spacing w:after="0" w:line="11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Under the Roche Agreement, we granted Roche an exclusive option to obtain an exclusive, worldwide license, with the right to sublicense through multiple tiers to develop and commercialize products directed at each target that is subject to the collaboration. Upon the exercise of its option for a particular target, Roche is responsible for the manufacture, development and commercialization of products directed to that target, at its sole expense. However, we have the option to co-develop products directed to certain targets, in which case we would be responsible for a portion of the development costs associated with such co-developed products and eligible to receive increased royalties on sales of such co-developed products. We also have an option to co-detail products for which have exercised our co-development option. If we exercise our co-detail option, we will be responsible for a portion of the co-detailing costs. We have the right to opt out of these co-development and co-detailing activities.</w:t>
      </w:r>
    </w:p>
    <w:p>
      <w:pPr>
        <w:spacing w:after="0" w:line="12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Upon signing the Roche Agreement, we received upfront consideration of $40.0 million from Roche. In addition, we receive annual research funding from Roche for each active research plan and we are eligible to receive additional payments upon the achievement of pre-determined research and development success criteria with respect to certain targets. If Roche exercises its option right for a target, Roche is obligated to pay an exercise fee ranging from $7.0 million to $20.0 million, depending on the target. For each target option exercised by Roche, we are eligible to receive milestone payments up to a range of $260 million to $275 million upon the achievement of certain research, development and commercial milestones with respect to corresponding products, subject to certain reductions and exclusions based on intellectual property coverage. Roche is also required to pay us up to $150 million per target in one-time sales-based milestone payments upon the achievement of specified levels of net sales of a product directed to such target. Finally, we are eligible to receive tiered royalties ranging from mid-single digit to mid-teen percentages on net sales of products sold by Roche pursuant to its exercise of its option rights, subject to certain reductions. For sales of products for which we exercise our co-development right, the applicable royalty rates will be increased by a low-single digit percentage.</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Unless earlier terminated, the Roche Agreement expires on the date when no royalty or other payment obligations under the Roche Agreement are or will become due. We and Roche each may terminate the Roche Agreement in its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0"/>
          </w:cols>
          <w:pgMar w:left="320" w:top="454" w:right="3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entirety or on a target-by-target or product-by-product basis and, in our case, on a country-by-country basis, for the other party’s uncured material breach of its obligations under the Roche Agreement or upon the other party’s bankruptcy, insolvency or similar proceedings. Roche may terminate the Roche Agreement for convenience on a target-by-target, product-by-product or country-by-country basis. In the event we are acquired by a competitor of Roche, Roche has the right to require us to terminate our research, development and co-detailing activities under the Roche Agreement, after which time we would not be eligible to receive payments for such terminated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Calico License Agreement</w:t>
      </w:r>
    </w:p>
    <w:p>
      <w:pPr>
        <w:spacing w:after="0" w:line="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March 2017, we entered into a Collaboration and License Agreement, or the Calico Agreement, with Calico, whereby we agreed to collaborate with Calico to discover, develop and commercialize small molecule protein degraders for diseases of aging, including cancer.</w:t>
      </w:r>
    </w:p>
    <w:p>
      <w:pPr>
        <w:spacing w:after="0" w:line="9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the Calico Agreement, we and Calico each agreed to conduct joint research activities with respect to a number of targets selected by Calico in accordance with a target selection and replacement procedure set forth in the agreement. During the research term, which ends in March 2022, Calico is responsible for the costs of these research activities and has the right to approve targets for advancement to lead optimization activities to be carried out by the parties under the corresponding research plans.</w:t>
      </w:r>
    </w:p>
    <w:p>
      <w:pPr>
        <w:spacing w:after="0" w:line="11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Upon the completion of our research activities for each target selected by Calico for lead optimization activities, Calico is responsible for, and agrees to use commercially efforts to carry out, all further pre-clinical development, regulatory affairs, manufacturing and commercialization for products directed against each such target. We refer to these products as Collaboration Products. We granted Calico an exclusive license to manufacture and commercialize Collaboration Products under certain of our intellectual property rights.</w:t>
      </w:r>
    </w:p>
    <w:p>
      <w:pPr>
        <w:spacing w:after="0" w:line="11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Under this agreement, Calico paid us an upfront amount of $5.0 million and certain annual payments totaling $5.0 million through June 30, 2020. Upon successful nomination of a target following a target evaluation phase and initiation of the applicable research plan, we are eligible to receive target initiation payments from Calico. For each target, we are eligible to receive research, development and commercial milestone payments totaling up to $132.0 million. Calico is also required to pay one-time sales-based milestone payments aggregating up to $65.0 million upon the achievement of specified levels of net sales of a product directed to such target, subject to a reduction based on intellectual property coverage. We are also eligible to receive royalty payments on the net sales of Collaboration Products, at percentages in the mid-single digits, subject to certain reductions.</w:t>
      </w:r>
    </w:p>
    <w:p>
      <w:pPr>
        <w:spacing w:after="0" w:line="12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Unless terminated earlier, the Calico Agreement expires on the date when no royalty or other payment obligations under the Calico Agreement are or will become due. We and Calico each may terminate the Calico Agreement in its entirety or on a target-by-target or product-by-product basis and, in our case, on a country-by-country basis, for the other party’s uncured material breach of its obligations or its bankruptcy or insolvency. Calico may terminate the Calico Agreement for convenience in its entirety or on a target-by-target or country-by-country basis, subject to reimbursement of costs and return of materials.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Biogen Collaborative Research and License Agreement</w:t>
      </w:r>
    </w:p>
    <w:p>
      <w:pPr>
        <w:spacing w:after="0" w:line="57"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In December 2018, we entered into a collaborative research and license agreement, or the Biogen Agreement, with Biogen, whereby we agreed to collaborate with Biogen and use our proprietary protein degrader platform to research, develop and identify small molecule protein degraders.</w:t>
      </w:r>
    </w:p>
    <w:p>
      <w:pPr>
        <w:spacing w:after="0" w:line="94"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Under the Biogen Agreement, we granted Biogen an exclusive license, with the right to sublicense through multiple tiers, under our intellectual property, (a) for the purpose of performing candidate development activities in accordance with research and development plans agreed upon by the parties and (b) for the purpose of exploiting all degraders and products for any use in the world.</w:t>
      </w:r>
    </w:p>
    <w:p>
      <w:pPr>
        <w:spacing w:after="0" w:line="11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Under the terms of the Biogen Agreement, we are responsible for conducting research and development activities for a number of targets selected by Biogen in accordance with a target selection and replacement procedure set forth in the agreement. We are required to provide all resources necessary to perform candidate development activities, perform such activities with reasonable care and skill and in accordance with applicable law and the Biogen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40"/>
          </w:cols>
          <w:pgMar w:left="320" w:top="454" w:right="3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Agreement and to use diligent efforts to complete such activities as set forth in the applicable development plan and to deliver to Biogen a certain number of degraders directed to each target that meet a range of pre-defined criteria. We and Biogen are also responsible for research activities designed to inform Biogen’s target selection process, for which Biogen will pay for its own costs and will reimburse our costs up to a certain amount.</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Upon Biogen’s commencement of the IND-enabling study for a degrader directed towards each target selected by Biogen, Biogen is responsible for, and agrees to use commercially reasonable efforts to carry out, all further development, regulatory affairs, manufacturing and commercialization for at least one product directed against each such target in certain territories.</w:t>
      </w:r>
    </w:p>
    <w:p>
      <w:pPr>
        <w:spacing w:after="0" w:line="11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Upon execution of the Biogen Agreement, Biogen paid us an upfront payment of $45.0 million as prepayment for candidate development activities, and if Biogen elects to extend the collaboration term by a pre-determined period and obtain the right to elect a certain number of additional targets, we are eligible for an additional payment of $62.5 million. Upon Biogen’s receipt of degraders directed to each target that satisfy pre-defined criteria, we are eligible to receive payments ranging from $2.0 million to $3.0 million per target. Upon Biogen’s commencement of the first IND-enabling study for a development candidate directed towards each target, Biogen is required to pay us $8.0 million. For each target, Biogen is required to pay us</w:t>
      </w:r>
    </w:p>
    <w:p>
      <w:pPr>
        <w:spacing w:after="0" w:line="1" w:lineRule="exact"/>
        <w:rPr>
          <w:sz w:val="20"/>
          <w:szCs w:val="20"/>
          <w:color w:val="auto"/>
        </w:rPr>
      </w:pPr>
    </w:p>
    <w:p>
      <w:pPr>
        <w:ind w:right="100" w:firstLine="7"/>
        <w:spacing w:after="0" w:line="234" w:lineRule="auto"/>
        <w:tabs>
          <w:tab w:leader="none" w:pos="254"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development and commercialization milestone payments totaling up to $35.0 million and (b) sales milestone payments totaling up to $26.0 million for the achievement of certain amounts of net sales of all products directed to such target, each subject to certain reductions. The total development, commercialization and sales milestone payments will increase if Biogen extends the collaboration term and elects additional targets. In addition, Biogen is required to pay us royalties on a product-by</w:t>
      </w:r>
      <w:r>
        <w:rPr>
          <w:rFonts w:ascii="Arial" w:cs="Arial" w:eastAsia="Arial" w:hAnsi="Arial"/>
          <w:sz w:val="17"/>
          <w:szCs w:val="17"/>
          <w:b w:val="1"/>
          <w:bCs w:val="1"/>
          <w:color w:val="auto"/>
        </w:rPr>
        <w:t>-</w:t>
      </w:r>
      <w:r>
        <w:rPr>
          <w:rFonts w:ascii="Arial" w:cs="Arial" w:eastAsia="Arial" w:hAnsi="Arial"/>
          <w:sz w:val="17"/>
          <w:szCs w:val="17"/>
          <w:color w:val="auto"/>
        </w:rPr>
        <w:t>product and country-by-country basis on the net sales of each product, at percentages in the mid-single digits, subject to certain reductions.</w:t>
      </w:r>
    </w:p>
    <w:p>
      <w:pPr>
        <w:spacing w:after="0" w:line="12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Unless earlier terminated, the Biogen Agreement expires on the date of the last product-by-product and country-by-country basis upon the expiration of the last-to-expire valid claim of a patent right covering the composition of matter of method of use in the approved label of the applicable product in the applicable country. We and Biogen each may terminate the Biogen Agreement (a) with respect to one or more development candidates, products or collaboration targets or, only in the case of Biogen, the entire agreement, for the other party’s uncured material breach of its obligations and (b) in its entirety upon the other party’s bankruptcy, insolvency or similar proceedings. Biogen may also terminate the Biogen Agreement in its entirety or with respect to one or more development candidates, products or collaboration targets for convenience.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intellectual property and proprietary products. While we believe that our technology, expertise,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focus is on the discovery and development of protein degradation therapies using our TORPEDO platform. Other companies researching chimeric small molecules for protein degradation include Arvinas, Inc., Cullgen Inc., Nurix Therapeutics, Inc., Vividion Therapeutics, Inc. and Kymera Therapeutics, Inc., of which Arvinas, Inc. is in clinical development and the other companies are currently in preclinical development. Further, several large pharmaceutical companies have disclosed preclinical investments in this field, including Amgen, AstraZeneca plc, GlaxoSmithKline plc, Genentech and Novartis International AG. In addition to competition from other protein degradation therapies, any products that we develop may also face competition from other types of therapies, such as small molecule, antibody, T cell or gene therapies.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20"/>
          </w:cols>
          <w:pgMar w:left="320" w:top="454" w:right="3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lead product candidates target oncologic indications. The most common methods of treating patients in oncologic indications are surgery, radiation and drug therapy, including chemotherapy, hormone therapy, cellular therapy and targeted drug therapy. There are a variety of available drug therapies marketed for cancer. In many cases, these drugs are administered in combination to enhance efficacy. Some of the currently approved drug therapies are branded and subject to patent protection and others are available on a generic basis. Many of these approved drugs are therapies and are widely accepted by physicians, patients and third-party payors. In general, although there has been considerable progress over the past few decades in the treatment of cancer and the currently marketed therapies provide benefits to many patients, these therapies are all limited to some extent in their efficacy and frequency of adverse events, and none of them are successful in treating all patients. As a result, the level of morbidity and mortality from cancer remains high.</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to currently marketed drugs, there are also several product candidates in preclinical development for the treatment of oncologic indications.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111" w:lineRule="exact"/>
        <w:rPr>
          <w:sz w:val="20"/>
          <w:szCs w:val="20"/>
          <w:color w:val="auto"/>
        </w:rPr>
      </w:pPr>
    </w:p>
    <w:p>
      <w:pPr>
        <w:ind w:right="340"/>
        <w:spacing w:after="0" w:line="250" w:lineRule="auto"/>
        <w:rPr>
          <w:sz w:val="20"/>
          <w:szCs w:val="20"/>
          <w:color w:val="auto"/>
        </w:rPr>
      </w:pPr>
      <w:r>
        <w:rPr>
          <w:rFonts w:ascii="Arial" w:cs="Arial" w:eastAsia="Arial" w:hAnsi="Arial"/>
          <w:sz w:val="17"/>
          <w:szCs w:val="17"/>
          <w:color w:val="auto"/>
        </w:rPr>
        <w:t>If any of our product candidates are approved for the indications for which we expect to conduct clinical trials, they will compete with the foregoing therapies and currently marketed drugs, as well any drugs potentially in development. It is also possible that we will face competition from other biologic or pharmaceutical approaches, as well as from other types of therapies.</w:t>
      </w:r>
    </w:p>
    <w:p>
      <w:pPr>
        <w:spacing w:after="0" w:line="11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20"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The key competitive factors affecting the success of all our programs, if approved, are likely to be their efficacy, safety, convenience, price, level of generic competition and availability of reimbursement.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71"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on and expect to continue to rely on third-party CMOs for both drug substance and finished drug product</w:t>
      </w:r>
    </w:p>
    <w:p>
      <w:pPr>
        <w:spacing w:after="0" w:line="9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currently obtain our supplies from these manufacturers on a purchase order basis and do not have long-term committed supply arrangements with respect to our product candidates and other materials. Should any of these manufacturers become unavailable to us for any reason, we believe that there are a number of potential replacements, although we may incur some delay in identifying and qualifying such replacements. For additional information, see the section titled “Risk Factors—</w:t>
      </w:r>
      <w:r>
        <w:rPr>
          <w:rFonts w:ascii="Arial" w:cs="Arial" w:eastAsia="Arial" w:hAnsi="Arial"/>
          <w:sz w:val="17"/>
          <w:szCs w:val="17"/>
          <w:i w:val="1"/>
          <w:iCs w:val="1"/>
          <w:color w:val="auto"/>
        </w:rPr>
        <w:t>Risks Related to Dependence on Third Parties—Manufacturing pharmaceutical products is complex</w:t>
      </w:r>
      <w:r>
        <w:rPr>
          <w:rFonts w:ascii="Arial" w:cs="Arial" w:eastAsia="Arial" w:hAnsi="Arial"/>
          <w:sz w:val="17"/>
          <w:szCs w:val="17"/>
          <w:color w:val="auto"/>
        </w:rPr>
        <w:t xml:space="preserve"> </w:t>
      </w:r>
      <w:r>
        <w:rPr>
          <w:rFonts w:ascii="Arial" w:cs="Arial" w:eastAsia="Arial" w:hAnsi="Arial"/>
          <w:sz w:val="17"/>
          <w:szCs w:val="17"/>
          <w:i w:val="1"/>
          <w:iCs w:val="1"/>
          <w:color w:val="auto"/>
        </w:rPr>
        <w:t>and subject to product loss for a variety of reasons. We contract with third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40"/>
          </w:cols>
          <w:pgMar w:left="320" w:top="454"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which could delay, prevent or impair our development or commercialization efforts.</w:t>
      </w:r>
      <w:r>
        <w:rPr>
          <w:rFonts w:ascii="Arial" w:cs="Arial" w:eastAsia="Arial" w:hAnsi="Arial"/>
          <w:sz w:val="16"/>
          <w:szCs w:val="16"/>
          <w:color w:val="auto"/>
        </w:rPr>
        <w:t>”</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All of our drug candidates are organic compounds of low molecular weight, which are often referred to in the biopharmaceutical community as small molecules, but our BiDACS tend to be larger than traditional small molecule therapeutics. We have selected these compounds not only on the basis of their potential clinical activity and tolerability, but also for their relative ease of synthesis and reasonable cost of goods. In particular, CFT7455 and CFT8634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 effectively at contract manufacturing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Plans</w:t>
      </w:r>
    </w:p>
    <w:p>
      <w:pPr>
        <w:spacing w:after="0" w:line="7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We have not yet established our own commercial organization or distribution capabilities because our product candidates are still in preclinical development. We have retained full commercialization rights for all of our programs in development other than those subject to our collaboration agreements. If any of our product candidates receive marketing approval, we will need to develop a plan to commercialize them in the United States and other key markets. We currently anticipate that we would build our own focused, specialized sales and marketing organization to support the commercialization in the United States of product candidates for which we receive marketing approval and that can be commercialized with such capabilities. We expect to utilize a variety of types of collaboration, co-promotion, distribution and other marketing arrangements with one or more third parties to commercialize our product candidates in markets outside the United States or for situations in which a larger sales and marketing organization is required.</w:t>
      </w:r>
    </w:p>
    <w:p>
      <w:pPr>
        <w:spacing w:after="0" w:line="121" w:lineRule="exact"/>
        <w:rPr>
          <w:sz w:val="20"/>
          <w:szCs w:val="20"/>
          <w:color w:val="auto"/>
        </w:rPr>
      </w:pPr>
    </w:p>
    <w:p>
      <w:pPr>
        <w:jc w:val="both"/>
        <w:ind w:right="400"/>
        <w:spacing w:after="0" w:line="250" w:lineRule="auto"/>
        <w:rPr>
          <w:sz w:val="20"/>
          <w:szCs w:val="20"/>
          <w:color w:val="auto"/>
        </w:rPr>
      </w:pPr>
      <w:r>
        <w:rPr>
          <w:rFonts w:ascii="Arial" w:cs="Arial" w:eastAsia="Arial" w:hAnsi="Arial"/>
          <w:sz w:val="17"/>
          <w:szCs w:val="17"/>
          <w:color w:val="auto"/>
        </w:rPr>
        <w:t>As product candidates advance through our pipeline, our commercial plans may change.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5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commercial success depends in part upon our ability to secure and maintain patent and other proprietary protection for our protein degradation technologies, including our TORPEDO platform, product candidates and know-how related to our business. To protect our core technology and products, we will need to successfully prosecute, defend and, if necessary, enforce our intellectual property rights, including, in particular, our patent rights, preserve the confidentiality of our trade secrets and operate without infringing valid and enforceable intellectual property rights of others. For our product candidates, we generally intend to pursue patent protection covering compositions of matter, methods of use, including combination therapies, processes of manufacture and intermediates, where relevant. We continually assess and refine our intellectual property strategies as we develop new technologies and product candidates. We currently plan to file additional patent applications based on our intellectual property strategies, where appropriate, including where we seek to adapt to competition or to improve our business opportunities.</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patent positions for biopharmaceutical companies like us are generally uncertain and can involve complex legal, scientific and factual issues. In addition, the coverage claimed in a patent application can be significantly reduced before a patent is issued and its scope can be reinterpreted and challenged even after issuance. As a result, we cannot guarantee that any of our product candidates will be protected or remain protectable by valid, enforceable patents. We also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exclusivity terms of our patents depend upon the laws of the countries in which they are obtained. In the countries in which we currently file, the patent term is 20 years from the earliest date of filing of a non-provisional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40"/>
          </w:cols>
          <w:pgMar w:left="320" w:top="454" w:right="3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patent application. The term of a U.S. patent may be extended to compensate for the time required to obtain regulatory approval to sell a drug (referred to as a patent term extension) or by delays encountered during patent prosecution that are caused by the USPTO (referred to as patent term adjustment). For example, the Hatch-Waxman Act permits a patent term extension for FDA-approved new chemical entity drugs of up to five years beyond the ordinary expiration date of the patent. The length of the patent term extension is related to the length of time the drug is under regulatory review and diligence during the review process. Patent term extensions in the United States cannot extend the term of a patent beyond a total of 14 years from the date of product approval and only one patent covering an approved drug or its method of use may be extended. A similar kind of patent extension, referred to as a Supplementary Protection Certificate, is available in Europe. Legal frameworks may also be available in certain other jurisdictions to extend the term of a patent. We currently intend to seek patent term extensions for our products on any of our issued patents in any jurisdiction where we have a qualifying patent and the extension is available; however, there is no guarantee that the applicable regulatory authorities, including the FDA in the United States, will agree with our assessment of whether extensions of this nature should be granted and, even if granted, the length of these extensions. Further, even if any of our patents are extended or adjusted, those patents, including the extended or adjusted portion of those patents, may be held invalid or unenforceable by a court of final jurisdiction in the United States or a foreign country.</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June 30, 2020, we solely own two issued U.S. patents, 10 U.S. patent applications, seven patent applications filed under the Patent Cooperation Treaty and 22 patent applications pending in foreign countries.</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of June 30, 2020, we co-own five U.S. patent applications with Roche, two patent applications filed under the Patent Cooperation Treaty and three patent applications pending in foreign countries.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 and Patent Applications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Our patent portfolio is generally organized into two categories: TORPEDO platform patent filings and protein target-specific product candidate filings.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TORPEDO Platform</w:t>
      </w:r>
    </w:p>
    <w:p>
      <w:pPr>
        <w:spacing w:after="0" w:line="39" w:lineRule="exact"/>
        <w:rPr>
          <w:sz w:val="20"/>
          <w:szCs w:val="20"/>
          <w:color w:val="auto"/>
        </w:rPr>
      </w:pPr>
    </w:p>
    <w:p>
      <w:pPr>
        <w:ind w:right="580"/>
        <w:spacing w:after="0" w:line="238" w:lineRule="auto"/>
        <w:rPr>
          <w:sz w:val="20"/>
          <w:szCs w:val="20"/>
          <w:color w:val="auto"/>
        </w:rPr>
      </w:pPr>
      <w:r>
        <w:rPr>
          <w:rFonts w:ascii="Arial" w:cs="Arial" w:eastAsia="Arial" w:hAnsi="Arial"/>
          <w:sz w:val="17"/>
          <w:szCs w:val="17"/>
          <w:color w:val="auto"/>
        </w:rPr>
        <w:t>We solely own our TORPEDO platform patent estate, which, as of June 30, 2020, includes two issued US patents, nine pending U.S. patent applications, five patent applications filed under the Patent Cooperation Treaty and twenty-two pending foreign patent applications. This patent portfolio is directed to multiple ligands of the Cereblon E3 ubiquitin ligase, or CRBN.</w:t>
      </w:r>
    </w:p>
    <w:p>
      <w:pPr>
        <w:spacing w:after="0" w:line="119" w:lineRule="exact"/>
        <w:rPr>
          <w:sz w:val="20"/>
          <w:szCs w:val="20"/>
          <w:color w:val="auto"/>
        </w:rPr>
      </w:pPr>
    </w:p>
    <w:p>
      <w:pPr>
        <w:jc w:val="both"/>
        <w:ind w:right="160"/>
        <w:spacing w:after="0" w:line="243" w:lineRule="auto"/>
        <w:rPr>
          <w:sz w:val="20"/>
          <w:szCs w:val="20"/>
          <w:color w:val="auto"/>
        </w:rPr>
      </w:pPr>
      <w:r>
        <w:rPr>
          <w:rFonts w:ascii="Arial" w:cs="Arial" w:eastAsia="Arial" w:hAnsi="Arial"/>
          <w:sz w:val="17"/>
          <w:szCs w:val="17"/>
          <w:color w:val="auto"/>
        </w:rPr>
        <w:t>Specifically, this platform consists of fourteen patent families covering the TORPEDO platform with composition of matter claims directed to various classes of CRBN ligands and degraders derived therefrom, as well as claims to associated methods of use. Patent applications for several of these patent families have been filed in the United States, China and Europe. Patents in these families, if issued and maintained, will expire between 2037 and 2040, without taking potential patent term extensions or adjustments into account.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Candidates</w:t>
      </w:r>
    </w:p>
    <w:p>
      <w:pPr>
        <w:spacing w:after="0" w:line="39" w:lineRule="exact"/>
        <w:rPr>
          <w:sz w:val="20"/>
          <w:szCs w:val="20"/>
          <w:color w:val="auto"/>
        </w:rPr>
      </w:pPr>
    </w:p>
    <w:p>
      <w:pPr>
        <w:ind w:right="540"/>
        <w:spacing w:after="0" w:line="238" w:lineRule="auto"/>
        <w:rPr>
          <w:sz w:val="20"/>
          <w:szCs w:val="20"/>
          <w:color w:val="auto"/>
        </w:rPr>
      </w:pPr>
      <w:r>
        <w:rPr>
          <w:rFonts w:ascii="Arial" w:cs="Arial" w:eastAsia="Arial" w:hAnsi="Arial"/>
          <w:sz w:val="17"/>
          <w:szCs w:val="17"/>
          <w:color w:val="auto"/>
        </w:rPr>
        <w:t>Our patent applications directed to our product candidates are focused on composition of matter claims covering novel compounds designed to degrade specific proteins. As of June 30, 2020, we solely own one U.S. patent application and two patent applications filed under the Patent Cooperation Treaty covering our product candidates.</w:t>
      </w:r>
    </w:p>
    <w:p>
      <w:pPr>
        <w:spacing w:after="0" w:line="11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Specifically, as of June 30, 2020, we solely own two patent families describing composition-of-matter claims to compounds that cause the degradation of the IKZF1/3 protein target, as well as associated methods of use to treat cancer. One of those patent families includes claims directed to composition of matter generally and specifically covering CFT7455, our product candidate and associated methods of use, which if issued and maintained through the payment of all required fees, will expire in 2040, without regard to any possible patent term extensions or adjustments. The second patent family of IKZF1/3 degraders is directed to a separate genus than the first family and, if granted and maintained through the payment of all required fees, will expire in 2039, without regard to any possible patent term extensions or adjustments.</w:t>
      </w:r>
    </w:p>
    <w:p>
      <w:pPr>
        <w:spacing w:after="0" w:line="121"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As of June 30, 2020, we solely own one U.S. patent application, with claims directed to composition of matter covering our BRD9 degraders, including our CFT7503 and CFT8634 product candidates and associated methods of use. U.S. and foreign patents claiming priority to this patent application, if filed, granted and maintained through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40"/>
          </w:cols>
          <w:pgMar w:left="320" w:top="454"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payment of all required fees, will expire in 2041, without regard to any possible patent term extensions or adjustments.</w:t>
      </w:r>
    </w:p>
    <w:p>
      <w:pPr>
        <w:spacing w:after="0" w:line="20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As of June 30, 2020, we co-own five U.S. patent applications with Roche, two patent applications filed under the Patent Cooperation Treaty and three patent applications filed in foreign countries pertaining to our product candidates. Our rights to these patent applications are governed by the Roche Agreement described below.</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 Secrets</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also rely on trade secrets, technical know-how and continuing innovation to develop and maintain our competitive advantage. Under the agreements we enter into with our employees and consultants who are identified on any company-owned patent applications assign any rights they may have in any such patent application to us. We also rely on confidentiality or other agreements with our employees, consultants and other advisors to protect our proprietary information. Our policy is to require third parties that receive material confidential information to enter into confidentiality or other agreements with us that contain appropriate protections for our confidential and trade secret information.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Trademarks</w:t>
      </w:r>
    </w:p>
    <w:p>
      <w:pPr>
        <w:spacing w:after="0" w:line="3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We own various registered and unregistered trademarks in the United States and overseas, including our company name and logo, the name of our TORPEDO platform and the names of our BIDAC degrader and MONODAC degrader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7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Government Regulation of Drug Products</w:t>
      </w:r>
    </w:p>
    <w:p>
      <w:pPr>
        <w:spacing w:after="0" w:line="4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the United States, the FDA regulates drugs under the Federal Food, Drug and Cosmetic Act, or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product candidates may be marketed in the United States generally involves the following:</w:t>
      </w:r>
    </w:p>
    <w:p>
      <w:pPr>
        <w:spacing w:after="0" w:line="192" w:lineRule="exact"/>
        <w:rPr>
          <w:sz w:val="20"/>
          <w:szCs w:val="20"/>
          <w:color w:val="auto"/>
        </w:rPr>
      </w:pPr>
    </w:p>
    <w:p>
      <w:pPr>
        <w:ind w:left="880" w:hanging="432"/>
        <w:spacing w:after="0"/>
        <w:tabs>
          <w:tab w:leader="none" w:pos="880" w:val="left"/>
        </w:tabs>
        <w:numPr>
          <w:ilvl w:val="0"/>
          <w:numId w:val="61"/>
        </w:numPr>
        <w:rPr>
          <w:rFonts w:ascii="MS PGothic" w:cs="MS PGothic" w:eastAsia="MS PGothic" w:hAnsi="MS PGothic"/>
          <w:sz w:val="12"/>
          <w:szCs w:val="12"/>
          <w:color w:val="auto"/>
        </w:rPr>
      </w:pPr>
      <w:r>
        <w:rPr>
          <w:rFonts w:ascii="Arial" w:cs="Arial" w:eastAsia="Arial" w:hAnsi="Arial"/>
          <w:sz w:val="17"/>
          <w:szCs w:val="17"/>
          <w:color w:val="auto"/>
        </w:rPr>
        <w:t>nonclinical laboratory and animal tests that must be conducted in accordance with GLPs;</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61"/>
        </w:numPr>
        <w:rPr>
          <w:rFonts w:ascii="MS PGothic" w:cs="MS PGothic" w:eastAsia="MS PGothic" w:hAnsi="MS PGothic"/>
          <w:sz w:val="12"/>
          <w:szCs w:val="12"/>
          <w:color w:val="auto"/>
        </w:rPr>
      </w:pPr>
      <w:r>
        <w:rPr>
          <w:rFonts w:ascii="Arial" w:cs="Arial" w:eastAsia="Arial" w:hAnsi="Arial"/>
          <w:sz w:val="17"/>
          <w:szCs w:val="17"/>
          <w:color w:val="auto"/>
        </w:rPr>
        <w:t>submission to the FDA of an IND, which must become effective before clinical trials may begin;</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61"/>
        </w:numPr>
        <w:rPr>
          <w:rFonts w:ascii="MS PGothic" w:cs="MS PGothic" w:eastAsia="MS PGothic" w:hAnsi="MS PGothic"/>
          <w:sz w:val="12"/>
          <w:szCs w:val="12"/>
          <w:color w:val="auto"/>
        </w:rPr>
      </w:pPr>
      <w:r>
        <w:rPr>
          <w:rFonts w:ascii="Arial" w:cs="Arial" w:eastAsia="Arial" w:hAnsi="Arial"/>
          <w:sz w:val="17"/>
          <w:szCs w:val="17"/>
          <w:color w:val="auto"/>
        </w:rPr>
        <w:t>approval by an independent institutional review board, or IRB, for each clinical site or centrally before each trial may be initiated;</w:t>
      </w:r>
    </w:p>
    <w:p>
      <w:pPr>
        <w:spacing w:after="0" w:line="31" w:lineRule="exact"/>
        <w:rPr>
          <w:rFonts w:ascii="MS PGothic" w:cs="MS PGothic" w:eastAsia="MS PGothic" w:hAnsi="MS PGothic"/>
          <w:sz w:val="12"/>
          <w:szCs w:val="12"/>
          <w:color w:val="auto"/>
        </w:rPr>
      </w:pPr>
    </w:p>
    <w:p>
      <w:pPr>
        <w:ind w:left="880" w:right="240" w:hanging="432"/>
        <w:spacing w:after="0" w:line="254" w:lineRule="auto"/>
        <w:tabs>
          <w:tab w:leader="none" w:pos="880" w:val="left"/>
        </w:tabs>
        <w:numPr>
          <w:ilvl w:val="0"/>
          <w:numId w:val="61"/>
        </w:numPr>
        <w:rPr>
          <w:rFonts w:ascii="MS PGothic" w:cs="MS PGothic" w:eastAsia="MS PGothic" w:hAnsi="MS PGothic"/>
          <w:sz w:val="12"/>
          <w:szCs w:val="12"/>
          <w:color w:val="auto"/>
        </w:rPr>
      </w:pPr>
      <w:r>
        <w:rPr>
          <w:rFonts w:ascii="Arial" w:cs="Arial" w:eastAsia="Arial" w:hAnsi="Arial"/>
          <w:sz w:val="17"/>
          <w:szCs w:val="17"/>
          <w:color w:val="auto"/>
        </w:rPr>
        <w:t>adequate and well controlled human clinical trials to establish the safety and efficacy of the proposed product candidate for its intended use, performed in accordance with good clinical practices, or GCPs;</w:t>
      </w:r>
    </w:p>
    <w:p>
      <w:pPr>
        <w:ind w:left="880" w:hanging="432"/>
        <w:spacing w:after="0"/>
        <w:tabs>
          <w:tab w:leader="none" w:pos="880" w:val="left"/>
        </w:tabs>
        <w:numPr>
          <w:ilvl w:val="0"/>
          <w:numId w:val="61"/>
        </w:numPr>
        <w:rPr>
          <w:rFonts w:ascii="MS PGothic" w:cs="MS PGothic" w:eastAsia="MS PGothic" w:hAnsi="MS PGothic"/>
          <w:sz w:val="12"/>
          <w:szCs w:val="12"/>
          <w:color w:val="auto"/>
        </w:rPr>
      </w:pPr>
      <w:r>
        <w:rPr>
          <w:rFonts w:ascii="Arial" w:cs="Arial" w:eastAsia="Arial" w:hAnsi="Arial"/>
          <w:sz w:val="17"/>
          <w:szCs w:val="17"/>
          <w:color w:val="auto"/>
        </w:rPr>
        <w:t>submission to the FDA of an NDA and payment of user fees;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61"/>
        </w:numPr>
        <w:rPr>
          <w:rFonts w:ascii="MS PGothic" w:cs="MS PGothic" w:eastAsia="MS PGothic" w:hAnsi="MS PGothic"/>
          <w:sz w:val="12"/>
          <w:szCs w:val="12"/>
          <w:color w:val="auto"/>
        </w:rPr>
      </w:pPr>
      <w:r>
        <w:rPr>
          <w:rFonts w:ascii="Arial" w:cs="Arial" w:eastAsia="Arial" w:hAnsi="Arial"/>
          <w:sz w:val="17"/>
          <w:szCs w:val="17"/>
          <w:color w:val="auto"/>
        </w:rPr>
        <w:t>satisfactory completion of an FDA advisory committee review, if applicable;</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61"/>
        </w:numPr>
        <w:rPr>
          <w:rFonts w:ascii="MS PGothic" w:cs="MS PGothic" w:eastAsia="MS PGothic" w:hAnsi="MS PGothic"/>
          <w:sz w:val="12"/>
          <w:szCs w:val="12"/>
          <w:color w:val="auto"/>
        </w:rPr>
      </w:pPr>
      <w:r>
        <w:rPr>
          <w:rFonts w:ascii="Arial" w:cs="Arial" w:eastAsia="Arial" w:hAnsi="Arial"/>
          <w:sz w:val="17"/>
          <w:szCs w:val="17"/>
          <w:color w:val="auto"/>
        </w:rPr>
        <w:t>pre-approval inspection of manufacturing facilities and selected clinical investigators for their compliance with cGMP and GCP;</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61"/>
        </w:numPr>
        <w:rPr>
          <w:rFonts w:ascii="MS PGothic" w:cs="MS PGothic" w:eastAsia="MS PGothic" w:hAnsi="MS PGothic"/>
          <w:sz w:val="12"/>
          <w:szCs w:val="12"/>
          <w:color w:val="auto"/>
        </w:rPr>
      </w:pPr>
      <w:r>
        <w:rPr>
          <w:rFonts w:ascii="Arial" w:cs="Arial" w:eastAsia="Arial" w:hAnsi="Arial"/>
          <w:sz w:val="17"/>
          <w:szCs w:val="17"/>
          <w:color w:val="auto"/>
        </w:rPr>
        <w:t>satisfactory completion of FDA audits of clinical trial sites to assure compliance with GCPs and the integrity of the clinical data;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20"/>
          </w:cols>
          <w:pgMar w:left="320" w:top="454" w:right="3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hanging="432"/>
        <w:spacing w:after="0"/>
        <w:tabs>
          <w:tab w:leader="none" w:pos="880" w:val="left"/>
        </w:tabs>
        <w:numPr>
          <w:ilvl w:val="0"/>
          <w:numId w:val="62"/>
        </w:numPr>
        <w:rPr>
          <w:rFonts w:ascii="MS PGothic" w:cs="MS PGothic" w:eastAsia="MS PGothic" w:hAnsi="MS PGothic"/>
          <w:sz w:val="12"/>
          <w:szCs w:val="12"/>
          <w:color w:val="auto"/>
        </w:rPr>
      </w:pPr>
      <w:r>
        <w:rPr>
          <w:rFonts w:ascii="Arial" w:cs="Arial" w:eastAsia="Arial" w:hAnsi="Arial"/>
          <w:sz w:val="17"/>
          <w:szCs w:val="17"/>
          <w:color w:val="auto"/>
        </w:rPr>
        <w:t>FDA review and approval of an NDA to permit commercial marketing for particular indications for use; and</w:t>
      </w:r>
    </w:p>
    <w:p>
      <w:pPr>
        <w:spacing w:after="0" w:line="33" w:lineRule="exact"/>
        <w:rPr>
          <w:rFonts w:ascii="MS PGothic" w:cs="MS PGothic" w:eastAsia="MS PGothic" w:hAnsi="MS PGothic"/>
          <w:sz w:val="12"/>
          <w:szCs w:val="12"/>
          <w:color w:val="auto"/>
        </w:rPr>
      </w:pPr>
    </w:p>
    <w:p>
      <w:pPr>
        <w:ind w:left="880" w:right="520" w:hanging="432"/>
        <w:spacing w:after="0" w:line="269" w:lineRule="auto"/>
        <w:tabs>
          <w:tab w:leader="none" w:pos="880" w:val="left"/>
        </w:tabs>
        <w:numPr>
          <w:ilvl w:val="0"/>
          <w:numId w:val="62"/>
        </w:numPr>
        <w:rPr>
          <w:rFonts w:ascii="MS PGothic" w:cs="MS PGothic" w:eastAsia="MS PGothic" w:hAnsi="MS PGothic"/>
          <w:sz w:val="12"/>
          <w:szCs w:val="12"/>
          <w:color w:val="auto"/>
        </w:rPr>
      </w:pPr>
      <w:r>
        <w:rPr>
          <w:rFonts w:ascii="Arial" w:cs="Arial" w:eastAsia="Arial" w:hAnsi="Arial"/>
          <w:sz w:val="17"/>
          <w:szCs w:val="17"/>
          <w:color w:val="auto"/>
        </w:rPr>
        <w:t>compliance with any post-approval requirements, including the potential requirement to implement a Risk Evaluation and Mitigation Strategy, or REMS, and the potential requirement to conduct post-approval studies.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The testing and approval process requires substantial time, effort and financial resources.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3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Clinical Trials</w:t>
      </w:r>
    </w:p>
    <w:p>
      <w:pPr>
        <w:spacing w:after="0" w:line="39"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 general, for purposes of NDA approval, human clinical trials are typically conducted in three sequential phases that may overlap.</w:t>
      </w:r>
    </w:p>
    <w:p>
      <w:pPr>
        <w:spacing w:after="0" w:line="192" w:lineRule="exact"/>
        <w:rPr>
          <w:sz w:val="20"/>
          <w:szCs w:val="20"/>
          <w:color w:val="auto"/>
        </w:rPr>
      </w:pPr>
    </w:p>
    <w:p>
      <w:pPr>
        <w:ind w:left="880" w:right="540" w:hanging="432"/>
        <w:spacing w:after="0" w:line="247" w:lineRule="auto"/>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ind w:left="880" w:right="160" w:hanging="432"/>
        <w:spacing w:after="0" w:line="246" w:lineRule="auto"/>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ind w:left="880" w:right="100" w:hanging="432"/>
        <w:spacing w:after="0" w:line="239" w:lineRule="auto"/>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00"/>
          </w:cols>
          <w:pgMar w:left="320" w:top="454" w:right="37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Typically, clinical trials are designed in consultation with the FDA or foreign regulatory authorities during these development phases. The indications under development can influence the study designs employed during the conduct of clinical trials, such as for a first-line cancer treatment indication which may require head-to-head data demonstrating clinical superiority or non-inferiority to currently available therapies. The timeline for first-line cancer indication development programs may also be longer than for indications sought in third-line treatment or beyond due to a desire for regulatory authorities to expedite access to later-line treatments for those whose cancer has progressed despite available and earlier-line treatments. As such, many new oncology products initially seek an indication in treatment for third-line treatment, a smaller available treatment population in any oncology indication, and any later approvals sought for those products in earlier lines of treatment which target a larger treatment population might require the conduct of additional clinical trials.</w:t>
      </w:r>
    </w:p>
    <w:p>
      <w:pPr>
        <w:spacing w:after="0" w:line="121"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The FDA may require, or companies may pursue, additional clinical trials after a product is approved. These so-called Phase 4 trials may be made a condition to be satisfied after approval. The results of Phase 4 trials can confirm the effectiveness of a product candidate and can provide important safety information.</w:t>
      </w:r>
    </w:p>
    <w:p>
      <w:pPr>
        <w:spacing w:after="0" w:line="111"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NIH for public dissemination on their website. Progress reports detailing the results of the clinical trials must be submitted at least annually to the FDA and more frequently if serious adverse events occur.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1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Special FDA Expedited Review and Approval Programs</w:t>
      </w:r>
    </w:p>
    <w:p>
      <w:pPr>
        <w:spacing w:after="0" w:line="39"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The FDA has various programs, including fast track designation, breakthrough therapy designation, orphan drug designation, accelerated approval and priority review,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1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0"/>
          </w:cols>
          <w:pgMar w:left="320" w:top="454"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19"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2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2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2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21"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40"/>
          </w:cols>
          <w:pgMar w:left="320" w:top="454"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both"/>
        <w:ind w:right="300"/>
        <w:spacing w:after="0" w:line="250" w:lineRule="auto"/>
        <w:rPr>
          <w:sz w:val="20"/>
          <w:szCs w:val="20"/>
          <w:color w:val="auto"/>
        </w:rPr>
      </w:pPr>
      <w:r>
        <w:rPr>
          <w:rFonts w:ascii="Arial" w:cs="Arial" w:eastAsia="Arial" w:hAnsi="Arial"/>
          <w:sz w:val="17"/>
          <w:szCs w:val="17"/>
          <w:color w:val="auto"/>
        </w:rPr>
        <w:t>the standard review of ten months under the Prescription Drug User Fee Act, or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 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NDA Submission and Review by the FDA</w:t>
      </w:r>
    </w:p>
    <w:p>
      <w:pPr>
        <w:spacing w:after="0" w:line="3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9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2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2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40"/>
          </w:cols>
          <w:pgMar w:left="320" w:top="454"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18"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2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may delay or refuse approval of an NDA if applicable regulatory criteria are not satisfied, require additional testing or information, require post-marketing testing and surveillance to monitor safety or efficacy of a product and/or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Post-Approval Requirements</w:t>
      </w:r>
    </w:p>
    <w:p>
      <w:pPr>
        <w:spacing w:after="0" w:line="57"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18"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19"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Changes to the manufacturing process are strictly regulated and often require prior FDA approval or notification before being implemented.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20"/>
          </w:cols>
          <w:pgMar w:left="320" w:top="454"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2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Marketing Exclusivity</w:t>
      </w:r>
    </w:p>
    <w:p>
      <w:pPr>
        <w:spacing w:after="0" w:line="3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bonds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outside the United States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 will be subject to similar foreign laws and regulations concerning the development of our product candidates outside of the United States.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39"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163" w:lineRule="exact"/>
        <w:rPr>
          <w:sz w:val="20"/>
          <w:szCs w:val="20"/>
          <w:color w:val="auto"/>
        </w:rPr>
      </w:pPr>
    </w:p>
    <w:p>
      <w:pPr>
        <w:ind w:left="880" w:right="640" w:hanging="432"/>
        <w:spacing w:after="0" w:line="271" w:lineRule="auto"/>
        <w:tabs>
          <w:tab w:leader="none" w:pos="88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The federal Anti-Kickback Statute, which prohibits, among other things, persons and entities from knowingly and willfully soliciting, offering, paying, receiving or providing any remuneration (including 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40"/>
          </w:cols>
          <w:pgMar w:left="320" w:top="454"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both"/>
        <w:ind w:left="900" w:right="120"/>
        <w:spacing w:after="0" w:line="242" w:lineRule="auto"/>
        <w:rPr>
          <w:sz w:val="20"/>
          <w:szCs w:val="20"/>
          <w:color w:val="auto"/>
        </w:rPr>
      </w:pPr>
      <w:r>
        <w:rPr>
          <w:rFonts w:ascii="Arial" w:cs="Arial" w:eastAsia="Arial" w:hAnsi="Arial"/>
          <w:sz w:val="17"/>
          <w:szCs w:val="17"/>
          <w:color w:val="auto"/>
        </w:rPr>
        <w:t>kickback, bride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w:t>
      </w:r>
    </w:p>
    <w:p>
      <w:pPr>
        <w:spacing w:after="0" w:line="3" w:lineRule="exact"/>
        <w:rPr>
          <w:sz w:val="20"/>
          <w:szCs w:val="20"/>
          <w:color w:val="auto"/>
        </w:rPr>
      </w:pPr>
    </w:p>
    <w:p>
      <w:pPr>
        <w:ind w:left="880" w:right="60" w:hanging="432"/>
        <w:spacing w:after="0" w:line="234" w:lineRule="auto"/>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that includes items or services resulting from a violation of the federal Anti-Kickback Statute constitutes a false or fraudulent claim for purposes of the civil False Claims Act. The FCA also permits a private individual acting as a “whistleblower” to bring actions on behalf of the federal government alleging violations of the FCA and to share in any monetary recovery;</w:t>
      </w:r>
    </w:p>
    <w:p>
      <w:pPr>
        <w:spacing w:after="0" w:line="6" w:lineRule="exact"/>
        <w:rPr>
          <w:rFonts w:ascii="MS PGothic" w:cs="MS PGothic" w:eastAsia="MS PGothic" w:hAnsi="MS PGothic"/>
          <w:sz w:val="12"/>
          <w:szCs w:val="12"/>
          <w:color w:val="auto"/>
        </w:rPr>
      </w:pPr>
    </w:p>
    <w:p>
      <w:pPr>
        <w:ind w:left="880" w:hanging="432"/>
        <w:spacing w:after="0" w:line="242" w:lineRule="auto"/>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ind w:left="880" w:right="100" w:hanging="432"/>
        <w:spacing w:after="0" w:line="238" w:lineRule="auto"/>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need not have actual knowledge of the statute or specific intent to violate it in order to have committed a violation;</w:t>
      </w:r>
    </w:p>
    <w:p>
      <w:pPr>
        <w:ind w:left="880" w:right="40" w:hanging="432"/>
        <w:spacing w:after="0" w:line="236" w:lineRule="auto"/>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5" w:lineRule="exact"/>
        <w:rPr>
          <w:rFonts w:ascii="MS PGothic" w:cs="MS PGothic" w:eastAsia="MS PGothic" w:hAnsi="MS PGothic"/>
          <w:sz w:val="12"/>
          <w:szCs w:val="12"/>
          <w:color w:val="auto"/>
        </w:rPr>
      </w:pPr>
    </w:p>
    <w:p>
      <w:pPr>
        <w:ind w:left="880" w:right="40" w:hanging="432"/>
        <w:spacing w:after="0" w:line="234" w:lineRule="auto"/>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such physicians and their immediate family members. In addition, many states also require reporting of payments or other transfers of value, many of which differ from each other in significant ways, are often not pre-empted and may have a more prohibitive effect than the Physician Payments Sunshine Act, thus further complicating compliance efforts. Effective January 1, 2022, these reporting obligations will extend to include transfers of value made and investment and ownership interested held in the previous year to certain non-physician providers such as physician assistants and nurse practitioners; and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20"/>
          </w:cols>
          <w:pgMar w:left="320" w:top="454" w:right="3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right="20" w:hanging="432"/>
        <w:spacing w:after="0" w:line="235" w:lineRule="auto"/>
        <w:tabs>
          <w:tab w:leader="none" w:pos="880" w:val="left"/>
        </w:tabs>
        <w:numPr>
          <w:ilvl w:val="0"/>
          <w:numId w:val="66"/>
        </w:numPr>
        <w:rPr>
          <w:rFonts w:ascii="MS PGothic" w:cs="MS PGothic" w:eastAsia="MS PGothic" w:hAnsi="MS PGothic"/>
          <w:sz w:val="12"/>
          <w:szCs w:val="12"/>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third-party-payors, including private insurers, and may be broader in scope than their federal equivalents; state and foreign laws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drug pricing and payments and other transfers of value to physicians and other healthcare providers and restrict marketing practices or require disclosure of marketing expenditures and pricing information; state and local laws that require the registration of pharmaceutical sales representatives;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11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addition, pharmaceutical manufacturers may also be subject to federal and state consumer protection and unfair competition laws and regulations, which broadly regulate marketplace activities and that potentially harm consumers.</w:t>
      </w:r>
    </w:p>
    <w:p>
      <w:pPr>
        <w:spacing w:after="0" w:line="9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distribution of drugs and biological products is subject to additional requirements and regulations, including extensive record-keeping, licensing, storage and security requirements intended to prevent the unauthorized sale of pharmaceutical products.</w:t>
      </w:r>
    </w:p>
    <w:p>
      <w:pPr>
        <w:spacing w:after="0" w:line="9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full scope and enforcement of each of these laws is uncertain and subject to rapid change in the current environment of healthcare reform. Federal and state enforcement bodies have continued to increase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3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20" w:lineRule="exact"/>
        <w:rPr>
          <w:sz w:val="20"/>
          <w:szCs w:val="20"/>
          <w:color w:val="auto"/>
        </w:rPr>
      </w:pPr>
    </w:p>
    <w:p>
      <w:pPr>
        <w:ind w:right="760"/>
        <w:spacing w:after="0" w:line="271"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0"/>
          </w:cols>
          <w:pgMar w:left="320" w:top="454" w:right="3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3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included changes to the coverage and payment for products under government health care programs. The ACA included provisions of importance to our potential product candidate that:</w:t>
      </w:r>
    </w:p>
    <w:p>
      <w:pPr>
        <w:spacing w:after="0" w:line="162" w:lineRule="exact"/>
        <w:rPr>
          <w:sz w:val="20"/>
          <w:szCs w:val="20"/>
          <w:color w:val="auto"/>
        </w:rPr>
      </w:pPr>
    </w:p>
    <w:p>
      <w:pPr>
        <w:ind w:left="880" w:right="640" w:hanging="432"/>
        <w:spacing w:after="0" w:line="255" w:lineRule="auto"/>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 w:lineRule="exact"/>
        <w:rPr>
          <w:rFonts w:ascii="MS PGothic" w:cs="MS PGothic" w:eastAsia="MS PGothic" w:hAnsi="MS PGothic"/>
          <w:sz w:val="12"/>
          <w:szCs w:val="12"/>
          <w:color w:val="auto"/>
        </w:rPr>
      </w:pPr>
    </w:p>
    <w:p>
      <w:pPr>
        <w:ind w:left="880" w:right="60" w:hanging="432"/>
        <w:spacing w:after="0" w:line="270" w:lineRule="auto"/>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6"/>
          <w:szCs w:val="16"/>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ind w:left="880" w:right="60" w:hanging="432"/>
        <w:spacing w:after="0" w:line="246" w:lineRule="auto"/>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ind w:left="880" w:right="380" w:hanging="432"/>
        <w:spacing w:after="0" w:line="254" w:lineRule="auto"/>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addressed a new methodology by which rebates owed by manufacturers under the Medicaid Drug Rebate Program are calculated for drugs that are inhaled, infused, instilled, implanted or injected;</w:t>
      </w:r>
    </w:p>
    <w:p>
      <w:pPr>
        <w:ind w:left="880" w:hanging="432"/>
        <w:spacing w:after="0"/>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expanded the types of entities eligible for the 340B drug discount program;</w:t>
      </w:r>
    </w:p>
    <w:p>
      <w:pPr>
        <w:spacing w:after="0" w:line="31" w:lineRule="exact"/>
        <w:rPr>
          <w:rFonts w:ascii="MS PGothic" w:cs="MS PGothic" w:eastAsia="MS PGothic" w:hAnsi="MS PGothic"/>
          <w:sz w:val="12"/>
          <w:szCs w:val="12"/>
          <w:color w:val="auto"/>
        </w:rPr>
      </w:pPr>
    </w:p>
    <w:p>
      <w:pPr>
        <w:ind w:left="880" w:right="160" w:hanging="432"/>
        <w:spacing w:after="0" w:line="246" w:lineRule="auto"/>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ind w:left="880" w:right="900" w:hanging="432"/>
        <w:spacing w:after="0" w:line="269" w:lineRule="auto"/>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created a new Patient-Centered Outcomes Research Institute to oversee, identify priorities in and conduct comparative clinical effectiveness research, along with funding for such research.</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There remain numerous judicial, administrative, executive and legislative challenges to certain aspects of the ACA. For example, various portions of the ACA are currently undergoing legal and constitutional challenges in the United States Supreme Court, and the Trump Administration has issued various Executive Orders that eliminated cost sharing subsidies and various provisions that would impose a fiscal burden on states or a cost, fee, tax, penalty or regulatory burden on individuals, healthcare providers, health insurers or manufacturers of pharmaceuticals or biologics. Concurrently, Congress has considered legislation that would repeal or repeal and replace all or part of the ACA. While Congress has not passed comprehensive repeal legislation, it has enacted laws that modify certain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454"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provisions of the ACA such as removing penalties, effective as of January 1, 2019, for not complying with the ACA’s individual mandate to carry health insurance, eliminating the implementation of certain of the ACA’s 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 These reductions have been suspended from May 1, 2020 through December 31, 2020 due to the COVID-19 pandemic.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2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of using step therapy, a type of prior authorization, for Part B drugs beginning January 1, 2020. This final rule codified CMS’s policy change, which was effective as of January 1, 2019. Although a number of these and other measures may require additional authorization to become effective, Congress and the Trump administration have each indicated that it will continue to seek new legislative and/or administrative measures to control drug costs. Any reduction in reimbursement from Medicare and other government programs may result in a similar reduction in payments from private payors.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it is possible that additional governmental action is taken to address the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ongoing COVID-19 pandemic.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20"/>
          </w:cols>
          <w:pgMar w:left="320" w:top="454" w:right="3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7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of June 30, 2020, we had 88 full-time employees, including 54 employees with an M.D. and/or Ph.D. degree. Of these full-time employees, 74 employees are engaged in research and development activities and 14 are engaged in general and administrative activities. None of our employees is represented by a labor union or covered by a collective bargaining agreement. We consider our relationship with our employees to be good.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57"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We occupy approximately 45,400 square feet of office and laboratory space in Watertown, Massachusetts under a lease that expires in 2028. We believe that our facilities are sufficient to meet our current needs for the foreseeable future and that suitable additional space will be available as and when needed.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5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From time to time, we may become involved in legal proceedings arising in the ordinary course of our business. As of the date of this prospectus, we were not a party to any material legal matters or claims.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40"/>
          </w:cols>
          <w:pgMar w:left="320" w:top="454"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names and positions of our executive officers and directors, as well as their ages as of September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5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2"/>
              </w:rPr>
              <w:t>AGE</w:t>
            </w:r>
          </w:p>
        </w:tc>
        <w:tc>
          <w:tcPr>
            <w:tcW w:w="80" w:type="dxa"/>
            <w:vAlign w:val="bottom"/>
          </w:tcPr>
          <w:p>
            <w:pPr>
              <w:spacing w:after="0"/>
              <w:rPr>
                <w:sz w:val="15"/>
                <w:szCs w:val="15"/>
                <w:color w:val="auto"/>
              </w:rPr>
            </w:pPr>
          </w:p>
        </w:tc>
        <w:tc>
          <w:tcPr>
            <w:tcW w:w="536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4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52"/>
        </w:trPr>
        <w:tc>
          <w:tcPr>
            <w:tcW w:w="4000" w:type="dxa"/>
            <w:vAlign w:val="bottom"/>
            <w:gridSpan w:val="2"/>
          </w:tcPr>
          <w:p>
            <w:pPr>
              <w:spacing w:after="0" w:line="153" w:lineRule="exact"/>
              <w:rPr>
                <w:sz w:val="20"/>
                <w:szCs w:val="20"/>
                <w:color w:val="auto"/>
              </w:rPr>
            </w:pPr>
            <w:r>
              <w:rPr>
                <w:rFonts w:ascii="Arial" w:cs="Arial" w:eastAsia="Arial" w:hAnsi="Arial"/>
                <w:sz w:val="17"/>
                <w:szCs w:val="17"/>
                <w:b w:val="1"/>
                <w:bCs w:val="1"/>
                <w:i w:val="1"/>
                <w:iCs w:val="1"/>
                <w:color w:val="auto"/>
              </w:rPr>
              <w:t>Executive Officers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187"/>
        </w:trPr>
        <w:tc>
          <w:tcPr>
            <w:tcW w:w="40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Marc A. Cohen* (2)(3)</w:t>
            </w:r>
          </w:p>
        </w:tc>
        <w:tc>
          <w:tcPr>
            <w:tcW w:w="40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57</w:t>
            </w:r>
          </w:p>
        </w:tc>
        <w:tc>
          <w:tcPr>
            <w:tcW w:w="5360" w:type="dxa"/>
            <w:vAlign w:val="bottom"/>
            <w:gridSpan w:val="3"/>
          </w:tcPr>
          <w:p>
            <w:pPr>
              <w:ind w:left="80"/>
              <w:spacing w:after="0" w:line="187" w:lineRule="exact"/>
              <w:rPr>
                <w:sz w:val="20"/>
                <w:szCs w:val="20"/>
                <w:color w:val="auto"/>
              </w:rPr>
            </w:pPr>
            <w:r>
              <w:rPr>
                <w:rFonts w:ascii="Arial" w:cs="Arial" w:eastAsia="Arial" w:hAnsi="Arial"/>
                <w:sz w:val="17"/>
                <w:szCs w:val="17"/>
                <w:color w:val="auto"/>
                <w:w w:val="98"/>
              </w:rPr>
              <w:t>Co-Founder, Executive Chairman, Director and Chief Executive Officer</w:t>
            </w:r>
          </w:p>
        </w:tc>
      </w:tr>
      <w:tr>
        <w:trPr>
          <w:trHeight w:val="187"/>
        </w:trPr>
        <w:tc>
          <w:tcPr>
            <w:tcW w:w="40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Andrew Hirsch**</w:t>
            </w:r>
          </w:p>
        </w:tc>
        <w:tc>
          <w:tcPr>
            <w:tcW w:w="40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49</w:t>
            </w:r>
          </w:p>
        </w:tc>
        <w:tc>
          <w:tcPr>
            <w:tcW w:w="5360" w:type="dxa"/>
            <w:vAlign w:val="bottom"/>
            <w:gridSpan w:val="3"/>
          </w:tcPr>
          <w:p>
            <w:pPr>
              <w:ind w:left="80"/>
              <w:spacing w:after="0" w:line="187" w:lineRule="exact"/>
              <w:rPr>
                <w:sz w:val="20"/>
                <w:szCs w:val="20"/>
                <w:color w:val="auto"/>
              </w:rPr>
            </w:pPr>
            <w:r>
              <w:rPr>
                <w:rFonts w:ascii="Arial" w:cs="Arial" w:eastAsia="Arial" w:hAnsi="Arial"/>
                <w:sz w:val="17"/>
                <w:szCs w:val="17"/>
                <w:color w:val="auto"/>
              </w:rPr>
              <w:t>Director, President and Chief Executive Officer-elect</w:t>
            </w:r>
          </w:p>
        </w:tc>
      </w:tr>
      <w:tr>
        <w:trPr>
          <w:trHeight w:val="187"/>
        </w:trPr>
        <w:tc>
          <w:tcPr>
            <w:tcW w:w="40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William McKee</w:t>
            </w:r>
          </w:p>
        </w:tc>
        <w:tc>
          <w:tcPr>
            <w:tcW w:w="40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59</w:t>
            </w:r>
          </w:p>
        </w:tc>
        <w:tc>
          <w:tcPr>
            <w:tcW w:w="5360" w:type="dxa"/>
            <w:vAlign w:val="bottom"/>
            <w:gridSpan w:val="3"/>
          </w:tcPr>
          <w:p>
            <w:pPr>
              <w:ind w:left="80"/>
              <w:spacing w:after="0" w:line="187" w:lineRule="exact"/>
              <w:rPr>
                <w:sz w:val="20"/>
                <w:szCs w:val="20"/>
                <w:color w:val="auto"/>
              </w:rPr>
            </w:pPr>
            <w:r>
              <w:rPr>
                <w:rFonts w:ascii="Arial" w:cs="Arial" w:eastAsia="Arial" w:hAnsi="Arial"/>
                <w:sz w:val="17"/>
                <w:szCs w:val="17"/>
                <w:color w:val="auto"/>
              </w:rPr>
              <w:t>Chief Financial Officer</w:t>
            </w:r>
          </w:p>
        </w:tc>
      </w:tr>
      <w:tr>
        <w:trPr>
          <w:trHeight w:val="187"/>
        </w:trPr>
        <w:tc>
          <w:tcPr>
            <w:tcW w:w="40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Adam Crystal, M.D., Ph.D.</w:t>
            </w:r>
          </w:p>
        </w:tc>
        <w:tc>
          <w:tcPr>
            <w:tcW w:w="40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43</w:t>
            </w:r>
          </w:p>
        </w:tc>
        <w:tc>
          <w:tcPr>
            <w:tcW w:w="5360" w:type="dxa"/>
            <w:vAlign w:val="bottom"/>
            <w:gridSpan w:val="3"/>
          </w:tcPr>
          <w:p>
            <w:pPr>
              <w:ind w:left="80"/>
              <w:spacing w:after="0" w:line="187" w:lineRule="exact"/>
              <w:rPr>
                <w:sz w:val="20"/>
                <w:szCs w:val="20"/>
                <w:color w:val="auto"/>
              </w:rPr>
            </w:pPr>
            <w:r>
              <w:rPr>
                <w:rFonts w:ascii="Arial" w:cs="Arial" w:eastAsia="Arial" w:hAnsi="Arial"/>
                <w:sz w:val="17"/>
                <w:szCs w:val="17"/>
                <w:color w:val="auto"/>
              </w:rPr>
              <w:t>Chief Medical Officer</w:t>
            </w:r>
          </w:p>
        </w:tc>
      </w:tr>
      <w:tr>
        <w:trPr>
          <w:trHeight w:val="187"/>
        </w:trPr>
        <w:tc>
          <w:tcPr>
            <w:tcW w:w="40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Stewart Fisher, Ph.D.</w:t>
            </w:r>
          </w:p>
        </w:tc>
        <w:tc>
          <w:tcPr>
            <w:tcW w:w="40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53</w:t>
            </w:r>
          </w:p>
        </w:tc>
        <w:tc>
          <w:tcPr>
            <w:tcW w:w="5360" w:type="dxa"/>
            <w:vAlign w:val="bottom"/>
            <w:gridSpan w:val="3"/>
          </w:tcPr>
          <w:p>
            <w:pPr>
              <w:ind w:left="80"/>
              <w:spacing w:after="0" w:line="187" w:lineRule="exact"/>
              <w:rPr>
                <w:sz w:val="20"/>
                <w:szCs w:val="20"/>
                <w:color w:val="auto"/>
              </w:rPr>
            </w:pPr>
            <w:r>
              <w:rPr>
                <w:rFonts w:ascii="Arial" w:cs="Arial" w:eastAsia="Arial" w:hAnsi="Arial"/>
                <w:sz w:val="17"/>
                <w:szCs w:val="17"/>
                <w:color w:val="auto"/>
              </w:rPr>
              <w:t>Chief Scientific Officer</w:t>
            </w: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Jolie M. Siegel</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44</w:t>
            </w:r>
          </w:p>
        </w:tc>
        <w:tc>
          <w:tcPr>
            <w:tcW w:w="536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Chief Legal Officer</w:t>
            </w:r>
          </w:p>
        </w:tc>
      </w:tr>
      <w:tr>
        <w:trPr>
          <w:trHeight w:val="185"/>
        </w:trPr>
        <w:tc>
          <w:tcPr>
            <w:tcW w:w="4000" w:type="dxa"/>
            <w:vAlign w:val="bottom"/>
            <w:gridSpan w:val="2"/>
          </w:tcPr>
          <w:p>
            <w:pPr>
              <w:spacing w:after="0" w:line="185" w:lineRule="exact"/>
              <w:rPr>
                <w:sz w:val="20"/>
                <w:szCs w:val="20"/>
                <w:color w:val="auto"/>
              </w:rPr>
            </w:pPr>
            <w:r>
              <w:rPr>
                <w:rFonts w:ascii="Arial" w:cs="Arial" w:eastAsia="Arial" w:hAnsi="Arial"/>
                <w:sz w:val="17"/>
                <w:szCs w:val="17"/>
                <w:b w:val="1"/>
                <w:bCs w:val="1"/>
                <w:i w:val="1"/>
                <w:iCs w:val="1"/>
                <w:color w:val="auto"/>
              </w:rPr>
              <w:t>Non-Employee Directors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0" w:type="dxa"/>
            <w:vAlign w:val="bottom"/>
          </w:tcPr>
          <w:p>
            <w:pPr>
              <w:spacing w:after="0"/>
              <w:rPr>
                <w:sz w:val="16"/>
                <w:szCs w:val="16"/>
                <w:color w:val="auto"/>
              </w:rPr>
            </w:pPr>
          </w:p>
        </w:tc>
      </w:tr>
      <w:tr>
        <w:trPr>
          <w:trHeight w:val="187"/>
        </w:trPr>
        <w:tc>
          <w:tcPr>
            <w:tcW w:w="40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Kenneth C. Anderson, M.D.</w:t>
            </w:r>
          </w:p>
        </w:tc>
        <w:tc>
          <w:tcPr>
            <w:tcW w:w="40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68</w:t>
            </w:r>
          </w:p>
        </w:tc>
        <w:tc>
          <w:tcPr>
            <w:tcW w:w="5360" w:type="dxa"/>
            <w:vAlign w:val="bottom"/>
            <w:gridSpan w:val="3"/>
          </w:tcPr>
          <w:p>
            <w:pPr>
              <w:ind w:left="80"/>
              <w:spacing w:after="0" w:line="187" w:lineRule="exact"/>
              <w:rPr>
                <w:sz w:val="20"/>
                <w:szCs w:val="20"/>
                <w:color w:val="auto"/>
              </w:rPr>
            </w:pPr>
            <w:r>
              <w:rPr>
                <w:rFonts w:ascii="Arial" w:cs="Arial" w:eastAsia="Arial" w:hAnsi="Arial"/>
                <w:sz w:val="17"/>
                <w:szCs w:val="17"/>
                <w:color w:val="auto"/>
              </w:rPr>
              <w:t>Director</w:t>
            </w:r>
          </w:p>
        </w:tc>
      </w:tr>
      <w:tr>
        <w:trPr>
          <w:trHeight w:val="201"/>
        </w:trPr>
        <w:tc>
          <w:tcPr>
            <w:tcW w:w="4000" w:type="dxa"/>
            <w:vAlign w:val="bottom"/>
            <w:gridSpan w:val="2"/>
          </w:tcPr>
          <w:p>
            <w:pPr>
              <w:ind w:left="260"/>
              <w:spacing w:after="0"/>
              <w:rPr>
                <w:sz w:val="20"/>
                <w:szCs w:val="20"/>
                <w:color w:val="auto"/>
              </w:rPr>
            </w:pPr>
            <w:r>
              <w:rPr>
                <w:rFonts w:ascii="Arial" w:cs="Arial" w:eastAsia="Arial" w:hAnsi="Arial"/>
                <w:sz w:val="17"/>
                <w:szCs w:val="17"/>
                <w:color w:val="auto"/>
              </w:rPr>
              <w:t>Bihua Chen***</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52</w:t>
            </w:r>
          </w:p>
        </w:tc>
        <w:tc>
          <w:tcPr>
            <w:tcW w:w="5360" w:type="dxa"/>
            <w:vAlign w:val="bottom"/>
            <w:gridSpan w:val="3"/>
          </w:tcPr>
          <w:p>
            <w:pPr>
              <w:ind w:left="80"/>
              <w:spacing w:after="0"/>
              <w:rPr>
                <w:sz w:val="20"/>
                <w:szCs w:val="20"/>
                <w:color w:val="auto"/>
              </w:rPr>
            </w:pPr>
            <w:r>
              <w:rPr>
                <w:rFonts w:ascii="Arial" w:cs="Arial" w:eastAsia="Arial" w:hAnsi="Arial"/>
                <w:sz w:val="17"/>
                <w:szCs w:val="17"/>
                <w:color w:val="auto"/>
              </w:rPr>
              <w:t>Director</w:t>
            </w:r>
          </w:p>
        </w:tc>
      </w:tr>
      <w:tr>
        <w:trPr>
          <w:trHeight w:val="201"/>
        </w:trPr>
        <w:tc>
          <w:tcPr>
            <w:tcW w:w="4000" w:type="dxa"/>
            <w:vAlign w:val="bottom"/>
            <w:gridSpan w:val="2"/>
          </w:tcPr>
          <w:p>
            <w:pPr>
              <w:ind w:left="260"/>
              <w:spacing w:after="0"/>
              <w:rPr>
                <w:sz w:val="20"/>
                <w:szCs w:val="20"/>
                <w:color w:val="auto"/>
              </w:rPr>
            </w:pPr>
            <w:r>
              <w:rPr>
                <w:rFonts w:ascii="Arial" w:cs="Arial" w:eastAsia="Arial" w:hAnsi="Arial"/>
                <w:sz w:val="17"/>
                <w:szCs w:val="17"/>
                <w:color w:val="auto"/>
              </w:rPr>
              <w:t>Alain J. Cohen (2)</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53</w:t>
            </w:r>
          </w:p>
        </w:tc>
        <w:tc>
          <w:tcPr>
            <w:tcW w:w="5360" w:type="dxa"/>
            <w:vAlign w:val="bottom"/>
            <w:gridSpan w:val="3"/>
          </w:tcPr>
          <w:p>
            <w:pPr>
              <w:ind w:left="80"/>
              <w:spacing w:after="0"/>
              <w:rPr>
                <w:sz w:val="20"/>
                <w:szCs w:val="20"/>
                <w:color w:val="auto"/>
              </w:rPr>
            </w:pPr>
            <w:r>
              <w:rPr>
                <w:rFonts w:ascii="Arial" w:cs="Arial" w:eastAsia="Arial" w:hAnsi="Arial"/>
                <w:sz w:val="17"/>
                <w:szCs w:val="17"/>
                <w:color w:val="auto"/>
              </w:rPr>
              <w:t>Director</w:t>
            </w:r>
          </w:p>
        </w:tc>
      </w:tr>
      <w:tr>
        <w:trPr>
          <w:trHeight w:val="201"/>
        </w:trPr>
        <w:tc>
          <w:tcPr>
            <w:tcW w:w="4000" w:type="dxa"/>
            <w:vAlign w:val="bottom"/>
            <w:gridSpan w:val="2"/>
          </w:tcPr>
          <w:p>
            <w:pPr>
              <w:ind w:left="260"/>
              <w:spacing w:after="0"/>
              <w:rPr>
                <w:sz w:val="20"/>
                <w:szCs w:val="20"/>
                <w:color w:val="auto"/>
              </w:rPr>
            </w:pPr>
            <w:r>
              <w:rPr>
                <w:rFonts w:ascii="Arial" w:cs="Arial" w:eastAsia="Arial" w:hAnsi="Arial"/>
                <w:sz w:val="17"/>
                <w:szCs w:val="17"/>
                <w:color w:val="auto"/>
              </w:rPr>
              <w:t>Bruce Downey (1)(2)</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72</w:t>
            </w:r>
          </w:p>
        </w:tc>
        <w:tc>
          <w:tcPr>
            <w:tcW w:w="5360" w:type="dxa"/>
            <w:vAlign w:val="bottom"/>
            <w:gridSpan w:val="3"/>
          </w:tcPr>
          <w:p>
            <w:pPr>
              <w:ind w:left="80"/>
              <w:spacing w:after="0"/>
              <w:rPr>
                <w:sz w:val="20"/>
                <w:szCs w:val="20"/>
                <w:color w:val="auto"/>
              </w:rPr>
            </w:pPr>
            <w:r>
              <w:rPr>
                <w:rFonts w:ascii="Arial" w:cs="Arial" w:eastAsia="Arial" w:hAnsi="Arial"/>
                <w:sz w:val="17"/>
                <w:szCs w:val="17"/>
                <w:color w:val="auto"/>
              </w:rPr>
              <w:t>Director</w:t>
            </w:r>
          </w:p>
        </w:tc>
      </w:tr>
      <w:tr>
        <w:trPr>
          <w:trHeight w:val="201"/>
        </w:trPr>
        <w:tc>
          <w:tcPr>
            <w:tcW w:w="4000" w:type="dxa"/>
            <w:vAlign w:val="bottom"/>
            <w:gridSpan w:val="2"/>
          </w:tcPr>
          <w:p>
            <w:pPr>
              <w:ind w:left="260"/>
              <w:spacing w:after="0"/>
              <w:rPr>
                <w:sz w:val="20"/>
                <w:szCs w:val="20"/>
                <w:color w:val="auto"/>
              </w:rPr>
            </w:pPr>
            <w:r>
              <w:rPr>
                <w:rFonts w:ascii="Arial" w:cs="Arial" w:eastAsia="Arial" w:hAnsi="Arial"/>
                <w:sz w:val="17"/>
                <w:szCs w:val="17"/>
                <w:color w:val="auto"/>
              </w:rPr>
              <w:t>Elena Prokupets, Ph.D. (1)(3)</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74</w:t>
            </w:r>
          </w:p>
        </w:tc>
        <w:tc>
          <w:tcPr>
            <w:tcW w:w="5360" w:type="dxa"/>
            <w:vAlign w:val="bottom"/>
            <w:gridSpan w:val="3"/>
          </w:tcPr>
          <w:p>
            <w:pPr>
              <w:ind w:left="80"/>
              <w:spacing w:after="0"/>
              <w:rPr>
                <w:sz w:val="20"/>
                <w:szCs w:val="20"/>
                <w:color w:val="auto"/>
              </w:rPr>
            </w:pPr>
            <w:r>
              <w:rPr>
                <w:rFonts w:ascii="Arial" w:cs="Arial" w:eastAsia="Arial" w:hAnsi="Arial"/>
                <w:sz w:val="17"/>
                <w:szCs w:val="17"/>
                <w:color w:val="auto"/>
              </w:rPr>
              <w:t>Director</w:t>
            </w:r>
          </w:p>
        </w:tc>
      </w:tr>
      <w:tr>
        <w:trPr>
          <w:trHeight w:val="243"/>
        </w:trPr>
        <w:tc>
          <w:tcPr>
            <w:tcW w:w="4000" w:type="dxa"/>
            <w:vAlign w:val="bottom"/>
            <w:gridSpan w:val="2"/>
          </w:tcPr>
          <w:p>
            <w:pPr>
              <w:ind w:left="260"/>
              <w:spacing w:after="0"/>
              <w:rPr>
                <w:sz w:val="20"/>
                <w:szCs w:val="20"/>
                <w:color w:val="auto"/>
              </w:rPr>
            </w:pPr>
            <w:r>
              <w:rPr>
                <w:rFonts w:ascii="Arial" w:cs="Arial" w:eastAsia="Arial" w:hAnsi="Arial"/>
                <w:sz w:val="17"/>
                <w:szCs w:val="17"/>
                <w:color w:val="auto"/>
              </w:rPr>
              <w:t>Malcolm Salter (1)(3)</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80</w:t>
            </w:r>
          </w:p>
        </w:tc>
        <w:tc>
          <w:tcPr>
            <w:tcW w:w="5360" w:type="dxa"/>
            <w:vAlign w:val="bottom"/>
            <w:gridSpan w:val="3"/>
          </w:tcPr>
          <w:p>
            <w:pPr>
              <w:ind w:left="8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71335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37" w:lineRule="exact"/>
        <w:rPr>
          <w:sz w:val="20"/>
          <w:szCs w:val="20"/>
          <w:color w:val="auto"/>
        </w:rPr>
      </w:pPr>
    </w:p>
    <w:p>
      <w:pPr>
        <w:ind w:left="440" w:hanging="286"/>
        <w:spacing w:after="0"/>
        <w:tabs>
          <w:tab w:leader="none" w:pos="4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Member of our audit committee</w:t>
      </w:r>
    </w:p>
    <w:p>
      <w:pPr>
        <w:spacing w:after="0" w:line="25" w:lineRule="exact"/>
        <w:rPr>
          <w:rFonts w:ascii="Arial" w:cs="Arial" w:eastAsia="Arial" w:hAnsi="Arial"/>
          <w:sz w:val="24"/>
          <w:szCs w:val="24"/>
          <w:color w:val="auto"/>
          <w:vertAlign w:val="superscript"/>
        </w:rPr>
      </w:pPr>
    </w:p>
    <w:p>
      <w:pPr>
        <w:ind w:left="440" w:hanging="286"/>
        <w:spacing w:after="0" w:line="182" w:lineRule="auto"/>
        <w:tabs>
          <w:tab w:leader="none" w:pos="440" w:val="left"/>
        </w:tabs>
        <w:numPr>
          <w:ilvl w:val="0"/>
          <w:numId w:val="68"/>
        </w:numPr>
        <w:rPr>
          <w:rFonts w:ascii="Arial" w:cs="Arial" w:eastAsia="Arial" w:hAnsi="Arial"/>
          <w:sz w:val="20"/>
          <w:szCs w:val="20"/>
          <w:color w:val="auto"/>
          <w:vertAlign w:val="superscript"/>
        </w:rPr>
      </w:pPr>
      <w:r>
        <w:rPr>
          <w:rFonts w:ascii="Arial" w:cs="Arial" w:eastAsia="Arial" w:hAnsi="Arial"/>
          <w:sz w:val="12"/>
          <w:szCs w:val="12"/>
          <w:color w:val="auto"/>
        </w:rPr>
        <w:t>Member of our compensation committee</w:t>
      </w:r>
    </w:p>
    <w:p>
      <w:pPr>
        <w:spacing w:after="0" w:line="26" w:lineRule="exact"/>
        <w:rPr>
          <w:rFonts w:ascii="Arial" w:cs="Arial" w:eastAsia="Arial" w:hAnsi="Arial"/>
          <w:sz w:val="20"/>
          <w:szCs w:val="20"/>
          <w:color w:val="auto"/>
          <w:vertAlign w:val="superscript"/>
        </w:rPr>
      </w:pPr>
    </w:p>
    <w:p>
      <w:pPr>
        <w:ind w:left="440" w:hanging="286"/>
        <w:spacing w:after="0" w:line="182" w:lineRule="auto"/>
        <w:tabs>
          <w:tab w:leader="none" w:pos="440" w:val="left"/>
        </w:tabs>
        <w:numPr>
          <w:ilvl w:val="0"/>
          <w:numId w:val="68"/>
        </w:numPr>
        <w:rPr>
          <w:rFonts w:ascii="Arial" w:cs="Arial" w:eastAsia="Arial" w:hAnsi="Arial"/>
          <w:sz w:val="20"/>
          <w:szCs w:val="20"/>
          <w:color w:val="auto"/>
          <w:vertAlign w:val="superscript"/>
        </w:rPr>
      </w:pPr>
      <w:r>
        <w:rPr>
          <w:rFonts w:ascii="Arial" w:cs="Arial" w:eastAsia="Arial" w:hAnsi="Arial"/>
          <w:sz w:val="12"/>
          <w:szCs w:val="12"/>
          <w:color w:val="auto"/>
        </w:rPr>
        <w:t>Member of our nominating and corporate governance committee</w:t>
      </w:r>
    </w:p>
    <w:p>
      <w:pPr>
        <w:spacing w:after="0" w:line="26" w:lineRule="exact"/>
        <w:rPr>
          <w:rFonts w:ascii="Arial" w:cs="Arial" w:eastAsia="Arial" w:hAnsi="Arial"/>
          <w:sz w:val="20"/>
          <w:szCs w:val="20"/>
          <w:color w:val="auto"/>
          <w:vertAlign w:val="superscript"/>
        </w:rPr>
      </w:pPr>
    </w:p>
    <w:p>
      <w:pPr>
        <w:ind w:left="280"/>
        <w:spacing w:after="0"/>
        <w:rPr>
          <w:rFonts w:ascii="Arial" w:cs="Arial" w:eastAsia="Arial" w:hAnsi="Arial"/>
          <w:sz w:val="20"/>
          <w:szCs w:val="20"/>
          <w:color w:val="auto"/>
          <w:vertAlign w:val="superscript"/>
        </w:rPr>
      </w:pPr>
      <w:r>
        <w:rPr>
          <w:rFonts w:ascii="Arial" w:cs="Arial" w:eastAsia="Arial" w:hAnsi="Arial"/>
          <w:sz w:val="14"/>
          <w:szCs w:val="14"/>
          <w:color w:val="auto"/>
        </w:rPr>
        <w:t>*  Mr. Cohen will resign as our Chief Executive Officer on the day after the effectiveness of the registration statement of which this prospectus forms a part.</w:t>
      </w:r>
    </w:p>
    <w:p>
      <w:pPr>
        <w:spacing w:after="0" w:line="21" w:lineRule="exact"/>
        <w:rPr>
          <w:rFonts w:ascii="Arial" w:cs="Arial" w:eastAsia="Arial" w:hAnsi="Arial"/>
          <w:sz w:val="20"/>
          <w:szCs w:val="20"/>
          <w:color w:val="auto"/>
          <w:vertAlign w:val="superscript"/>
        </w:rPr>
      </w:pPr>
    </w:p>
    <w:p>
      <w:pPr>
        <w:ind w:left="440" w:right="40" w:hanging="209"/>
        <w:spacing w:after="0" w:line="269" w:lineRule="auto"/>
        <w:tabs>
          <w:tab w:leader="none" w:pos="4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Mr. Hirsch is our director and President and will become our Chief Executive Officer on the day after the effectiveness of the registration statement of which this prospectus forms a part.</w:t>
      </w:r>
    </w:p>
    <w:p>
      <w:pPr>
        <w:ind w:left="440" w:right="140" w:hanging="265"/>
        <w:spacing w:after="0" w:line="286" w:lineRule="auto"/>
        <w:tabs>
          <w:tab w:leader="none" w:pos="4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Ms. Chen will resign from our board of directors contingent upon and effective immediately prior to the effectiveness of the registration statement of which this prospectus forms a part.</w:t>
      </w:r>
    </w:p>
    <w:p>
      <w:pPr>
        <w:spacing w:after="0" w:line="8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following is a biographical summary of the experience of our executive officers and directors. There are no family relationships among any of our executive officers or directors, except that Marc A. Cohen and Alain J. Cohen are siblings.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57"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i w:val="1"/>
          <w:iCs w:val="1"/>
          <w:color w:val="auto"/>
        </w:rPr>
        <w:t xml:space="preserve">Marc A. Cohen </w:t>
      </w:r>
      <w:r>
        <w:rPr>
          <w:rFonts w:ascii="Arial" w:cs="Arial" w:eastAsia="Arial" w:hAnsi="Arial"/>
          <w:sz w:val="17"/>
          <w:szCs w:val="17"/>
          <w:color w:val="auto"/>
        </w:rPr>
        <w:t>is a co-founder and has served as a member of our Board and as Executive Chairman since our inception in October 2015.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became our Chief Executive Officer in March 2020 and will resign from such position on the day after the effectiveness of the registration statement of which this prospectus forms a part. Since December 2011, Mr. Cohen has served as the Chairman and co-Chief Executive Officer of Bublup, Inc., an online knowledge-sharing and organization platform, and has served as co-Chief Executive Officer of Cobro Ventures, Inc., an investment management company for technology and biotechnology companies, since October 2013. Mr. Cohen is also Chairman of Frequency Therapeutics, Inc. (Nasdaq: FREQ), a regenerative medicine biotechnology company, and Executive Chairman of Mana Therapeutics, Inc., a cellular therapies biotechnology company focused on educating immune cells to target cancer, positions in which he has served since September 2016 and January 2018, respectively. He has also served as Executive Chairman of Regenacy Pharmaceuticals, Inc., a biotechnology company, focused on diabetic and other peripheral neuropathies, since January 2016, Executive Chairman of OncoPep, Inc., a cancer vaccine biotechnology company, since January 2010, and Executive Chairman of Raqia Therapeutics, Inc., a CAR-T cell therapies company for cancer and other diseases, since July</w:t>
      </w:r>
    </w:p>
    <w:p>
      <w:pPr>
        <w:spacing w:after="0" w:line="5"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2020. Mr. Cohen is also the co-founder of the Dana-Farber Innovations Research Fund, a venture philanthropy fund focused on early stage research. Mr. Cohen was co-founder and served as Chief Executive Officer and Chairman of OPNET Technologies, Inc., a software company that provided performance management tools for computer networks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454" w:right="3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color w:val="auto"/>
        </w:rPr>
        <w:t>applications, from 1986 through its acquisition in 2012. Mr. Cohen holds an M.S. in Electrical Engineering from Stanford University and an A.B. in Engineering Sciences from Harvard University.</w:t>
      </w:r>
    </w:p>
    <w:p>
      <w:pPr>
        <w:spacing w:after="0" w:line="94"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We believe the characteristics that qualify Mr. Cohen for service on our Board include his leadership experience and business judgment, his role in leading the growth of our company since its founding and his deep knowledge of our operations and our product candidates.</w:t>
      </w:r>
    </w:p>
    <w:p>
      <w:pPr>
        <w:spacing w:after="0" w:line="94"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i w:val="1"/>
          <w:iCs w:val="1"/>
          <w:color w:val="auto"/>
        </w:rPr>
        <w:t xml:space="preserve">Andrew Hirsch </w:t>
      </w:r>
      <w:r>
        <w:rPr>
          <w:rFonts w:ascii="Arial" w:cs="Arial" w:eastAsia="Arial" w:hAnsi="Arial"/>
          <w:sz w:val="17"/>
          <w:szCs w:val="17"/>
          <w:color w:val="auto"/>
        </w:rPr>
        <w:t>has served as our President and a member of our Board of Directors since September 2020 and has been elected to serve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effective the day after the effectiveness of the registration statement of which this prospectus forms a part. Since May 2017, Mr. Hirsch has served on the board of directors of Editas Medicine, Inc. (Nasdaq: EDIT), a pharmaceutical company, and also serves as the chair of its audit committee. From September 2016 to September 2020, Mr. Hirsch served as Chief Financial Officer at Agios Pharmaceuticals, Inc., a public pharmaceutical company, including as head of corporate development beginning March 2018. From March 2015 until August 2016, he served as President and Chief Executive Officer of BIND Therapeutics, Inc., or BIND, a biotechnology company. Prior to being named President and Chief Executive Officer, Mr. Hirsch held several other leadership positions at BIND, including Chief Operating Officer from February 2014 to March 2015, and Chief Financial Officer from July 2012 to March 2015. Prior to joining BIND, Mr. Hirsch was Chief Financial Officer at Avila Therapeutics, Inc., a biotechnology company, from June 2011 until its acquisition by Celgene Corporation in March 2012. From 2002 to 2011, Mr. Hirsch held roles of increasing responsibility at Biogen Inc., including Vice President of Corporate Strategy and M&amp;A and program executive for the Tecfidera development team. He holds an M.B.A. from the Tuck School at Dartmouth College and a B.A. in Economics from the University of Pennsylvania.</w:t>
      </w:r>
    </w:p>
    <w:p>
      <w:pPr>
        <w:spacing w:after="0" w:line="124" w:lineRule="exact"/>
        <w:rPr>
          <w:sz w:val="20"/>
          <w:szCs w:val="20"/>
          <w:color w:val="auto"/>
        </w:rPr>
      </w:pPr>
    </w:p>
    <w:p>
      <w:pPr>
        <w:ind w:right="560"/>
        <w:spacing w:after="0" w:line="271" w:lineRule="auto"/>
        <w:rPr>
          <w:sz w:val="20"/>
          <w:szCs w:val="20"/>
          <w:color w:val="auto"/>
        </w:rPr>
      </w:pPr>
      <w:r>
        <w:rPr>
          <w:rFonts w:ascii="Arial" w:cs="Arial" w:eastAsia="Arial" w:hAnsi="Arial"/>
          <w:sz w:val="17"/>
          <w:szCs w:val="17"/>
          <w:color w:val="auto"/>
        </w:rPr>
        <w:t>We believe that Mr. Hirsch is qualified to serve on our Board because of his extensive leadership and industry-specific experience in a range of strategic and operating roles in the biotech sector.</w:t>
      </w:r>
    </w:p>
    <w:p>
      <w:pPr>
        <w:spacing w:after="0" w:line="9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b w:val="1"/>
          <w:bCs w:val="1"/>
          <w:i w:val="1"/>
          <w:iCs w:val="1"/>
          <w:color w:val="auto"/>
        </w:rPr>
        <w:t xml:space="preserve">William McKee </w:t>
      </w:r>
      <w:r>
        <w:rPr>
          <w:rFonts w:ascii="Arial" w:cs="Arial" w:eastAsia="Arial" w:hAnsi="Arial"/>
          <w:sz w:val="17"/>
          <w:szCs w:val="17"/>
          <w:color w:val="auto"/>
        </w:rPr>
        <w:t>has served as our Chief Financial Officer since April 2020. Mr. McKee has also served as Chief Executive Officer of MBJC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LLC, a business consulting firm serving pharmaceutical and biotech companies, since February 2010. Mr. McKee served as Chief Operating Officer and Chief Financial Officer of EKR Therapeutics, Inc., from July 2010 to June 2012, when EKR was sold to Cornerstone Therapeutics Inc., a pharmaceutical company. From January 2009 to March 2010, Mr. McKee served as the Executive Vice President, Chief Financial Officer and Treasurer of Barr Pharmaceuticals, Inc., a subsidiary of Teva Pharmaceutical Industries Limited (NYSE: TEVA), or Teva. Mr. McKee was also Executive Vice President and Chief Financial Officer of Barr prior to its acquisition by Teva, after having served in positions of increasing responsibility at Barr from 1995 until its acquisition. Mr. McKee has served as a director and chairman of the audit committee and member of the compensation committee of Assertio Therapeutics, Inc. (Nasdaq: ASRT), a specialty pharmaceutical company, since March 2017, and has served as a director and chairman of the audit committee of Aileron Therapeutics, Inc. (Nasdaq: ALRN), a biopharmaceutical company, since March 2019. Mr. McKee holds a B.B.A. from the University of Notre Dame.</w:t>
      </w:r>
    </w:p>
    <w:p>
      <w:pPr>
        <w:spacing w:after="0" w:line="11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b w:val="1"/>
          <w:bCs w:val="1"/>
          <w:i w:val="1"/>
          <w:iCs w:val="1"/>
          <w:color w:val="auto"/>
        </w:rPr>
        <w:t xml:space="preserve">Adam Crystal, M.D., Ph.D. </w:t>
      </w:r>
      <w:r>
        <w:rPr>
          <w:rFonts w:ascii="Arial" w:cs="Arial" w:eastAsia="Arial" w:hAnsi="Arial"/>
          <w:sz w:val="16"/>
          <w:szCs w:val="16"/>
          <w:color w:val="auto"/>
        </w:rPr>
        <w:t>has served as our Chief Medical Officer since February 2019. From May 2014 to February 2019, Dr. Crystal was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Clinical Program Leader, Senior Director at Novartis Institutes for BioMedical Research, where he led early development trials of molecules such as Novartis AG’s (NYSE:NVS) now approved CDK4/6 inhibitor ribociclib and the selective estrogen receptor degrader LSZ102. Dr. Crystal has been an Assistant in Medicine at the Massachusetts General Hospital since 2013, where he is an oncology attending physician and was also an Instructor in Medicine at Harvard Medical School from 2013 to 2018. From 2010 to 2014, Dr. Crystal was also a laboratory-based researcher at Massachusetts General Hospital where his work on resistance mechanisms to targeted therapies was recognized with the American Society of Clinical Oncology Conquer Cancer Young Investigator Award and was also published in </w:t>
      </w:r>
      <w:r>
        <w:rPr>
          <w:rFonts w:ascii="Arial" w:cs="Arial" w:eastAsia="Arial" w:hAnsi="Arial"/>
          <w:sz w:val="16"/>
          <w:szCs w:val="16"/>
          <w:i w:val="1"/>
          <w:iCs w:val="1"/>
          <w:color w:val="auto"/>
        </w:rPr>
        <w:t>Science</w:t>
      </w:r>
      <w:r>
        <w:rPr>
          <w:rFonts w:ascii="Arial" w:cs="Arial" w:eastAsia="Arial" w:hAnsi="Arial"/>
          <w:sz w:val="16"/>
          <w:szCs w:val="16"/>
          <w:color w:val="auto"/>
        </w:rPr>
        <w:t>. Dr. Crystal trained at Massachusetts General Hospital in internal medicine and then completed fellowship training in medical oncology at the Massachusetts General Hospital Cancer Center and the Dana Farber Cancer Institute in 2013. Dr. Crystal holds an M.D. and a Ph.D. in neuroscience from the University of Pennsylvania School of Medicine.</w:t>
      </w:r>
    </w:p>
    <w:p>
      <w:pPr>
        <w:spacing w:after="0" w:line="11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i w:val="1"/>
          <w:iCs w:val="1"/>
          <w:color w:val="auto"/>
        </w:rPr>
        <w:t xml:space="preserve">Stewart Fisher, Ph.D. </w:t>
      </w:r>
      <w:r>
        <w:rPr>
          <w:rFonts w:ascii="Arial" w:cs="Arial" w:eastAsia="Arial" w:hAnsi="Arial"/>
          <w:sz w:val="17"/>
          <w:szCs w:val="17"/>
          <w:color w:val="auto"/>
        </w:rPr>
        <w:t>has served as our Chief Scientific Officer since May 2018 and served as our Senior Vice President, Discovery Sciences,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2016 to April 2018. From January 2014 to April 2016, Dr. Fisher was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0"/>
          </w:cols>
          <w:pgMar w:left="320" w:top="454"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Director of Quantitative of Biochemistry and Enzymology at the Broad Institute, a biomedical and genomic research center, where he developed and implemented biochemical plans for therapeutic projects. Prior to the Broad Institute, Dr. Fisher spent over 15 years at AstraZeneca PLC (NYSE: AZN), a research-based biopharmaceutical company, where he was the Executive Director of Infection Bioscience. Dr. Fisher started his industrial career at Hoffmann LaRoche as a Research Scientist from August 1996 to August 1998 in the Department of Metabolic Diseases in Nutley, New Jersey.</w:t>
      </w:r>
    </w:p>
    <w:p>
      <w:pPr>
        <w:spacing w:after="0" w:line="1" w:lineRule="exact"/>
        <w:rPr>
          <w:sz w:val="20"/>
          <w:szCs w:val="20"/>
          <w:color w:val="auto"/>
        </w:rPr>
      </w:pPr>
    </w:p>
    <w:p>
      <w:pPr>
        <w:ind w:right="460"/>
        <w:spacing w:after="0" w:line="244" w:lineRule="auto"/>
        <w:rPr>
          <w:sz w:val="20"/>
          <w:szCs w:val="20"/>
          <w:color w:val="auto"/>
        </w:rPr>
      </w:pPr>
      <w:r>
        <w:rPr>
          <w:rFonts w:ascii="Arial" w:cs="Arial" w:eastAsia="Arial" w:hAnsi="Arial"/>
          <w:sz w:val="17"/>
          <w:szCs w:val="17"/>
          <w:color w:val="auto"/>
        </w:rPr>
        <w:t>Dr. Fisher holds a B.A. in Chemistry from the University of Vermont, a Ph.D. in Organic Chemistry from the California Institute of Technology and completed his academic training as an NIH Postdoctoral Fellow at the Harvard Medical School.</w:t>
      </w:r>
    </w:p>
    <w:p>
      <w:pPr>
        <w:spacing w:after="0" w:line="115"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b w:val="1"/>
          <w:bCs w:val="1"/>
          <w:i w:val="1"/>
          <w:iCs w:val="1"/>
          <w:color w:val="auto"/>
        </w:rPr>
        <w:t xml:space="preserve">Jolie M. Siegel </w:t>
      </w:r>
      <w:r>
        <w:rPr>
          <w:rFonts w:ascii="Arial" w:cs="Arial" w:eastAsia="Arial" w:hAnsi="Arial"/>
          <w:sz w:val="17"/>
          <w:szCs w:val="17"/>
          <w:color w:val="auto"/>
        </w:rPr>
        <w:t>has served as our Chief Legal Officer since July 2020. In June 2020, Ms. Siegel served as our Interim Chief Legal Officer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consulting capacity. From August 2018 to May 2020, Ms. Siegel served as Vice President, General Counsel and Secretary of Neon Therapeutics, Inc. (as subsequently acquired by BioNTech SE (Nasdaq: BNTX) in May 2020), an immune oncology company, where she was responsible for legal, intellectual property and corporate compliance matters. Ms. Siegel also provided consulting legal services to Neon between March and August 2018. From February 2013 to April 2017, Ms. Siegel served as Senior Vice President, Deputy General Counsel and Assistant Secretary of Intralinks Holdings, Inc. (NYSE: IL, as subsequently acquired by Synchronoss Technologies, Inc. (Nasdaq: SNCR) in January 2017), a technology provider for the global financial and capital markets communities. In this role, Ms. Siegel was responsible for corporate governance, compliance, public company reporting, mergers and acquisition, marketing and finance matters. From 2007 to 2013, Ms. Siegel was a partner at Choate, Hall &amp; Stewart LLP, a law firm, where she worked on corporate transactional, securities and general business matters, with an emphasis on private equity, venture capital and high-growth companies. From 2005 to 2007, Ms. Siegel was an associate at Choate and, from 2001 to 2005, Ms. Siegel was an associate at Testa, Hurwitz &amp; Thibeault, LLP, where she was a member of the business practice group. Ms. Siegel holds a J.D. from the University of Pennsylvania Law School and a B.A. in political science from the University of Pennsylvania.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71"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b w:val="1"/>
          <w:bCs w:val="1"/>
          <w:i w:val="1"/>
          <w:iCs w:val="1"/>
          <w:color w:val="auto"/>
        </w:rPr>
        <w:t xml:space="preserve">Kenneth C. Anderson, M.D. </w:t>
      </w:r>
      <w:r>
        <w:rPr>
          <w:rFonts w:ascii="Arial" w:cs="Arial" w:eastAsia="Arial" w:hAnsi="Arial"/>
          <w:sz w:val="17"/>
          <w:szCs w:val="17"/>
          <w:color w:val="auto"/>
        </w:rPr>
        <w:t>is our co-founder and has served as our director since December 2015. Dr. Anderson has also served as the Kraft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Family Professor of Medicine at Harvard Medical School since 2002, as well as Director of the Jerome Lipper Multiple Myeloma Center and Lebow Institute for Myeloma Therapeutics at Dana-Farber Cancer Institute since 2000 and 2007, respectively. Dr. Anderson is a member of the Institute of Medicine of the National Academy of Sciences and served as President of the International Myeloma Society from 2011 until 2015. Dr. Anderson holds an M.D. from Johns Hopkins Medical School, where he also trained in internal medicine, and completed hematology, medical oncology and tumor immunology training at Dana-Farber Cancer Institute.</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believe that Dr. Anderson is qualified to serve on our Board because of his experience, qualifications, attributes and skills, including his extensive experience in the life sciences industry.</w:t>
      </w:r>
    </w:p>
    <w:p>
      <w:pPr>
        <w:spacing w:after="0" w:line="9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b w:val="1"/>
          <w:bCs w:val="1"/>
          <w:i w:val="1"/>
          <w:iCs w:val="1"/>
          <w:color w:val="auto"/>
        </w:rPr>
        <w:t xml:space="preserve">Bihua Chen </w:t>
      </w:r>
      <w:r>
        <w:rPr>
          <w:rFonts w:ascii="Arial" w:cs="Arial" w:eastAsia="Arial" w:hAnsi="Arial"/>
          <w:sz w:val="17"/>
          <w:szCs w:val="17"/>
          <w:color w:val="auto"/>
        </w:rPr>
        <w:t>has served as our director since December 2015. Ms. Chen is the founder of Cormorant Asset Management, LP, or Cormorant,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firm focused on innovative biotechnology, medical technology and life science companies with assets under management of over $2 billion. Ms. Chen manages Cormorant’s hedge fund, as well as its private equity funds. Prior to founding Cormorant, Ms. Chen managed a separately managed account focused on the healthcare sector as a sub-adviser to a large, multi-strategy hedge fund based in New York. Previously, Ms. Chen was a healthcare analyst/sector portfolio manager for American Express Asset Management, Boston. Ms. Chen has also served as a portfolio manager for the Asterion Life Science Fund from 2001-2002, an equity analyst/portfolio manager for Bellevue Research from 2000-2001 and an equity analyst for Putnam Investments from 1998-2001. Ms. Chen holds an M.B.A. from the Wharton School of Business and an M.S. in Molecular Biology, from the Graduate School of Biomedical Science at Cornell Medical College. Ms. Chen also holds a B.S. in Genetics and Genetic Engineering from Fudan University, Shanghai, China.</w:t>
      </w:r>
    </w:p>
    <w:p>
      <w:pPr>
        <w:spacing w:after="0" w:line="123" w:lineRule="exact"/>
        <w:rPr>
          <w:sz w:val="20"/>
          <w:szCs w:val="20"/>
          <w:color w:val="auto"/>
        </w:rPr>
      </w:pPr>
    </w:p>
    <w:p>
      <w:pPr>
        <w:ind w:right="580"/>
        <w:spacing w:after="0" w:line="271" w:lineRule="auto"/>
        <w:rPr>
          <w:sz w:val="20"/>
          <w:szCs w:val="20"/>
          <w:color w:val="auto"/>
        </w:rPr>
      </w:pPr>
      <w:r>
        <w:rPr>
          <w:rFonts w:ascii="Arial" w:cs="Arial" w:eastAsia="Arial" w:hAnsi="Arial"/>
          <w:sz w:val="17"/>
          <w:szCs w:val="17"/>
          <w:color w:val="auto"/>
        </w:rPr>
        <w:t>We believe that Ms. Chen is qualified to serve on our Board because of her experience, qualifications, attributes and skills, including her global pharmaceutical industry experience and her tenure as an investment manager.</w:t>
      </w:r>
    </w:p>
    <w:p>
      <w:pPr>
        <w:spacing w:after="0" w:line="94"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b w:val="1"/>
          <w:bCs w:val="1"/>
          <w:i w:val="1"/>
          <w:iCs w:val="1"/>
          <w:color w:val="auto"/>
        </w:rPr>
        <w:t xml:space="preserve">Alain J. Cohen </w:t>
      </w:r>
      <w:r>
        <w:rPr>
          <w:rFonts w:ascii="Arial" w:cs="Arial" w:eastAsia="Arial" w:hAnsi="Arial"/>
          <w:sz w:val="17"/>
          <w:szCs w:val="17"/>
          <w:color w:val="auto"/>
        </w:rPr>
        <w:t>has served as our director since December 2015. Since October 2013, Mr. Cohen has been the Chief Executive Officer of Cobro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Ventures, Inc., an investment management company for technology and biotechnology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40"/>
          </w:cols>
          <w:pgMar w:left="320" w:top="454" w:right="3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companies. Since December 2011, Mr. Cohen has also been co-Chief Executive Officer of Bublup, Inc., an online knowledge-sharing and organization platform. Mr. Cohen also serves on the board of directors of Mana Therapeutics, Inc., a cellular therapies biotechnology company focused on educating immune cells to target cancer. In 1986, Mr. Cohen co-founded and served as President and Chief Technology Officer of OPNET Technologies, Inc., a software company that provided performance management tools for computer networks and applications, through its acquisition in 2012. Mr. Cohen holds a B.S. in Electrical Engineering from the Massachusetts Institute of Technology.</w:t>
      </w:r>
    </w:p>
    <w:p>
      <w:pPr>
        <w:spacing w:after="0" w:line="119"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We believe that Mr. Cohen is qualified to serve on our Board because of his experience, qualifications, attributes and skills, including his extensive business experience and knowledge of the life sciences industry.</w:t>
      </w:r>
    </w:p>
    <w:p>
      <w:pPr>
        <w:spacing w:after="0" w:line="9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b w:val="1"/>
          <w:bCs w:val="1"/>
          <w:i w:val="1"/>
          <w:iCs w:val="1"/>
          <w:color w:val="auto"/>
        </w:rPr>
        <w:t xml:space="preserve">Bruce Downey </w:t>
      </w:r>
      <w:r>
        <w:rPr>
          <w:rFonts w:ascii="Arial" w:cs="Arial" w:eastAsia="Arial" w:hAnsi="Arial"/>
          <w:sz w:val="17"/>
          <w:szCs w:val="17"/>
          <w:color w:val="auto"/>
        </w:rPr>
        <w:t>has served as our director since December 2015. From 1994 to 2008, Mr. Downey was Chairman and Chief Executive Officer of Barr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Pharmaceuticals, Inc. (until its acquisition by Teva in 2008), a global generic pharmaceutical manufacturer. Mr. Downey has served on a part-time basis as a Partner of NewSpring Health Capital II, L.P., a venture capital firm, since April 2009. Prior to Barr Pharmaceuticals, Mr. Downey was a practicing attorney for 20 years, working in both the private sector and for the federal government, including the U.S. Department of Justice and the U.S. Department of Energy. In addition, Mr. Downey has served on the boards of directors of OncoPep, Inc., a biotechnology company, Cardinal Health, Inc. (NYSE: CAH), a healthcare services company and Momenta Pharmaceuticals, Inc. (Nasdaq: MNTA), a biotechnology company, since April 2011, July 2009 and June 2009, respectively. Mr. Downey previously served on the board of directors of Melinta Therapeutics, Inc. (Nasdaq: MLNT), a biopharmaceutical firm, from October 2018 until April 2020. Mr. Downey holds a B.S. in Economics from Miami University and a J.D. from Ohio State University.</w:t>
      </w:r>
    </w:p>
    <w:p>
      <w:pPr>
        <w:spacing w:after="0" w:line="123"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color w:val="auto"/>
        </w:rPr>
        <w:t>We believe that Mr. Downey is qualified to serve on our Board because of his experience, qualifications, attributes and skills, including his global pharmaceutical industry experience.</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i w:val="1"/>
          <w:iCs w:val="1"/>
          <w:color w:val="auto"/>
        </w:rPr>
        <w:t xml:space="preserve">Elena Prokupets, Ph.D. </w:t>
      </w:r>
      <w:r>
        <w:rPr>
          <w:rFonts w:ascii="Arial" w:cs="Arial" w:eastAsia="Arial" w:hAnsi="Arial"/>
          <w:sz w:val="16"/>
          <w:szCs w:val="16"/>
          <w:color w:val="auto"/>
        </w:rPr>
        <w:t>has served as our director since December 2015. Dr. Prokupets co-founded Lenel Systems International, a security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in 1991 and served as its President, CEO and Chairwoman of the Board until its sale to United Technology Corporation in 2005. Dr. Prokupets also co-founded and led Edicon Systems (a division of Eastman Kodak Company) from 1985 to 1990. Dr. Prokupets was on the board of directors of Acetylon Pharmaceuticals, Inc., a pharmaceutical company, from August 2009 until its sale to Celgene Corporation, a subsidiary of Bristol-Myers Squibb (NYSE:BMY), in December 2016, and currently serves on the boards of directors of Regenacy Pharmaceuticals, LLC, a clinical-stage biopharmaceutical company, and OncoPep, Inc., a biotechnology company that specializes in the development of targeted immunotherapeutics for the treatment of cancer. She is a Trustee of the University of Rochester and the Managing Director of the Metropolitan Opera of New York. Ms. Prokupets holds an M.S. in Electrical Engineering and a Ph.D. in Computer Science from Saint Petersburg Electrotechnical University, Russia.</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believe that Dr. Prokupets is qualified to serve on our Board because of her experience, qualifications, attributes and skills, including her extensive investment experience in the life sciences and her service as a director of other publicly traded companies.</w:t>
      </w:r>
    </w:p>
    <w:p>
      <w:pPr>
        <w:spacing w:after="0" w:line="9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b w:val="1"/>
          <w:bCs w:val="1"/>
          <w:i w:val="1"/>
          <w:iCs w:val="1"/>
          <w:color w:val="auto"/>
        </w:rPr>
        <w:t xml:space="preserve">Malcolm Salter </w:t>
      </w:r>
      <w:r>
        <w:rPr>
          <w:rFonts w:ascii="Arial" w:cs="Arial" w:eastAsia="Arial" w:hAnsi="Arial"/>
          <w:sz w:val="17"/>
          <w:szCs w:val="17"/>
          <w:color w:val="auto"/>
        </w:rPr>
        <w:t>has served as our director since December 2015. Mr. Salter is the James J. Hill Professor, Emeritus, at the Harvard Business School.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joining the Harvard Business School faculty in 1967, his teaching and research has focused on issues of corporate strategy and governance. From 1986 to 2006, he served as president of Mars &amp; Co., a global strategy-consulting firm. Mr. Salter is a Trustee of the Dana-Farber Cancer Institute. Mr. Salter holds an A.B., M.B.A,. and a D.B.A. from Harvard University.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Mr. Salter is qualified to serve on our Board because of his business background and extensive corporate leadership experience.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7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454" w:right="3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their earlier resignation or removal. Our amended and restated certificate of incorporation and amended and restated bylaws that will become effective upon the closing of this offering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w:t>
      </w:r>
    </w:p>
    <w:p>
      <w:pPr>
        <w:spacing w:after="0" w:line="7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accordance with the terms of our amended and restated certificate of incorporation and our amended and restated bylaws that will become effective upon the closing of this offering, our board of directors will be divided into three classes of directors and each director will be assigned to one of the three classes. At each annual meeting of the stockholders, one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2021 for Class I directors, 2022 for Class II directors and 2023 for Class III directors. Our current directors will be divided among the three classes as follows:</w:t>
      </w:r>
    </w:p>
    <w:p>
      <w:pPr>
        <w:spacing w:after="0" w:line="161" w:lineRule="exact"/>
        <w:rPr>
          <w:sz w:val="20"/>
          <w:szCs w:val="20"/>
          <w:color w:val="auto"/>
        </w:rPr>
      </w:pPr>
    </w:p>
    <w:p>
      <w:pPr>
        <w:ind w:left="880" w:hanging="432"/>
        <w:spacing w:after="0"/>
        <w:tabs>
          <w:tab w:leader="none" w:pos="88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the Class I directors will be Marc A. Cohen and Kenneth C. Anderson;</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the Class II directors will be Alain J. Cohen and Bruce Downey;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the Class III directors will be Malcolm Salter, Elena Prokupets and Andrew Hirsch.</w:t>
      </w:r>
    </w:p>
    <w:p>
      <w:pPr>
        <w:spacing w:after="0" w:line="150"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upon the closing of this offering will provide that the number of our directors shall be fixed from time to time by a resolution of the majority of our board of directors.</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stockholder efforts to effect a change of our management or a change in control.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5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expect to list our common stock on The Nasdaq Global Market.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or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21" w:lineRule="exact"/>
        <w:rPr>
          <w:sz w:val="20"/>
          <w:szCs w:val="20"/>
          <w:color w:val="auto"/>
        </w:rPr>
      </w:pPr>
    </w:p>
    <w:p>
      <w:pPr>
        <w:jc w:val="both"/>
        <w:ind w:right="240"/>
        <w:spacing w:after="0" w:line="258" w:lineRule="auto"/>
        <w:rPr>
          <w:sz w:val="20"/>
          <w:szCs w:val="20"/>
          <w:color w:val="auto"/>
        </w:rPr>
      </w:pPr>
      <w:r>
        <w:rPr>
          <w:rFonts w:ascii="Arial" w:cs="Arial" w:eastAsia="Arial" w:hAnsi="Arial"/>
          <w:sz w:val="16"/>
          <w:szCs w:val="16"/>
          <w:color w:val="auto"/>
        </w:rPr>
        <w:t>In order to be independent for purposes of Rule 10A-3 under the Exchange Act and under the rule of Nasdaq, a member of an audit committee of a listed company may not, other than in his or her capacity as a member of the audit committee, the board of directors or any other board committee:</w:t>
      </w:r>
    </w:p>
    <w:p>
      <w:pPr>
        <w:ind w:left="260" w:hanging="253"/>
        <w:spacing w:after="0" w:line="230" w:lineRule="auto"/>
        <w:tabs>
          <w:tab w:leader="none" w:pos="2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accept, directly or indirectly, any consulting, advisory or other compensatory fee from the listed company or any of its subsidiaries, other than</w:t>
      </w:r>
    </w:p>
    <w:p>
      <w:pPr>
        <w:ind w:right="200"/>
        <w:spacing w:after="0" w:line="238" w:lineRule="auto"/>
        <w:rPr>
          <w:rFonts w:ascii="Arial" w:cs="Arial" w:eastAsia="Arial" w:hAnsi="Arial"/>
          <w:sz w:val="17"/>
          <w:szCs w:val="17"/>
          <w:color w:val="auto"/>
        </w:rPr>
      </w:pPr>
      <w:r>
        <w:rPr>
          <w:rFonts w:ascii="Arial" w:cs="Arial" w:eastAsia="Arial" w:hAnsi="Arial"/>
          <w:sz w:val="17"/>
          <w:szCs w:val="17"/>
          <w:color w:val="auto"/>
        </w:rPr>
        <w:t>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40"/>
          </w:cols>
          <w:pgMar w:left="320" w:top="454"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1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all members of our board of directors, except for Andrew Hirsch, Marc A. Cohen and Alain J. Cohen, do not have a relationship that would interfere with the exercise of independent judgment in carrying out the responsibilities of a director and that each of these directors is “independent” as that term is defined under the rules of Nasdaq. Marc A. Cohen will resign as our interim Chief Executive Officer on the day after the effectiveness of the registration statement of which this prospectus forms a part. Our board of directors has determined that, at that point, directors Marc A. Cohen and his sibling Alain J. Cohen shall be deemed “independent” as well. In making these determinations, our board of directors considered the relationships that each director has with us and all other facts and circumstances the board of directors deemed relevant in determining independence, including the potential deemed beneficial ownership of our capital stock by each director, including non-employee directors that are affiliated with certain of our major stockholders. Upon the completion of this offering and after the completion of the transition periods thereunder, we expect that the composition and functioning of our board of directors and each of our committees will comply with all applicable requirements of Nasdaq and the rules and regulations of the SEC after the completion of the transition periods thereunder.</w:t>
      </w:r>
    </w:p>
    <w:p>
      <w:pPr>
        <w:spacing w:after="0" w:line="1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are no family relationships among any of our directors or executive officers, other than between our Co-Founder, Executive Chairman, Director, and interim Chief Executive Officer, Marc A. Cohen, and our director Alain J. Cohen, who are siblings.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7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5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the responsibilities described below. Each committee will operate pursuant to a charter to be adopted by our board of directors and will be effective upon the effectiveness of the registration statement of which this prospectus forms a part. We believe that the composition and functioning of all of our committees will comply with the applicable requirements of Nasdaq, the Sarbanes-Oxley Act of 2002 and SEC rules and regulations that will be applicable to us. Our board of directors may from time to time establish other committees. We intend to comply with future requirements to the extent they become applicable to us.</w:t>
      </w:r>
    </w:p>
    <w:p>
      <w:pPr>
        <w:spacing w:after="0" w:line="121"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Following the closing of this offering, the full text of our audit committee charter, compensation committee charter and nominating and corporate governance charter will be posted on the investor relations portion of our website at https://www.c4therapeutics.com. We do not incorporate the information contained on or accessible through our corporate website into this prospectus, and you should not consider it a part of this prospectus.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00"/>
          </w:cols>
          <w:pgMar w:left="320" w:top="454" w:right="37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40"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Upon the effectiveness of the registration statement of which this prospectus forms a part, our audit committee will consist of Malcolm Salter, Bruce Downey and Elena Prokupets and will be chaired by Mr. Salter. The functions of the audit committee will include:</w:t>
      </w:r>
    </w:p>
    <w:p>
      <w:pPr>
        <w:spacing w:after="0" w:line="143" w:lineRule="exact"/>
        <w:rPr>
          <w:sz w:val="20"/>
          <w:szCs w:val="20"/>
          <w:color w:val="auto"/>
        </w:rPr>
      </w:pPr>
    </w:p>
    <w:p>
      <w:pPr>
        <w:ind w:left="880" w:hanging="432"/>
        <w:spacing w:after="0"/>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33" w:lineRule="exact"/>
        <w:rPr>
          <w:rFonts w:ascii="MS PGothic" w:cs="MS PGothic" w:eastAsia="MS PGothic" w:hAnsi="MS PGothic"/>
          <w:sz w:val="12"/>
          <w:szCs w:val="12"/>
          <w:color w:val="auto"/>
        </w:rPr>
      </w:pPr>
    </w:p>
    <w:p>
      <w:pPr>
        <w:ind w:left="880" w:right="160" w:hanging="432"/>
        <w:spacing w:after="0" w:line="254" w:lineRule="auto"/>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pre-approving auditing and permissible non-audit services and the terms of such services, to be provided by our independent registered public accounting firm;</w:t>
      </w:r>
    </w:p>
    <w:p>
      <w:pPr>
        <w:ind w:left="880" w:right="420" w:hanging="432"/>
        <w:spacing w:after="0" w:line="254" w:lineRule="auto"/>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reviewing the overall audit plan with our independent registered public accounting firm and members of management responsible for preparing our financial statements;</w:t>
      </w:r>
    </w:p>
    <w:p>
      <w:pPr>
        <w:ind w:left="880" w:right="420" w:hanging="432"/>
        <w:spacing w:after="0" w:line="254" w:lineRule="auto"/>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reviewing and discussing with management and our independent registered public accounting firm our annual and quarterly financial statements and related disclosures as well as critical accounting policies and practices used by us;</w:t>
      </w:r>
    </w:p>
    <w:p>
      <w:pPr>
        <w:ind w:left="880" w:hanging="432"/>
        <w:spacing w:after="0"/>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coordinating the oversight and reviewing the adequacy of our internal control over financial reporting;</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establishing policies and procedures for the receipt and retention of accounting-related complaints and concerns;</w:t>
      </w:r>
    </w:p>
    <w:p>
      <w:pPr>
        <w:spacing w:after="0" w:line="31" w:lineRule="exact"/>
        <w:rPr>
          <w:rFonts w:ascii="MS PGothic" w:cs="MS PGothic" w:eastAsia="MS PGothic" w:hAnsi="MS PGothic"/>
          <w:sz w:val="12"/>
          <w:szCs w:val="12"/>
          <w:color w:val="auto"/>
        </w:rPr>
      </w:pPr>
    </w:p>
    <w:p>
      <w:pPr>
        <w:ind w:left="880" w:right="560" w:hanging="432"/>
        <w:spacing w:after="0" w:line="254" w:lineRule="auto"/>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ind w:left="880" w:right="600" w:hanging="432"/>
        <w:spacing w:after="0" w:line="254" w:lineRule="auto"/>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ind w:left="880" w:hanging="432"/>
        <w:spacing w:after="0"/>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reviewing all related person transactions for potential conflict of interest situations and approving all such transactions;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reviewing quarterly earnings releases.</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All members of our audit committee will meet the requirements for financial literacy under the applicable rules and regulations of the SEC and the Nasdaq listing rules. Our board of directors has determined that Mr. Salter qualifies as an “audit committee financial expert” within the meaning of applicable SEC regulations. In making this determination, our board of directors considered the nature and scope of experience that Mr. Salter has previously had with public reporting companies, including prior consulting experience, prior service as our Audit Committee chair where he oversaw our audits, and his position as professor at Harvard Business School since 1967 (now Emeritus). Our board of directors has determined that all of the directors that will become members of our audit committee upon the effectiveness of the registration statement of which this prospectus forms a part satisfy the relevant independence requirements for service on the audit committee set forth in the rules of the SEC and the Nasdaq listing rules. Both our independent registered public accounting firm and management will periodically meet privately with our audit committee.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Upon the effectiveness of the registration statement of which this prospectus forms a part, our compensation committee will consist of Marc A. Cohen, Alain J. Cohen and Bruce Downey, and will be chaired by Marc A. Cohen. The functions of the compensation committee upon the completion of this offering, will include:</w:t>
      </w:r>
    </w:p>
    <w:p>
      <w:pPr>
        <w:spacing w:after="0" w:line="156" w:lineRule="exact"/>
        <w:rPr>
          <w:sz w:val="20"/>
          <w:szCs w:val="20"/>
          <w:color w:val="auto"/>
        </w:rPr>
      </w:pPr>
    </w:p>
    <w:p>
      <w:pPr>
        <w:ind w:left="880" w:right="260" w:hanging="432"/>
        <w:spacing w:after="0" w:line="255" w:lineRule="auto"/>
        <w:tabs>
          <w:tab w:leader="none" w:pos="880" w:val="left"/>
        </w:tabs>
        <w:numPr>
          <w:ilvl w:val="0"/>
          <w:numId w:val="74"/>
        </w:numPr>
        <w:rPr>
          <w:rFonts w:ascii="MS PGothic" w:cs="MS PGothic" w:eastAsia="MS PGothic" w:hAnsi="MS PGothic"/>
          <w:sz w:val="12"/>
          <w:szCs w:val="12"/>
          <w:color w:val="auto"/>
        </w:rPr>
      </w:pPr>
      <w:r>
        <w:rPr>
          <w:rFonts w:ascii="Arial" w:cs="Arial" w:eastAsia="Arial" w:hAnsi="Arial"/>
          <w:sz w:val="17"/>
          <w:szCs w:val="17"/>
          <w:color w:val="auto"/>
        </w:rPr>
        <w:t>annually reviewing and recommending to the board of directors the corporate goals and objectives relevant to the compensation of our Chief Executive Officer;</w:t>
      </w:r>
    </w:p>
    <w:p>
      <w:pPr>
        <w:spacing w:after="0" w:line="1" w:lineRule="exact"/>
        <w:rPr>
          <w:rFonts w:ascii="MS PGothic" w:cs="MS PGothic" w:eastAsia="MS PGothic" w:hAnsi="MS PGothic"/>
          <w:sz w:val="12"/>
          <w:szCs w:val="12"/>
          <w:color w:val="auto"/>
        </w:rPr>
      </w:pPr>
    </w:p>
    <w:p>
      <w:pPr>
        <w:ind w:left="880" w:hanging="432"/>
        <w:spacing w:after="0"/>
        <w:tabs>
          <w:tab w:leader="none" w:pos="880" w:val="left"/>
        </w:tabs>
        <w:numPr>
          <w:ilvl w:val="0"/>
          <w:numId w:val="74"/>
        </w:numPr>
        <w:rPr>
          <w:rFonts w:ascii="MS PGothic" w:cs="MS PGothic" w:eastAsia="MS PGothic" w:hAnsi="MS PGothic"/>
          <w:sz w:val="12"/>
          <w:szCs w:val="12"/>
          <w:color w:val="auto"/>
        </w:rPr>
      </w:pPr>
      <w:r>
        <w:rPr>
          <w:rFonts w:ascii="Arial" w:cs="Arial" w:eastAsia="Arial" w:hAnsi="Arial"/>
          <w:sz w:val="17"/>
          <w:szCs w:val="17"/>
          <w:color w:val="auto"/>
        </w:rPr>
        <w:t>evaluating the performance of our Chief Executive Officer in light of such corporate goals and objectives and based on such evaluation</w:t>
      </w:r>
    </w:p>
    <w:p>
      <w:pPr>
        <w:spacing w:after="0" w:line="11" w:lineRule="exact"/>
        <w:rPr>
          <w:rFonts w:ascii="MS PGothic" w:cs="MS PGothic" w:eastAsia="MS PGothic" w:hAnsi="MS PGothic"/>
          <w:sz w:val="12"/>
          <w:szCs w:val="12"/>
          <w:color w:val="auto"/>
        </w:rPr>
      </w:pPr>
    </w:p>
    <w:p>
      <w:pPr>
        <w:ind w:left="880" w:right="20"/>
        <w:spacing w:after="0" w:line="242" w:lineRule="auto"/>
        <w:rPr>
          <w:rFonts w:ascii="MS PGothic" w:cs="MS PGothic" w:eastAsia="MS PGothic" w:hAnsi="MS PGothic"/>
          <w:sz w:val="12"/>
          <w:szCs w:val="12"/>
          <w:color w:val="auto"/>
        </w:rPr>
      </w:pPr>
      <w:r>
        <w:rPr>
          <w:rFonts w:ascii="Arial" w:cs="Arial" w:eastAsia="Arial" w:hAnsi="Arial"/>
          <w:sz w:val="17"/>
          <w:szCs w:val="17"/>
          <w:color w:val="auto"/>
        </w:rPr>
        <w:t>(i) reviewing and determining the cash compensation of our Chief Executive Officer and (ii) reviewing and approving grants and awards to our Chief Executive Officer under equity-based plans;</w:t>
      </w:r>
    </w:p>
    <w:p>
      <w:pPr>
        <w:ind w:left="880" w:hanging="432"/>
        <w:spacing w:after="0"/>
        <w:tabs>
          <w:tab w:leader="none" w:pos="880" w:val="left"/>
        </w:tabs>
        <w:numPr>
          <w:ilvl w:val="0"/>
          <w:numId w:val="74"/>
        </w:numPr>
        <w:rPr>
          <w:rFonts w:ascii="MS PGothic" w:cs="MS PGothic" w:eastAsia="MS PGothic" w:hAnsi="MS PGothic"/>
          <w:sz w:val="12"/>
          <w:szCs w:val="12"/>
          <w:color w:val="auto"/>
        </w:rPr>
      </w:pPr>
      <w:r>
        <w:rPr>
          <w:rFonts w:ascii="Arial" w:cs="Arial" w:eastAsia="Arial" w:hAnsi="Arial"/>
          <w:sz w:val="17"/>
          <w:szCs w:val="17"/>
          <w:color w:val="auto"/>
        </w:rPr>
        <w:t>reviewing and approving the compensation of our other executive officers;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200"/>
          </w:cols>
          <w:pgMar w:left="320" w:top="454" w:right="37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hanging="432"/>
        <w:spacing w:after="0"/>
        <w:tabs>
          <w:tab w:leader="none" w:pos="880" w:val="left"/>
        </w:tabs>
        <w:numPr>
          <w:ilvl w:val="0"/>
          <w:numId w:val="75"/>
        </w:numPr>
        <w:rPr>
          <w:rFonts w:ascii="MS PGothic" w:cs="MS PGothic" w:eastAsia="MS PGothic" w:hAnsi="MS PGothic"/>
          <w:sz w:val="12"/>
          <w:szCs w:val="12"/>
          <w:color w:val="auto"/>
        </w:rPr>
      </w:pPr>
      <w:r>
        <w:rPr>
          <w:rFonts w:ascii="Arial" w:cs="Arial" w:eastAsia="Arial" w:hAnsi="Arial"/>
          <w:sz w:val="17"/>
          <w:szCs w:val="17"/>
          <w:color w:val="auto"/>
        </w:rPr>
        <w:t>reviewing and establishing our overall management compensation, philosophy and policy;</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75"/>
        </w:numPr>
        <w:rPr>
          <w:rFonts w:ascii="MS PGothic" w:cs="MS PGothic" w:eastAsia="MS PGothic" w:hAnsi="MS PGothic"/>
          <w:sz w:val="12"/>
          <w:szCs w:val="12"/>
          <w:color w:val="auto"/>
        </w:rPr>
      </w:pPr>
      <w:r>
        <w:rPr>
          <w:rFonts w:ascii="Arial" w:cs="Arial" w:eastAsia="Arial" w:hAnsi="Arial"/>
          <w:sz w:val="17"/>
          <w:szCs w:val="17"/>
          <w:color w:val="auto"/>
        </w:rPr>
        <w:t>overseeing and administering our compensation and similar plans;</w:t>
      </w:r>
    </w:p>
    <w:p>
      <w:pPr>
        <w:spacing w:after="0" w:line="31" w:lineRule="exact"/>
        <w:rPr>
          <w:rFonts w:ascii="MS PGothic" w:cs="MS PGothic" w:eastAsia="MS PGothic" w:hAnsi="MS PGothic"/>
          <w:sz w:val="12"/>
          <w:szCs w:val="12"/>
          <w:color w:val="auto"/>
        </w:rPr>
      </w:pPr>
    </w:p>
    <w:p>
      <w:pPr>
        <w:ind w:left="880" w:right="220" w:hanging="432"/>
        <w:spacing w:after="0" w:line="254" w:lineRule="auto"/>
        <w:tabs>
          <w:tab w:leader="none" w:pos="880" w:val="left"/>
        </w:tabs>
        <w:numPr>
          <w:ilvl w:val="0"/>
          <w:numId w:val="75"/>
        </w:numPr>
        <w:rPr>
          <w:rFonts w:ascii="MS PGothic" w:cs="MS PGothic" w:eastAsia="MS PGothic" w:hAnsi="MS PGothic"/>
          <w:sz w:val="12"/>
          <w:szCs w:val="12"/>
          <w:color w:val="auto"/>
        </w:rPr>
      </w:pPr>
      <w:r>
        <w:rPr>
          <w:rFonts w:ascii="Arial" w:cs="Arial" w:eastAsia="Arial" w:hAnsi="Arial"/>
          <w:sz w:val="17"/>
          <w:szCs w:val="17"/>
          <w:color w:val="auto"/>
        </w:rPr>
        <w:t>evaluating and assessing potential and current compensation advisors in accordance with the independence standards identified in the applicable Nasdaq listing rules;</w:t>
      </w:r>
    </w:p>
    <w:p>
      <w:pPr>
        <w:ind w:left="880" w:hanging="432"/>
        <w:spacing w:after="0"/>
        <w:tabs>
          <w:tab w:leader="none" w:pos="880" w:val="left"/>
        </w:tabs>
        <w:numPr>
          <w:ilvl w:val="0"/>
          <w:numId w:val="75"/>
        </w:numPr>
        <w:rPr>
          <w:rFonts w:ascii="MS PGothic" w:cs="MS PGothic" w:eastAsia="MS PGothic" w:hAnsi="MS PGothic"/>
          <w:sz w:val="12"/>
          <w:szCs w:val="12"/>
          <w:color w:val="auto"/>
        </w:rPr>
      </w:pPr>
      <w:r>
        <w:rPr>
          <w:rFonts w:ascii="Arial" w:cs="Arial" w:eastAsia="Arial" w:hAnsi="Arial"/>
          <w:sz w:val="17"/>
          <w:szCs w:val="17"/>
          <w:color w:val="auto"/>
        </w:rPr>
        <w:t>reviewing and approving our policies and procedures for the grant of equity-based awards;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75"/>
        </w:numPr>
        <w:rPr>
          <w:rFonts w:ascii="MS PGothic" w:cs="MS PGothic" w:eastAsia="MS PGothic" w:hAnsi="MS PGothic"/>
          <w:sz w:val="12"/>
          <w:szCs w:val="12"/>
          <w:color w:val="auto"/>
        </w:rPr>
      </w:pPr>
      <w:r>
        <w:rPr>
          <w:rFonts w:ascii="Arial" w:cs="Arial" w:eastAsia="Arial" w:hAnsi="Arial"/>
          <w:sz w:val="17"/>
          <w:szCs w:val="17"/>
          <w:color w:val="auto"/>
        </w:rPr>
        <w:t>reviewing and recommending to the board of directors the compensation of our directors;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75"/>
        </w:numPr>
        <w:rPr>
          <w:rFonts w:ascii="MS PGothic" w:cs="MS PGothic" w:eastAsia="MS PGothic" w:hAnsi="MS PGothic"/>
          <w:sz w:val="12"/>
          <w:szCs w:val="12"/>
          <w:color w:val="auto"/>
        </w:rPr>
      </w:pPr>
      <w:r>
        <w:rPr>
          <w:rFonts w:ascii="Arial" w:cs="Arial" w:eastAsia="Arial" w:hAnsi="Arial"/>
          <w:sz w:val="17"/>
          <w:szCs w:val="17"/>
          <w:color w:val="auto"/>
        </w:rPr>
        <w:t>preparing our compensation committee report if and when required by SEC rules;</w:t>
      </w:r>
    </w:p>
    <w:p>
      <w:pPr>
        <w:spacing w:after="0" w:line="31" w:lineRule="exact"/>
        <w:rPr>
          <w:rFonts w:ascii="MS PGothic" w:cs="MS PGothic" w:eastAsia="MS PGothic" w:hAnsi="MS PGothic"/>
          <w:sz w:val="12"/>
          <w:szCs w:val="12"/>
          <w:color w:val="auto"/>
        </w:rPr>
      </w:pPr>
    </w:p>
    <w:p>
      <w:pPr>
        <w:ind w:left="880" w:hanging="432"/>
        <w:spacing w:after="0" w:line="254" w:lineRule="auto"/>
        <w:tabs>
          <w:tab w:leader="none" w:pos="880" w:val="left"/>
        </w:tabs>
        <w:numPr>
          <w:ilvl w:val="0"/>
          <w:numId w:val="75"/>
        </w:numPr>
        <w:rPr>
          <w:rFonts w:ascii="MS PGothic" w:cs="MS PGothic" w:eastAsia="MS PGothic" w:hAnsi="MS PGothic"/>
          <w:sz w:val="12"/>
          <w:szCs w:val="12"/>
          <w:color w:val="auto"/>
        </w:rPr>
      </w:pPr>
      <w:r>
        <w:rPr>
          <w:rFonts w:ascii="Arial" w:cs="Arial" w:eastAsia="Arial" w:hAnsi="Arial"/>
          <w:sz w:val="17"/>
          <w:szCs w:val="17"/>
          <w:color w:val="auto"/>
        </w:rPr>
        <w:t>reviewing and discussing annually with management our “Compensation Discussion and Analysis,” if and when required, to be included in our annual proxy statement; and</w:t>
      </w:r>
    </w:p>
    <w:p>
      <w:pPr>
        <w:ind w:left="880" w:right="140" w:hanging="432"/>
        <w:spacing w:after="0" w:line="269" w:lineRule="auto"/>
        <w:tabs>
          <w:tab w:leader="none" w:pos="880" w:val="left"/>
        </w:tabs>
        <w:numPr>
          <w:ilvl w:val="0"/>
          <w:numId w:val="75"/>
        </w:numPr>
        <w:rPr>
          <w:rFonts w:ascii="MS PGothic" w:cs="MS PGothic" w:eastAsia="MS PGothic" w:hAnsi="MS PGothic"/>
          <w:sz w:val="12"/>
          <w:szCs w:val="12"/>
          <w:color w:val="auto"/>
        </w:rPr>
      </w:pPr>
      <w:r>
        <w:rPr>
          <w:rFonts w:ascii="Arial" w:cs="Arial" w:eastAsia="Arial" w:hAnsi="Arial"/>
          <w:sz w:val="17"/>
          <w:szCs w:val="17"/>
          <w:color w:val="auto"/>
        </w:rPr>
        <w:t>reviewing and approving the retention or termination of any consulting firm or outside advisor to assist in the evaluation of compensation matters.</w:t>
      </w:r>
    </w:p>
    <w:p>
      <w:pPr>
        <w:spacing w:after="0" w:line="95"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Each member of our compensation committee, other than Marc A. Cohen, will be a non-employee director, as defined in Rule 16b-3 promulgated under the Exchange Act, and an outside director, as defined pursuant to Section 162(m) of the Code. Marc A. Cohen will resign as our interim Chief Executive Officer on the day after the effectiveness of the registration statement of which this prospectus forms a part.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3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Upon the effectiveness of the registration statement of which this prospectus forms a part, our nominating and corporate governance committee will consist of Marc A. Cohen, Bruce Downey and Elena Prokupets and will be chaired by Mr. Cohen. The functions of the nominating and corporate governance committee will include:</w:t>
      </w:r>
    </w:p>
    <w:p>
      <w:pPr>
        <w:spacing w:after="0" w:line="159" w:lineRule="exact"/>
        <w:rPr>
          <w:sz w:val="20"/>
          <w:szCs w:val="20"/>
          <w:color w:val="auto"/>
        </w:rPr>
      </w:pPr>
    </w:p>
    <w:p>
      <w:pPr>
        <w:ind w:left="880" w:hanging="432"/>
        <w:spacing w:after="0" w:line="247" w:lineRule="auto"/>
        <w:tabs>
          <w:tab w:leader="none" w:pos="88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developing and recommending to the board of directors criteria for board and committee membership, including a priority in selecting board members who exhibit a record of professional accomplishment, an understanding of the competitive challenges facing our business and industry and experience that will foster growth into a clinical-stage pharmaceutical company;</w:t>
      </w:r>
    </w:p>
    <w:p>
      <w:pPr>
        <w:ind w:left="880" w:hanging="432"/>
        <w:spacing w:after="0"/>
        <w:tabs>
          <w:tab w:leader="none" w:pos="88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31" w:lineRule="exact"/>
        <w:rPr>
          <w:rFonts w:ascii="MS PGothic" w:cs="MS PGothic" w:eastAsia="MS PGothic" w:hAnsi="MS PGothic"/>
          <w:sz w:val="12"/>
          <w:szCs w:val="12"/>
          <w:color w:val="auto"/>
        </w:rPr>
      </w:pPr>
    </w:p>
    <w:p>
      <w:pPr>
        <w:ind w:left="880" w:right="620" w:hanging="432"/>
        <w:spacing w:after="0" w:line="254" w:lineRule="auto"/>
        <w:tabs>
          <w:tab w:leader="none" w:pos="88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reviewing the composition of the board of directors to ensure that it is composed of members containing the appropriate skills and expertise to advise us;</w:t>
      </w:r>
    </w:p>
    <w:p>
      <w:pPr>
        <w:ind w:left="880" w:hanging="432"/>
        <w:spacing w:after="0"/>
        <w:tabs>
          <w:tab w:leader="none" w:pos="88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identifying individuals qualified to become members of the board of directors;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31" w:lineRule="exact"/>
        <w:rPr>
          <w:rFonts w:ascii="MS PGothic" w:cs="MS PGothic" w:eastAsia="MS PGothic" w:hAnsi="MS PGothic"/>
          <w:sz w:val="12"/>
          <w:szCs w:val="12"/>
          <w:color w:val="auto"/>
        </w:rPr>
      </w:pPr>
    </w:p>
    <w:p>
      <w:pPr>
        <w:ind w:left="880" w:right="620" w:hanging="432"/>
        <w:spacing w:after="0" w:line="254" w:lineRule="auto"/>
        <w:tabs>
          <w:tab w:leader="none" w:pos="88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developing and recommending to the board of directors a code of business conduct and ethics and a set of corporate governance guidelines; and</w:t>
      </w:r>
    </w:p>
    <w:p>
      <w:pPr>
        <w:ind w:left="880" w:hanging="432"/>
        <w:spacing w:after="0"/>
        <w:tabs>
          <w:tab w:leader="none" w:pos="88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overseeing the evaluation of our board of directors and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7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Except for Marc A. Cohen, who is our interim Chief Executive Officer, director and a member of our compensation committee, none of the members of our compensation committee is, or has been at any time during the prior three years, an officer or employee of our company. Each of Marc A. Cohen, who is our interim Chief Executive Officer, director and member of our compensation committee, and Alain J. Cohen, who is our director and member of our compensation committee, serve as co-Chief Executive Officers and directors of Bublup, Inc. and Cobro Ventures, Inc. None of our other executive officers currently serve, or have in the past fiscal year served, as a member of the board of directors or compensation committee (or other board committee performing equivalent functions or, in the absence of any such committee, the entire board of directors) of any entity that has one or more of its executive officers serving as a member of our board of directors or our compensation committee. Marc A. Cohen will resign as our interim Chief Executive Officer on the day after the effectiveness of the registration statement of which this prospectus forms a part.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00"/>
          </w:cols>
          <w:pgMar w:left="320" w:top="454" w:right="3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7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Our board of directors intends to adopt, subject to and effective upon the effectiveness of the registration statement of which this prospectus forms a part, a Code of Business Conduct and Ethics in connection with this offering. The Code of Business Conduct and Ethics will apply to all of our directors, officers and employees, including our principal executive officer, principal financial officer, principal accounting officer or controller or persons performing similar functions.</w:t>
      </w:r>
    </w:p>
    <w:p>
      <w:pPr>
        <w:spacing w:after="0" w:line="11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intend to disclose future amendments to certain provisions of our Code of Business Conduct and Ethics and our Code of Ethics on our website identified below. Upon the completion of this offering, the full text of our Code of Business Conduct and Ethics and our Code of Ethics will be posted on our website at https://www.c4therapeutics.com. Information contained on our website is not incorporated by reference into this prospectus and should not be considered to be a part of this prospectus or the registration statement of which it forms a part.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Agreements</w:t>
      </w:r>
    </w:p>
    <w:p>
      <w:pPr>
        <w:spacing w:after="0" w:line="5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As permitted by Delaware law, provisions in our amended and restated certificate of incorporation and amended and restated bylaws, both of which will become effective upon the closing of this offering,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159" w:lineRule="exact"/>
        <w:rPr>
          <w:sz w:val="20"/>
          <w:szCs w:val="20"/>
          <w:color w:val="auto"/>
        </w:rPr>
      </w:pPr>
    </w:p>
    <w:p>
      <w:pPr>
        <w:ind w:left="880" w:hanging="432"/>
        <w:spacing w:after="0"/>
        <w:tabs>
          <w:tab w:leader="none" w:pos="88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any breach of the director’s duty of loyalty to us or our stockholders;</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any act related to unlawful stock repurchases, redemptions or other distributions or payments of dividends; or</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any transaction from which the director derived an improper personal benefit.</w:t>
      </w:r>
    </w:p>
    <w:p>
      <w:pPr>
        <w:spacing w:after="0" w:line="150"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that will become effective upon the closing of this offering also authorizes us to indemnify our officers, directors and other agents to the fullest extent permitted under Delaware law.</w:t>
      </w:r>
    </w:p>
    <w:p>
      <w:pPr>
        <w:spacing w:after="0" w:line="158" w:lineRule="exact"/>
        <w:rPr>
          <w:sz w:val="20"/>
          <w:szCs w:val="20"/>
          <w:color w:val="auto"/>
        </w:rPr>
      </w:pPr>
    </w:p>
    <w:p>
      <w:pPr>
        <w:ind w:left="880" w:hanging="432"/>
        <w:spacing w:after="0"/>
        <w:tabs>
          <w:tab w:leader="none" w:pos="880" w:val="left"/>
        </w:tabs>
        <w:numPr>
          <w:ilvl w:val="0"/>
          <w:numId w:val="78"/>
        </w:numPr>
        <w:rPr>
          <w:rFonts w:ascii="MS PGothic" w:cs="MS PGothic" w:eastAsia="MS PGothic" w:hAnsi="MS PGothic"/>
          <w:sz w:val="12"/>
          <w:szCs w:val="12"/>
          <w:color w:val="auto"/>
        </w:rPr>
      </w:pPr>
      <w:r>
        <w:rPr>
          <w:rFonts w:ascii="Arial" w:cs="Arial" w:eastAsia="Arial" w:hAnsi="Arial"/>
          <w:sz w:val="17"/>
          <w:szCs w:val="17"/>
          <w:color w:val="auto"/>
        </w:rPr>
        <w:t>As permitted by Delaware law, our amended and restated bylaws to be effective upon the closing of this offering will provide that:</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78"/>
        </w:numPr>
        <w:rPr>
          <w:rFonts w:ascii="MS PGothic" w:cs="MS PGothic" w:eastAsia="MS PGothic" w:hAnsi="MS PGothic"/>
          <w:sz w:val="12"/>
          <w:szCs w:val="12"/>
          <w:color w:val="auto"/>
        </w:rPr>
      </w:pPr>
      <w:r>
        <w:rPr>
          <w:rFonts w:ascii="Arial" w:cs="Arial" w:eastAsia="Arial" w:hAnsi="Arial"/>
          <w:sz w:val="17"/>
          <w:szCs w:val="17"/>
          <w:color w:val="auto"/>
        </w:rPr>
        <w:t>we will indemnify our directors, officers, employees and other agents to the fullest extent permitted under Delaware law;</w:t>
      </w:r>
    </w:p>
    <w:p>
      <w:pPr>
        <w:spacing w:after="0" w:line="31" w:lineRule="exact"/>
        <w:rPr>
          <w:rFonts w:ascii="MS PGothic" w:cs="MS PGothic" w:eastAsia="MS PGothic" w:hAnsi="MS PGothic"/>
          <w:sz w:val="12"/>
          <w:szCs w:val="12"/>
          <w:color w:val="auto"/>
        </w:rPr>
      </w:pPr>
    </w:p>
    <w:p>
      <w:pPr>
        <w:ind w:left="880" w:right="240" w:hanging="432"/>
        <w:spacing w:after="0" w:line="254" w:lineRule="auto"/>
        <w:tabs>
          <w:tab w:leader="none" w:pos="880" w:val="left"/>
        </w:tabs>
        <w:numPr>
          <w:ilvl w:val="0"/>
          <w:numId w:val="78"/>
        </w:numPr>
        <w:rPr>
          <w:rFonts w:ascii="MS PGothic" w:cs="MS PGothic" w:eastAsia="MS PGothic" w:hAnsi="MS PGothic"/>
          <w:sz w:val="12"/>
          <w:szCs w:val="12"/>
          <w:color w:val="auto"/>
        </w:rPr>
      </w:pPr>
      <w:r>
        <w:rPr>
          <w:rFonts w:ascii="Arial" w:cs="Arial" w:eastAsia="Arial" w:hAnsi="Arial"/>
          <w:sz w:val="17"/>
          <w:szCs w:val="17"/>
          <w:color w:val="auto"/>
        </w:rPr>
        <w:t>we must advance expenses to our directors and officers and may advance expenses to our employees and other agents, in connection with a legal proceeding to the fullest extent permitted by law; and</w:t>
      </w:r>
    </w:p>
    <w:p>
      <w:pPr>
        <w:ind w:left="880" w:hanging="432"/>
        <w:spacing w:after="0"/>
        <w:tabs>
          <w:tab w:leader="none" w:pos="880" w:val="left"/>
        </w:tabs>
        <w:numPr>
          <w:ilvl w:val="0"/>
          <w:numId w:val="78"/>
        </w:numPr>
        <w:rPr>
          <w:rFonts w:ascii="MS PGothic" w:cs="MS PGothic" w:eastAsia="MS PGothic" w:hAnsi="MS PGothic"/>
          <w:sz w:val="12"/>
          <w:szCs w:val="12"/>
          <w:color w:val="auto"/>
        </w:rPr>
      </w:pPr>
      <w:r>
        <w:rPr>
          <w:rFonts w:ascii="Arial" w:cs="Arial" w:eastAsia="Arial" w:hAnsi="Arial"/>
          <w:sz w:val="17"/>
          <w:szCs w:val="17"/>
          <w:color w:val="auto"/>
        </w:rPr>
        <w:t>the rights provided in our amended and restated bylaws are not exclusive.</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11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Delaware General Corporation Law. These indemnification agreements may require us, among other things,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20"/>
          </w:cols>
          <w:pgMar w:left="320" w:top="454" w:right="3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18"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11"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11"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40"/>
          </w:cols>
          <w:pgMar w:left="320" w:top="454" w:right="3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31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This section discusses the material elements of our executive compensation policies and decisions and important factors relevant to an analysis of these policies and decisions. It provides qualitative information regarding the manner and context in which compensation is awarded to and earned by our named executive officers and is intended to place in perspective the information presented in the following tables and the corresponding narrative.</w:t>
      </w:r>
    </w:p>
    <w:p>
      <w:pPr>
        <w:spacing w:after="0" w:line="94"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34" w:lineRule="exact"/>
        <w:rPr>
          <w:sz w:val="20"/>
          <w:szCs w:val="20"/>
          <w:color w:val="auto"/>
        </w:rPr>
      </w:pPr>
    </w:p>
    <w:p>
      <w:pPr>
        <w:ind w:left="880" w:hanging="432"/>
        <w:spacing w:after="0"/>
        <w:tabs>
          <w:tab w:leader="none" w:pos="88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Andrew Phillips, Ph.D., our former President and Chief Executive Officer, whose employment was terminated on March 3, 2020;</w:t>
      </w:r>
    </w:p>
    <w:p>
      <w:pPr>
        <w:spacing w:after="0" w:line="192" w:lineRule="exact"/>
        <w:rPr>
          <w:rFonts w:ascii="MS PGothic" w:cs="MS PGothic" w:eastAsia="MS PGothic" w:hAnsi="MS PGothic"/>
          <w:sz w:val="12"/>
          <w:szCs w:val="12"/>
          <w:color w:val="auto"/>
        </w:rPr>
      </w:pPr>
    </w:p>
    <w:p>
      <w:pPr>
        <w:ind w:left="880" w:hanging="432"/>
        <w:spacing w:after="0"/>
        <w:tabs>
          <w:tab w:leader="none" w:pos="88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Adam Crystal, M.D., Ph.D., our Chief Medical Officer; and</w:t>
      </w:r>
    </w:p>
    <w:p>
      <w:pPr>
        <w:spacing w:after="0" w:line="192" w:lineRule="exact"/>
        <w:rPr>
          <w:rFonts w:ascii="MS PGothic" w:cs="MS PGothic" w:eastAsia="MS PGothic" w:hAnsi="MS PGothic"/>
          <w:sz w:val="12"/>
          <w:szCs w:val="12"/>
          <w:color w:val="auto"/>
        </w:rPr>
      </w:pPr>
    </w:p>
    <w:p>
      <w:pPr>
        <w:ind w:left="880" w:hanging="432"/>
        <w:spacing w:after="0"/>
        <w:tabs>
          <w:tab w:leader="none" w:pos="88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Stewart Fisher, Ph.D., our Chief Scientific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71" w:lineRule="exact"/>
        <w:rPr>
          <w:sz w:val="20"/>
          <w:szCs w:val="20"/>
          <w:color w:val="auto"/>
        </w:rPr>
      </w:pPr>
    </w:p>
    <w:p>
      <w:pPr>
        <w:ind w:right="40"/>
        <w:spacing w:after="0"/>
        <w:rPr>
          <w:sz w:val="20"/>
          <w:szCs w:val="20"/>
          <w:color w:val="auto"/>
        </w:rPr>
      </w:pPr>
      <w:r>
        <w:rPr>
          <w:rFonts w:ascii="Arial" w:cs="Arial" w:eastAsia="Arial" w:hAnsi="Arial"/>
          <w:sz w:val="17"/>
          <w:szCs w:val="17"/>
          <w:i w:val="1"/>
          <w:iCs w:val="1"/>
          <w:color w:val="auto"/>
        </w:rPr>
        <w:t xml:space="preserve">Base Salaries. </w:t>
      </w:r>
      <w:r>
        <w:rPr>
          <w:rFonts w:ascii="Arial" w:cs="Arial" w:eastAsia="Arial" w:hAnsi="Arial"/>
          <w:sz w:val="17"/>
          <w:szCs w:val="17"/>
          <w:color w:val="auto"/>
        </w:rPr>
        <w:t>Base salaries for the named executive officers are determined annually by the board of directors, based on the scope of each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responsibilities and with due consideration of the officer’s respective experience and contributions during the prior year. When reviewing base salaries, the board of directors takes factors into account such as each officer’s experience and individual performance, our performance as a whole, data from surveys of compensation paid by comparable companies and general industry conditions, but does not assign any specific weighting to any factor.</w:t>
      </w:r>
    </w:p>
    <w:p>
      <w:pPr>
        <w:spacing w:after="0" w:line="11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i w:val="1"/>
          <w:iCs w:val="1"/>
          <w:color w:val="auto"/>
        </w:rPr>
        <w:t xml:space="preserve">Annual Cash Bonuses. </w:t>
      </w:r>
      <w:r>
        <w:rPr>
          <w:rFonts w:ascii="Arial" w:cs="Arial" w:eastAsia="Arial" w:hAnsi="Arial"/>
          <w:sz w:val="17"/>
          <w:szCs w:val="17"/>
          <w:color w:val="auto"/>
        </w:rPr>
        <w:t>Our named executive officers participate in an annual cash bonus program, which promotes and rewards the executives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achievement of key strategic and business goals. During fiscal year 2019, Dr. Phillips was eligible to receive a target bonus equal to 50% of his base salary and each of Drs. Crystal and Fisher was eligible to receive a target bonus equal to 35% of his respective base salary, based upon achievement of corporate performance goals. For 2019, our corporate performance goals included clinical development, financing and strategic partnership targets that would support our growth into a clinical stage company. Following the end of the fiscal year, it was determined that 100% of the corporate performance goals for 2019 had been met.</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Our board of directors believes that equity grants provide executives with a strong link to long-term performance, create an ownership</w:t>
      </w:r>
      <w:r>
        <w:rPr>
          <w:rFonts w:ascii="Arial" w:cs="Arial" w:eastAsia="Arial" w:hAnsi="Arial"/>
          <w:sz w:val="17"/>
          <w:szCs w:val="17"/>
          <w:i w:val="1"/>
          <w:iCs w:val="1"/>
          <w:color w:val="auto"/>
        </w:rPr>
        <w:t xml:space="preserve"> </w:t>
      </w:r>
      <w:r>
        <w:rPr>
          <w:rFonts w:ascii="Arial" w:cs="Arial" w:eastAsia="Arial" w:hAnsi="Arial"/>
          <w:sz w:val="17"/>
          <w:szCs w:val="17"/>
          <w:color w:val="auto"/>
        </w:rPr>
        <w:t>culture and help to align the interests of executive officers and our stockholders. Accordingly, our board of directors periodically reviews the equity incentive compensation of the named executive officers and, from time to time, may grant equity incentive awards to them. During fiscal year 2019, we granted options to purchase shares of our common stock to Drs. Phillips and Crystal, as described in more detail in the “</w:t>
      </w:r>
      <w:r>
        <w:rPr>
          <w:rFonts w:ascii="Arial" w:cs="Arial" w:eastAsia="Arial" w:hAnsi="Arial"/>
          <w:sz w:val="17"/>
          <w:szCs w:val="17"/>
          <w:i w:val="1"/>
          <w:iCs w:val="1"/>
          <w:color w:val="auto"/>
        </w:rPr>
        <w:t>Outstanding Equity</w:t>
      </w:r>
      <w:r>
        <w:rPr>
          <w:rFonts w:ascii="Arial" w:cs="Arial" w:eastAsia="Arial" w:hAnsi="Arial"/>
          <w:sz w:val="17"/>
          <w:szCs w:val="17"/>
          <w:color w:val="auto"/>
        </w:rPr>
        <w:t xml:space="preserve"> </w:t>
      </w:r>
      <w:r>
        <w:rPr>
          <w:rFonts w:ascii="Arial" w:cs="Arial" w:eastAsia="Arial" w:hAnsi="Arial"/>
          <w:sz w:val="17"/>
          <w:szCs w:val="17"/>
          <w:i w:val="1"/>
          <w:iCs w:val="1"/>
          <w:color w:val="auto"/>
        </w:rPr>
        <w:t>Awards at Fiscal 2019 Year-End</w:t>
      </w:r>
      <w:r>
        <w:rPr>
          <w:rFonts w:ascii="Arial" w:cs="Arial" w:eastAsia="Arial" w:hAnsi="Arial"/>
          <w:sz w:val="17"/>
          <w:szCs w:val="17"/>
          <w:color w:val="auto"/>
        </w:rPr>
        <w:t>” table below.</w:t>
      </w:r>
    </w:p>
    <w:p>
      <w:pPr>
        <w:spacing w:after="0" w:line="11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Other Benefits. </w:t>
      </w:r>
      <w:r>
        <w:rPr>
          <w:rFonts w:ascii="Arial" w:cs="Arial" w:eastAsia="Arial" w:hAnsi="Arial"/>
          <w:sz w:val="17"/>
          <w:szCs w:val="17"/>
          <w:color w:val="auto"/>
        </w:rPr>
        <w:t>Our named executive officers are eligible for additional benefits, such as participation in our 401(k) plan and basic health benefits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generally available to all of our employees, subject to the terms of those plans.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20"/>
          </w:cols>
          <w:pgMar w:left="320" w:top="454" w:right="3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7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following table sets forth information regarding compensation awarded to, earned by or paid to each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NON-EQUITY</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68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PLAN</w:t>
            </w:r>
          </w:p>
        </w:tc>
        <w:tc>
          <w:tcPr>
            <w:tcW w:w="1340" w:type="dxa"/>
            <w:vAlign w:val="bottom"/>
            <w:gridSpan w:val="2"/>
            <w:vMerge w:val="continue"/>
          </w:tcPr>
          <w:p>
            <w:pPr>
              <w:spacing w:after="0"/>
              <w:rPr>
                <w:sz w:val="13"/>
                <w:szCs w:val="13"/>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60" w:type="dxa"/>
            <w:vAlign w:val="bottom"/>
          </w:tcPr>
          <w:p>
            <w:pPr>
              <w:spacing w:after="0"/>
              <w:rPr>
                <w:sz w:val="13"/>
                <w:szCs w:val="1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AWARDS</w:t>
            </w:r>
          </w:p>
        </w:tc>
        <w:tc>
          <w:tcPr>
            <w:tcW w:w="13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COMPENSATION</w:t>
            </w:r>
          </w:p>
        </w:tc>
        <w:tc>
          <w:tcPr>
            <w:tcW w:w="13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COMPENSATION</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300" w:type="dxa"/>
            <w:vAlign w:val="bottom"/>
            <w:tcBorders>
              <w:bottom w:val="single" w:sz="8" w:color="auto"/>
            </w:tcBorders>
            <w:gridSpan w:val="2"/>
            <w:vMerge w:val="continue"/>
          </w:tcPr>
          <w:p>
            <w:pPr>
              <w:spacing w:after="0"/>
              <w:rPr>
                <w:sz w:val="16"/>
                <w:szCs w:val="16"/>
                <w:color w:val="auto"/>
              </w:rPr>
            </w:pPr>
          </w:p>
        </w:tc>
        <w:tc>
          <w:tcPr>
            <w:tcW w:w="20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80" w:type="dxa"/>
            <w:vAlign w:val="bottom"/>
          </w:tcPr>
          <w:p>
            <w:pPr>
              <w:jc w:val="right"/>
              <w:ind w:right="183"/>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820" w:type="dxa"/>
            <w:vAlign w:val="bottom"/>
          </w:tcPr>
          <w:p>
            <w:pPr>
              <w:jc w:val="center"/>
              <w:spacing w:after="0" w:line="166"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 xml:space="preserve"> (1)</w:t>
            </w:r>
          </w:p>
        </w:tc>
        <w:tc>
          <w:tcPr>
            <w:tcW w:w="160" w:type="dxa"/>
            <w:vAlign w:val="bottom"/>
          </w:tcPr>
          <w:p>
            <w:pPr>
              <w:spacing w:after="0"/>
              <w:rPr>
                <w:sz w:val="16"/>
                <w:szCs w:val="16"/>
                <w:color w:val="auto"/>
              </w:rPr>
            </w:pPr>
          </w:p>
        </w:tc>
        <w:tc>
          <w:tcPr>
            <w:tcW w:w="1160" w:type="dxa"/>
            <w:vAlign w:val="bottom"/>
          </w:tcPr>
          <w:p>
            <w:pPr>
              <w:jc w:val="center"/>
              <w:spacing w:after="0" w:line="166"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 xml:space="preserve"> (2)</w:t>
            </w:r>
          </w:p>
        </w:tc>
        <w:tc>
          <w:tcPr>
            <w:tcW w:w="160" w:type="dxa"/>
            <w:vAlign w:val="bottom"/>
          </w:tcPr>
          <w:p>
            <w:pPr>
              <w:spacing w:after="0"/>
              <w:rPr>
                <w:sz w:val="16"/>
                <w:szCs w:val="16"/>
                <w:color w:val="auto"/>
              </w:rPr>
            </w:pPr>
          </w:p>
        </w:tc>
        <w:tc>
          <w:tcPr>
            <w:tcW w:w="1180" w:type="dxa"/>
            <w:vAlign w:val="bottom"/>
          </w:tcPr>
          <w:p>
            <w:pPr>
              <w:jc w:val="center"/>
              <w:spacing w:after="0" w:line="166"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 xml:space="preserve"> (3)</w:t>
            </w:r>
          </w:p>
        </w:tc>
        <w:tc>
          <w:tcPr>
            <w:tcW w:w="160" w:type="dxa"/>
            <w:vAlign w:val="bottom"/>
          </w:tcPr>
          <w:p>
            <w:pPr>
              <w:spacing w:after="0"/>
              <w:rPr>
                <w:sz w:val="16"/>
                <w:szCs w:val="16"/>
                <w:color w:val="auto"/>
              </w:rPr>
            </w:pPr>
          </w:p>
        </w:tc>
        <w:tc>
          <w:tcPr>
            <w:tcW w:w="800" w:type="dxa"/>
            <w:vAlign w:val="bottom"/>
          </w:tcPr>
          <w:p>
            <w:pPr>
              <w:jc w:val="right"/>
              <w:ind w:right="24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Andrew Phillips, Ph.D.</w:t>
            </w:r>
          </w:p>
        </w:tc>
        <w:tc>
          <w:tcPr>
            <w:tcW w:w="28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80"/>
              <w:spacing w:after="0" w:line="135" w:lineRule="exact"/>
              <w:rPr>
                <w:sz w:val="20"/>
                <w:szCs w:val="20"/>
                <w:color w:val="auto"/>
              </w:rPr>
            </w:pPr>
            <w:r>
              <w:rPr>
                <w:rFonts w:ascii="Arial" w:cs="Arial" w:eastAsia="Arial" w:hAnsi="Arial"/>
                <w:sz w:val="15"/>
                <w:szCs w:val="15"/>
                <w:color w:val="auto"/>
              </w:rPr>
              <w:t>2019</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60"/>
              <w:spacing w:after="0" w:line="135" w:lineRule="exact"/>
              <w:rPr>
                <w:sz w:val="20"/>
                <w:szCs w:val="20"/>
                <w:color w:val="auto"/>
              </w:rPr>
            </w:pPr>
            <w:r>
              <w:rPr>
                <w:rFonts w:ascii="Arial" w:cs="Arial" w:eastAsia="Arial" w:hAnsi="Arial"/>
                <w:sz w:val="15"/>
                <w:szCs w:val="15"/>
                <w:color w:val="auto"/>
              </w:rPr>
              <w:t>520,000</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3,377,316</w:t>
            </w:r>
          </w:p>
        </w:tc>
        <w:tc>
          <w:tcPr>
            <w:tcW w:w="16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260,000</w:t>
            </w:r>
          </w:p>
        </w:tc>
        <w:tc>
          <w:tcPr>
            <w:tcW w:w="1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36,359</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4,193,675</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i w:val="1"/>
                <w:iCs w:val="1"/>
                <w:color w:val="auto"/>
              </w:rPr>
              <w:t>Former President &amp; Chief</w:t>
            </w:r>
          </w:p>
        </w:tc>
        <w:tc>
          <w:tcPr>
            <w:tcW w:w="2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shd w:val="clear" w:color="auto" w:fill="CCEEFF"/>
          </w:tcPr>
          <w:p>
            <w:pPr>
              <w:ind w:left="260"/>
              <w:spacing w:after="0"/>
              <w:rPr>
                <w:sz w:val="20"/>
                <w:szCs w:val="20"/>
                <w:color w:val="auto"/>
              </w:rPr>
            </w:pPr>
            <w:r>
              <w:rPr>
                <w:rFonts w:ascii="Arial" w:cs="Arial" w:eastAsia="Arial" w:hAnsi="Arial"/>
                <w:sz w:val="17"/>
                <w:szCs w:val="17"/>
                <w:i w:val="1"/>
                <w:iCs w:val="1"/>
                <w:color w:val="auto"/>
              </w:rPr>
              <w:t xml:space="preserve">Executive Officer </w:t>
            </w:r>
            <w:r>
              <w:rPr>
                <w:rFonts w:ascii="Arial" w:cs="Arial" w:eastAsia="Arial" w:hAnsi="Arial"/>
                <w:sz w:val="14"/>
                <w:szCs w:val="14"/>
                <w:i w:val="1"/>
                <w:iCs w:val="1"/>
                <w:color w:val="auto"/>
              </w:rPr>
              <w:t>(4)</w:t>
            </w: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20" w:type="dxa"/>
            <w:vAlign w:val="bottom"/>
          </w:tcPr>
          <w:p>
            <w:pPr>
              <w:spacing w:after="0"/>
              <w:rPr>
                <w:sz w:val="20"/>
                <w:szCs w:val="20"/>
                <w:color w:val="auto"/>
              </w:rPr>
            </w:pPr>
            <w:r>
              <w:rPr>
                <w:rFonts w:ascii="Arial" w:cs="Arial" w:eastAsia="Arial" w:hAnsi="Arial"/>
                <w:sz w:val="17"/>
                <w:szCs w:val="17"/>
                <w:color w:val="auto"/>
              </w:rPr>
              <w:t>Adam Crystal, M.D., Ph.D.</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2660" w:type="dxa"/>
            <w:vAlign w:val="bottom"/>
            <w:gridSpan w:val="3"/>
          </w:tcPr>
          <w:p>
            <w:pPr>
              <w:ind w:left="2140"/>
              <w:spacing w:after="0"/>
              <w:rPr>
                <w:sz w:val="20"/>
                <w:szCs w:val="20"/>
                <w:color w:val="auto"/>
              </w:rPr>
            </w:pPr>
            <w:r>
              <w:rPr>
                <w:rFonts w:ascii="Arial" w:cs="Arial" w:eastAsia="Arial" w:hAnsi="Arial"/>
                <w:sz w:val="17"/>
                <w:szCs w:val="17"/>
                <w:color w:val="auto"/>
              </w:rPr>
              <w:t>2019</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rPr>
              <w:t>344,250</w:t>
            </w:r>
          </w:p>
        </w:tc>
        <w:tc>
          <w:tcPr>
            <w:tcW w:w="680" w:type="dxa"/>
            <w:vAlign w:val="bottom"/>
          </w:tcPr>
          <w:p>
            <w:pPr>
              <w:jc w:val="right"/>
              <w:spacing w:after="0"/>
              <w:rPr>
                <w:sz w:val="20"/>
                <w:szCs w:val="20"/>
                <w:color w:val="auto"/>
              </w:rPr>
            </w:pPr>
            <w:r>
              <w:rPr>
                <w:rFonts w:ascii="Arial" w:cs="Arial" w:eastAsia="Arial" w:hAnsi="Arial"/>
                <w:sz w:val="17"/>
                <w:szCs w:val="17"/>
                <w:color w:val="auto"/>
              </w:rPr>
              <w:t>100,000</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1"/>
              </w:rPr>
              <w:t>(6)</w:t>
            </w:r>
          </w:p>
        </w:tc>
        <w:tc>
          <w:tcPr>
            <w:tcW w:w="820" w:type="dxa"/>
            <w:vAlign w:val="bottom"/>
          </w:tcPr>
          <w:p>
            <w:pPr>
              <w:jc w:val="right"/>
              <w:spacing w:after="0"/>
              <w:rPr>
                <w:sz w:val="20"/>
                <w:szCs w:val="20"/>
                <w:color w:val="auto"/>
              </w:rPr>
            </w:pPr>
            <w:r>
              <w:rPr>
                <w:rFonts w:ascii="Arial" w:cs="Arial" w:eastAsia="Arial" w:hAnsi="Arial"/>
                <w:sz w:val="17"/>
                <w:szCs w:val="17"/>
                <w:color w:val="auto"/>
              </w:rPr>
              <w:t>1,118,835</w:t>
            </w: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120,488</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6,373</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1,689,946</w:t>
            </w:r>
          </w:p>
        </w:tc>
        <w:tc>
          <w:tcPr>
            <w:tcW w:w="0" w:type="dxa"/>
            <w:vAlign w:val="bottom"/>
          </w:tcPr>
          <w:p>
            <w:pPr>
              <w:spacing w:after="0"/>
              <w:rPr>
                <w:sz w:val="1"/>
                <w:szCs w:val="1"/>
                <w:color w:val="auto"/>
              </w:rPr>
            </w:pPr>
          </w:p>
        </w:tc>
      </w:tr>
      <w:tr>
        <w:trPr>
          <w:trHeight w:val="46"/>
        </w:trPr>
        <w:tc>
          <w:tcPr>
            <w:tcW w:w="2020" w:type="dxa"/>
            <w:vAlign w:val="bottom"/>
            <w:vMerge w:val="restart"/>
          </w:tcPr>
          <w:p>
            <w:pPr>
              <w:ind w:left="260"/>
              <w:spacing w:after="0"/>
              <w:rPr>
                <w:sz w:val="20"/>
                <w:szCs w:val="20"/>
                <w:color w:val="auto"/>
              </w:rPr>
            </w:pPr>
            <w:r>
              <w:rPr>
                <w:rFonts w:ascii="Arial" w:cs="Arial" w:eastAsia="Arial" w:hAnsi="Arial"/>
                <w:sz w:val="17"/>
                <w:szCs w:val="17"/>
                <w:i w:val="1"/>
                <w:iCs w:val="1"/>
                <w:color w:val="auto"/>
              </w:rPr>
              <w:t>Chief Medical Officer</w:t>
            </w:r>
          </w:p>
        </w:tc>
        <w:tc>
          <w:tcPr>
            <w:tcW w:w="280" w:type="dxa"/>
            <w:vAlign w:val="bottom"/>
            <w:vMerge w:val="continue"/>
          </w:tcPr>
          <w:p>
            <w:pPr>
              <w:spacing w:after="0"/>
              <w:rPr>
                <w:sz w:val="4"/>
                <w:szCs w:val="4"/>
                <w:color w:val="auto"/>
              </w:rPr>
            </w:pPr>
          </w:p>
        </w:tc>
        <w:tc>
          <w:tcPr>
            <w:tcW w:w="2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2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Stewart Fisher, Ph.D.</w:t>
            </w:r>
          </w:p>
        </w:tc>
        <w:tc>
          <w:tcPr>
            <w:tcW w:w="280" w:type="dxa"/>
            <w:vAlign w:val="bottom"/>
            <w:shd w:val="clear" w:color="auto" w:fill="CCEEFF"/>
          </w:tcPr>
          <w:p>
            <w:pPr>
              <w:spacing w:after="0"/>
              <w:rPr>
                <w:sz w:val="14"/>
                <w:szCs w:val="14"/>
                <w:color w:val="auto"/>
              </w:rPr>
            </w:pPr>
          </w:p>
        </w:tc>
        <w:tc>
          <w:tcPr>
            <w:tcW w:w="2660" w:type="dxa"/>
            <w:vAlign w:val="bottom"/>
            <w:gridSpan w:val="3"/>
            <w:shd w:val="clear" w:color="auto" w:fill="CCEEFF"/>
          </w:tcPr>
          <w:p>
            <w:pPr>
              <w:ind w:left="2140"/>
              <w:spacing w:after="0" w:line="161" w:lineRule="exact"/>
              <w:rPr>
                <w:sz w:val="20"/>
                <w:szCs w:val="20"/>
                <w:color w:val="auto"/>
              </w:rPr>
            </w:pPr>
            <w:r>
              <w:rPr>
                <w:rFonts w:ascii="Arial" w:cs="Arial" w:eastAsia="Arial" w:hAnsi="Arial"/>
                <w:sz w:val="17"/>
                <w:szCs w:val="17"/>
                <w:color w:val="auto"/>
              </w:rPr>
              <w:t>2019</w:t>
            </w:r>
          </w:p>
        </w:tc>
        <w:tc>
          <w:tcPr>
            <w:tcW w:w="780" w:type="dxa"/>
            <w:vAlign w:val="bottom"/>
            <w:gridSpan w:val="2"/>
            <w:shd w:val="clear" w:color="auto" w:fill="CCEEFF"/>
          </w:tcPr>
          <w:p>
            <w:pPr>
              <w:ind w:left="60"/>
              <w:spacing w:after="0" w:line="161" w:lineRule="exact"/>
              <w:rPr>
                <w:sz w:val="20"/>
                <w:szCs w:val="20"/>
                <w:color w:val="auto"/>
              </w:rPr>
            </w:pPr>
            <w:r>
              <w:rPr>
                <w:rFonts w:ascii="Arial" w:cs="Arial" w:eastAsia="Arial" w:hAnsi="Arial"/>
                <w:sz w:val="17"/>
                <w:szCs w:val="17"/>
                <w:color w:val="auto"/>
              </w:rPr>
              <w:t>340,313</w:t>
            </w:r>
          </w:p>
        </w:tc>
        <w:tc>
          <w:tcPr>
            <w:tcW w:w="680" w:type="dxa"/>
            <w:vAlign w:val="bottom"/>
            <w:shd w:val="clear" w:color="auto" w:fill="CCEEFF"/>
          </w:tcPr>
          <w:p>
            <w:pPr>
              <w:jc w:val="right"/>
              <w:spacing w:after="0" w:line="161"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1"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60"/>
              <w:spacing w:after="0" w:line="161" w:lineRule="exact"/>
              <w:rPr>
                <w:sz w:val="20"/>
                <w:szCs w:val="20"/>
                <w:color w:val="auto"/>
              </w:rPr>
            </w:pPr>
            <w:r>
              <w:rPr>
                <w:rFonts w:ascii="Arial" w:cs="Arial" w:eastAsia="Arial" w:hAnsi="Arial"/>
                <w:sz w:val="17"/>
                <w:szCs w:val="17"/>
                <w:color w:val="auto"/>
              </w:rPr>
              <w:t>119,110</w:t>
            </w:r>
          </w:p>
        </w:tc>
        <w:tc>
          <w:tcPr>
            <w:tcW w:w="1340" w:type="dxa"/>
            <w:vAlign w:val="bottom"/>
            <w:gridSpan w:val="2"/>
            <w:shd w:val="clear" w:color="auto" w:fill="CCEEFF"/>
          </w:tcPr>
          <w:p>
            <w:pPr>
              <w:jc w:val="right"/>
              <w:ind w:right="160"/>
              <w:spacing w:after="0" w:line="161" w:lineRule="exact"/>
              <w:rPr>
                <w:sz w:val="20"/>
                <w:szCs w:val="20"/>
                <w:color w:val="auto"/>
              </w:rPr>
            </w:pPr>
            <w:r>
              <w:rPr>
                <w:rFonts w:ascii="Arial" w:cs="Arial" w:eastAsia="Arial" w:hAnsi="Arial"/>
                <w:sz w:val="17"/>
                <w:szCs w:val="17"/>
                <w:color w:val="auto"/>
              </w:rPr>
              <w:t>6,330</w:t>
            </w:r>
          </w:p>
        </w:tc>
        <w:tc>
          <w:tcPr>
            <w:tcW w:w="8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7"/>
                <w:szCs w:val="17"/>
                <w:color w:val="auto"/>
              </w:rPr>
              <w:t>465,753</w:t>
            </w:r>
          </w:p>
        </w:tc>
        <w:tc>
          <w:tcPr>
            <w:tcW w:w="0" w:type="dxa"/>
            <w:vAlign w:val="bottom"/>
          </w:tcPr>
          <w:p>
            <w:pPr>
              <w:spacing w:after="0"/>
              <w:rPr>
                <w:sz w:val="1"/>
                <w:szCs w:val="1"/>
                <w:color w:val="auto"/>
              </w:rPr>
            </w:pPr>
          </w:p>
        </w:tc>
      </w:tr>
      <w:tr>
        <w:trPr>
          <w:trHeight w:val="227"/>
        </w:trPr>
        <w:tc>
          <w:tcPr>
            <w:tcW w:w="2020" w:type="dxa"/>
            <w:vAlign w:val="bottom"/>
            <w:shd w:val="clear" w:color="auto" w:fill="CCEEFF"/>
          </w:tcPr>
          <w:p>
            <w:pPr>
              <w:ind w:left="260"/>
              <w:spacing w:after="0"/>
              <w:rPr>
                <w:sz w:val="20"/>
                <w:szCs w:val="20"/>
                <w:color w:val="auto"/>
              </w:rPr>
            </w:pPr>
            <w:r>
              <w:rPr>
                <w:rFonts w:ascii="Arial" w:cs="Arial" w:eastAsia="Arial" w:hAnsi="Arial"/>
                <w:sz w:val="17"/>
                <w:szCs w:val="17"/>
                <w:i w:val="1"/>
                <w:iCs w:val="1"/>
                <w:color w:val="auto"/>
              </w:rPr>
              <w:t>Chief Scientific Officer</w:t>
            </w: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34" w:lineRule="exact"/>
        <w:rPr>
          <w:sz w:val="20"/>
          <w:szCs w:val="20"/>
          <w:color w:val="auto"/>
        </w:rPr>
      </w:pPr>
    </w:p>
    <w:p>
      <w:pPr>
        <w:ind w:left="440" w:right="80" w:hanging="286"/>
        <w:spacing w:after="0" w:line="208" w:lineRule="auto"/>
        <w:tabs>
          <w:tab w:leader="none" w:pos="440" w:val="left"/>
        </w:tabs>
        <w:numPr>
          <w:ilvl w:val="0"/>
          <w:numId w:val="80"/>
        </w:numPr>
        <w:rPr>
          <w:rFonts w:ascii="Arial" w:cs="Arial" w:eastAsia="Arial" w:hAnsi="Arial"/>
          <w:sz w:val="24"/>
          <w:szCs w:val="24"/>
          <w:color w:val="auto"/>
          <w:vertAlign w:val="superscript"/>
        </w:rPr>
      </w:pPr>
      <w:r>
        <w:rPr>
          <w:rFonts w:ascii="Arial" w:cs="Arial" w:eastAsia="Arial" w:hAnsi="Arial"/>
          <w:sz w:val="14"/>
          <w:szCs w:val="14"/>
          <w:color w:val="auto"/>
        </w:rPr>
        <w:t>The amounts represent the aggregate grant date fair value of stock options granted in 2019, computed in accordance with FASB ASC Topic 718 without including any estimates of forfeitures. The assumptions used in calculating the grant date fair value of the stock options reported in the Option Awards column are set forth in Note 9 to our financial statements for the year ended December 31, 2019 included elsewhere in this registration statement. Note that the amounts reported in this column reflect the accounting cost for these stock options and do not correspond to the actual economic value that may be received by the named executive officers from the options.</w:t>
      </w:r>
    </w:p>
    <w:p>
      <w:pPr>
        <w:spacing w:after="0" w:line="2" w:lineRule="exact"/>
        <w:rPr>
          <w:rFonts w:ascii="Arial" w:cs="Arial" w:eastAsia="Arial" w:hAnsi="Arial"/>
          <w:sz w:val="24"/>
          <w:szCs w:val="24"/>
          <w:color w:val="auto"/>
          <w:vertAlign w:val="superscript"/>
        </w:rPr>
      </w:pPr>
    </w:p>
    <w:p>
      <w:pPr>
        <w:ind w:left="440" w:hanging="286"/>
        <w:spacing w:after="0" w:line="186" w:lineRule="auto"/>
        <w:tabs>
          <w:tab w:leader="none" w:pos="440" w:val="left"/>
        </w:tabs>
        <w:numPr>
          <w:ilvl w:val="0"/>
          <w:numId w:val="80"/>
        </w:numPr>
        <w:rPr>
          <w:rFonts w:ascii="Arial" w:cs="Arial" w:eastAsia="Arial" w:hAnsi="Arial"/>
          <w:sz w:val="18"/>
          <w:szCs w:val="18"/>
          <w:color w:val="auto"/>
          <w:vertAlign w:val="superscript"/>
        </w:rPr>
      </w:pPr>
      <w:r>
        <w:rPr>
          <w:rFonts w:ascii="Arial" w:cs="Arial" w:eastAsia="Arial" w:hAnsi="Arial"/>
          <w:sz w:val="11"/>
          <w:szCs w:val="11"/>
          <w:color w:val="auto"/>
        </w:rPr>
        <w:t>The amounts reported reflect annual bonuses paid to our named executive officers in 2019 based on achievement of corporate performance goals.</w:t>
      </w:r>
    </w:p>
    <w:p>
      <w:pPr>
        <w:ind w:left="440" w:right="100" w:hanging="286"/>
        <w:spacing w:after="0" w:line="202" w:lineRule="auto"/>
        <w:tabs>
          <w:tab w:leader="none" w:pos="440" w:val="left"/>
        </w:tabs>
        <w:numPr>
          <w:ilvl w:val="0"/>
          <w:numId w:val="80"/>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reflect (i) in the case of Dr. Phillips, $21,019 in commuting costs and $8,838 reimbursement for taxes related to such commuting costs, $6,000 in 401(k) matching contributions and a $502 payment reflecting the amount of payroll taxes required to be contributed by the Massachusetts Family Medical Leave Act, which we have elected to pay on behalf of each of our employees, or MFMLA Contributions; (ii) in the case of Dr. Crystal, $6,000 in 401(k) matching contributions and $373 in MFMLA Contributions; and (iii) in the case of Dr. Fisher, $6,000 in 401(k) matching contributions and $330 in MFMLA Contributions.</w:t>
      </w:r>
    </w:p>
    <w:p>
      <w:pPr>
        <w:spacing w:after="0" w:line="3" w:lineRule="exact"/>
        <w:rPr>
          <w:rFonts w:ascii="Arial" w:cs="Arial" w:eastAsia="Arial" w:hAnsi="Arial"/>
          <w:sz w:val="24"/>
          <w:szCs w:val="24"/>
          <w:color w:val="auto"/>
          <w:vertAlign w:val="superscript"/>
        </w:rPr>
      </w:pPr>
    </w:p>
    <w:p>
      <w:pPr>
        <w:ind w:left="440" w:hanging="286"/>
        <w:spacing w:after="0" w:line="186" w:lineRule="auto"/>
        <w:tabs>
          <w:tab w:leader="none" w:pos="440" w:val="left"/>
        </w:tabs>
        <w:numPr>
          <w:ilvl w:val="0"/>
          <w:numId w:val="80"/>
        </w:numPr>
        <w:rPr>
          <w:rFonts w:ascii="Arial" w:cs="Arial" w:eastAsia="Arial" w:hAnsi="Arial"/>
          <w:sz w:val="18"/>
          <w:szCs w:val="18"/>
          <w:color w:val="auto"/>
          <w:vertAlign w:val="superscript"/>
        </w:rPr>
      </w:pPr>
      <w:r>
        <w:rPr>
          <w:rFonts w:ascii="Arial" w:cs="Arial" w:eastAsia="Arial" w:hAnsi="Arial"/>
          <w:sz w:val="11"/>
          <w:szCs w:val="11"/>
          <w:color w:val="auto"/>
        </w:rPr>
        <w:t>Dr. Phillips’ employment terminated on March 3, 2020.</w:t>
      </w:r>
    </w:p>
    <w:p>
      <w:pPr>
        <w:ind w:left="440" w:right="120" w:hanging="286"/>
        <w:spacing w:after="0" w:line="181" w:lineRule="auto"/>
        <w:tabs>
          <w:tab w:leader="none" w:pos="440" w:val="left"/>
        </w:tabs>
        <w:numPr>
          <w:ilvl w:val="0"/>
          <w:numId w:val="80"/>
        </w:numPr>
        <w:rPr>
          <w:rFonts w:ascii="Arial" w:cs="Arial" w:eastAsia="Arial" w:hAnsi="Arial"/>
          <w:sz w:val="23"/>
          <w:szCs w:val="23"/>
          <w:color w:val="auto"/>
          <w:vertAlign w:val="superscript"/>
        </w:rPr>
      </w:pPr>
      <w:r>
        <w:rPr>
          <w:rFonts w:ascii="Arial" w:cs="Arial" w:eastAsia="Arial" w:hAnsi="Arial"/>
          <w:sz w:val="14"/>
          <w:szCs w:val="14"/>
          <w:color w:val="auto"/>
        </w:rPr>
        <w:t>Dr. Crystal’s employment commenced on February 14, 2019. The salary reported for Dr. Crystal reflects the salary earned following his start date. Dr. Crystal’s non-equity incentive plan compensation was prorated to reflect his partial year of service in 2019.</w:t>
      </w:r>
    </w:p>
    <w:p>
      <w:pPr>
        <w:ind w:left="440" w:hanging="286"/>
        <w:spacing w:after="0" w:line="182" w:lineRule="auto"/>
        <w:tabs>
          <w:tab w:leader="none" w:pos="440" w:val="left"/>
        </w:tabs>
        <w:numPr>
          <w:ilvl w:val="0"/>
          <w:numId w:val="80"/>
        </w:numPr>
        <w:rPr>
          <w:rFonts w:ascii="Arial" w:cs="Arial" w:eastAsia="Arial" w:hAnsi="Arial"/>
          <w:sz w:val="20"/>
          <w:szCs w:val="20"/>
          <w:color w:val="auto"/>
          <w:vertAlign w:val="superscript"/>
        </w:rPr>
      </w:pPr>
      <w:r>
        <w:rPr>
          <w:rFonts w:ascii="Arial" w:cs="Arial" w:eastAsia="Arial" w:hAnsi="Arial"/>
          <w:sz w:val="12"/>
          <w:szCs w:val="12"/>
          <w:color w:val="auto"/>
        </w:rPr>
        <w:t>Amount reflects an aggregate signing bonus equal to $100,000.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outstanding equity awards for each of the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24"/>
                <w:szCs w:val="24"/>
                <w:b w:val="1"/>
                <w:bCs w:val="1"/>
                <w:color w:val="auto"/>
                <w:vertAlign w:val="superscript"/>
              </w:rPr>
              <w:t>(1)</w:t>
            </w:r>
          </w:p>
        </w:tc>
        <w:tc>
          <w:tcPr>
            <w:tcW w:w="9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SECURITIES</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SECURITIES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VESTING</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UNDERLYING</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UNDERLYING</w:t>
            </w: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2"/>
            <w:vMerge w:val="restart"/>
          </w:tcPr>
          <w:p>
            <w:pPr>
              <w:jc w:val="right"/>
              <w:ind w:right="548"/>
              <w:spacing w:after="0"/>
              <w:rPr>
                <w:sz w:val="20"/>
                <w:szCs w:val="20"/>
                <w:color w:val="auto"/>
              </w:rPr>
            </w:pPr>
            <w:r>
              <w:rPr>
                <w:rFonts w:ascii="Arial" w:cs="Arial" w:eastAsia="Arial" w:hAnsi="Arial"/>
                <w:sz w:val="14"/>
                <w:szCs w:val="14"/>
                <w:b w:val="1"/>
                <w:bCs w:val="1"/>
                <w:color w:val="auto"/>
              </w:rPr>
              <w:t>GRANT</w:t>
            </w:r>
          </w:p>
        </w:tc>
        <w:tc>
          <w:tcPr>
            <w:tcW w:w="1500" w:type="dxa"/>
            <w:vAlign w:val="bottom"/>
            <w:gridSpan w:val="2"/>
            <w:vMerge w:val="continue"/>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UNEXERCISED</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UNEXERCISED</w:t>
            </w:r>
          </w:p>
        </w:tc>
        <w:tc>
          <w:tcPr>
            <w:tcW w:w="96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COMMENCEMENT</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 (#)</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OPTIONS (#)</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2"/>
        </w:trPr>
        <w:tc>
          <w:tcPr>
            <w:tcW w:w="44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DATE</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DATE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EXERCISABLE</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UNEXERCISABLE</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46"/>
        </w:trPr>
        <w:tc>
          <w:tcPr>
            <w:tcW w:w="3560" w:type="dxa"/>
            <w:vAlign w:val="bottom"/>
            <w:tcBorders>
              <w:top w:val="single" w:sz="8" w:color="CCEEFF"/>
            </w:tcBorders>
            <w:gridSpan w:val="2"/>
            <w:shd w:val="clear" w:color="auto" w:fill="CCEEFF"/>
          </w:tcPr>
          <w:p>
            <w:pPr>
              <w:spacing w:after="0" w:line="146" w:lineRule="exact"/>
              <w:rPr>
                <w:sz w:val="20"/>
                <w:szCs w:val="20"/>
                <w:color w:val="auto"/>
              </w:rPr>
            </w:pPr>
            <w:r>
              <w:rPr>
                <w:rFonts w:ascii="Arial" w:cs="Arial" w:eastAsia="Arial" w:hAnsi="Arial"/>
                <w:sz w:val="16"/>
                <w:szCs w:val="16"/>
                <w:color w:val="auto"/>
              </w:rPr>
              <w:t>Andrew Phillips, Ph.D</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spacing w:after="0" w:line="146" w:lineRule="exact"/>
              <w:rPr>
                <w:sz w:val="20"/>
                <w:szCs w:val="20"/>
                <w:color w:val="auto"/>
              </w:rPr>
            </w:pPr>
            <w:r>
              <w:rPr>
                <w:rFonts w:ascii="Arial" w:cs="Arial" w:eastAsia="Arial" w:hAnsi="Arial"/>
                <w:sz w:val="16"/>
                <w:szCs w:val="16"/>
                <w:color w:val="auto"/>
              </w:rPr>
              <w:t>4/11/2016</w:t>
            </w:r>
          </w:p>
        </w:tc>
        <w:tc>
          <w:tcPr>
            <w:tcW w:w="420" w:type="dxa"/>
            <w:vAlign w:val="bottom"/>
            <w:tcBorders>
              <w:top w:val="single" w:sz="8" w:color="CCEEFF"/>
            </w:tcBorders>
            <w:shd w:val="clear" w:color="auto" w:fill="CCEEFF"/>
          </w:tcPr>
          <w:p>
            <w:pPr>
              <w:jc w:val="right"/>
              <w:ind w:right="168"/>
              <w:spacing w:after="0" w:line="146" w:lineRule="exact"/>
              <w:rPr>
                <w:sz w:val="20"/>
                <w:szCs w:val="20"/>
                <w:color w:val="auto"/>
              </w:rPr>
            </w:pPr>
            <w:r>
              <w:rPr>
                <w:rFonts w:ascii="Arial" w:cs="Arial" w:eastAsia="Arial" w:hAnsi="Arial"/>
                <w:sz w:val="14"/>
                <w:szCs w:val="14"/>
                <w:color w:val="auto"/>
                <w:w w:val="93"/>
              </w:rPr>
              <w:t>(2)</w:t>
            </w: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6"/>
                <w:szCs w:val="16"/>
                <w:color w:val="auto"/>
              </w:rPr>
              <w:t>12/31/2015</w:t>
            </w:r>
          </w:p>
        </w:tc>
        <w:tc>
          <w:tcPr>
            <w:tcW w:w="2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6"/>
                <w:szCs w:val="16"/>
                <w:color w:val="auto"/>
              </w:rPr>
              <w:t>147,509</w:t>
            </w:r>
          </w:p>
        </w:tc>
        <w:tc>
          <w:tcPr>
            <w:tcW w:w="2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6"/>
                <w:szCs w:val="16"/>
                <w:color w:val="auto"/>
              </w:rPr>
              <w:t>171,225</w:t>
            </w:r>
          </w:p>
        </w:tc>
        <w:tc>
          <w:tcPr>
            <w:tcW w:w="2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6"/>
                <w:szCs w:val="16"/>
                <w:color w:val="auto"/>
              </w:rPr>
              <w:t>2.11</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6"/>
                <w:szCs w:val="16"/>
                <w:color w:val="auto"/>
              </w:rPr>
              <w:t>04/10/2026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560" w:type="dxa"/>
            <w:vAlign w:val="bottom"/>
            <w:gridSpan w:val="2"/>
            <w:shd w:val="clear" w:color="auto" w:fill="CCEEFF"/>
          </w:tcPr>
          <w:p>
            <w:pPr>
              <w:ind w:left="260"/>
              <w:spacing w:after="0" w:line="32" w:lineRule="exact"/>
              <w:rPr>
                <w:sz w:val="20"/>
                <w:szCs w:val="20"/>
                <w:color w:val="auto"/>
              </w:rPr>
            </w:pPr>
            <w:r>
              <w:rPr>
                <w:rFonts w:ascii="Arial" w:cs="Arial" w:eastAsia="Arial" w:hAnsi="Arial"/>
                <w:sz w:val="3"/>
                <w:szCs w:val="3"/>
                <w:i w:val="1"/>
                <w:iCs w:val="1"/>
                <w:color w:val="auto"/>
              </w:rPr>
              <w:t>Former President &amp; Chief</w:t>
            </w:r>
          </w:p>
        </w:tc>
        <w:tc>
          <w:tcPr>
            <w:tcW w:w="200" w:type="dxa"/>
            <w:vAlign w:val="bottom"/>
            <w:shd w:val="clear" w:color="auto" w:fill="CCEEFF"/>
          </w:tcPr>
          <w:p>
            <w:pPr>
              <w:spacing w:after="0"/>
              <w:rPr>
                <w:sz w:val="2"/>
                <w:szCs w:val="2"/>
                <w:color w:val="auto"/>
              </w:rPr>
            </w:pPr>
          </w:p>
        </w:tc>
        <w:tc>
          <w:tcPr>
            <w:tcW w:w="1320" w:type="dxa"/>
            <w:vAlign w:val="bottom"/>
            <w:gridSpan w:val="3"/>
            <w:shd w:val="clear" w:color="auto" w:fill="CCEEFF"/>
          </w:tcPr>
          <w:p>
            <w:pPr>
              <w:jc w:val="right"/>
              <w:ind w:right="348"/>
              <w:spacing w:after="0" w:line="32" w:lineRule="exact"/>
              <w:rPr>
                <w:sz w:val="20"/>
                <w:szCs w:val="20"/>
                <w:color w:val="auto"/>
              </w:rPr>
            </w:pPr>
            <w:r>
              <w:rPr>
                <w:rFonts w:ascii="Arial" w:cs="Arial" w:eastAsia="Arial" w:hAnsi="Arial"/>
                <w:sz w:val="3"/>
                <w:szCs w:val="3"/>
                <w:color w:val="auto"/>
              </w:rPr>
              <w:t>10/24/2016</w:t>
            </w:r>
          </w:p>
        </w:tc>
        <w:tc>
          <w:tcPr>
            <w:tcW w:w="150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12/31/2015</w:t>
            </w:r>
          </w:p>
        </w:tc>
        <w:tc>
          <w:tcPr>
            <w:tcW w:w="12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18,494</w:t>
            </w:r>
          </w:p>
        </w:tc>
        <w:tc>
          <w:tcPr>
            <w:tcW w:w="148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22,691</w:t>
            </w:r>
          </w:p>
        </w:tc>
        <w:tc>
          <w:tcPr>
            <w:tcW w:w="9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2.11</w:t>
            </w:r>
          </w:p>
        </w:tc>
        <w:tc>
          <w:tcPr>
            <w:tcW w:w="96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10/23/2026</w:t>
            </w:r>
          </w:p>
        </w:tc>
        <w:tc>
          <w:tcPr>
            <w:tcW w:w="0" w:type="dxa"/>
            <w:vAlign w:val="bottom"/>
          </w:tcPr>
          <w:p>
            <w:pPr>
              <w:spacing w:after="0" w:line="20" w:lineRule="exact"/>
              <w:rPr>
                <w:sz w:val="1"/>
                <w:szCs w:val="1"/>
                <w:color w:val="auto"/>
              </w:rPr>
            </w:pPr>
          </w:p>
        </w:tc>
      </w:tr>
      <w:tr>
        <w:trPr>
          <w:trHeight w:val="156"/>
        </w:trPr>
        <w:tc>
          <w:tcPr>
            <w:tcW w:w="4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(3)</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560" w:type="dxa"/>
            <w:vAlign w:val="bottom"/>
            <w:gridSpan w:val="2"/>
            <w:shd w:val="clear" w:color="auto" w:fill="CCEEFF"/>
          </w:tcPr>
          <w:p>
            <w:pPr>
              <w:ind w:left="260"/>
              <w:spacing w:after="0" w:line="32" w:lineRule="exact"/>
              <w:rPr>
                <w:sz w:val="20"/>
                <w:szCs w:val="20"/>
                <w:color w:val="auto"/>
              </w:rPr>
            </w:pPr>
            <w:r>
              <w:rPr>
                <w:rFonts w:ascii="Arial" w:cs="Arial" w:eastAsia="Arial" w:hAnsi="Arial"/>
                <w:sz w:val="3"/>
                <w:szCs w:val="3"/>
                <w:i w:val="1"/>
                <w:iCs w:val="1"/>
                <w:color w:val="auto"/>
              </w:rPr>
              <w:t>Executive Officer</w:t>
            </w: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80" w:type="dxa"/>
            <w:vAlign w:val="bottom"/>
            <w:gridSpan w:val="2"/>
            <w:shd w:val="clear" w:color="auto" w:fill="CCEEFF"/>
          </w:tcPr>
          <w:p>
            <w:pPr>
              <w:jc w:val="right"/>
              <w:ind w:right="348"/>
              <w:spacing w:after="0" w:line="32" w:lineRule="exact"/>
              <w:rPr>
                <w:sz w:val="20"/>
                <w:szCs w:val="20"/>
                <w:color w:val="auto"/>
              </w:rPr>
            </w:pPr>
            <w:r>
              <w:rPr>
                <w:rFonts w:ascii="Arial" w:cs="Arial" w:eastAsia="Arial" w:hAnsi="Arial"/>
                <w:sz w:val="3"/>
                <w:szCs w:val="3"/>
                <w:color w:val="auto"/>
              </w:rPr>
              <w:t>10/24/2016</w:t>
            </w:r>
          </w:p>
        </w:tc>
        <w:tc>
          <w:tcPr>
            <w:tcW w:w="150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12/31/2015</w:t>
            </w:r>
          </w:p>
        </w:tc>
        <w:tc>
          <w:tcPr>
            <w:tcW w:w="12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67,117</w:t>
            </w:r>
          </w:p>
        </w:tc>
        <w:tc>
          <w:tcPr>
            <w:tcW w:w="148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62,922</w:t>
            </w:r>
          </w:p>
        </w:tc>
        <w:tc>
          <w:tcPr>
            <w:tcW w:w="9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2.11</w:t>
            </w:r>
          </w:p>
        </w:tc>
        <w:tc>
          <w:tcPr>
            <w:tcW w:w="96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10/23/2026</w:t>
            </w:r>
          </w:p>
        </w:tc>
        <w:tc>
          <w:tcPr>
            <w:tcW w:w="0" w:type="dxa"/>
            <w:vAlign w:val="bottom"/>
          </w:tcPr>
          <w:p>
            <w:pPr>
              <w:spacing w:after="0" w:line="20" w:lineRule="exact"/>
              <w:rPr>
                <w:sz w:val="1"/>
                <w:szCs w:val="1"/>
                <w:color w:val="auto"/>
              </w:rPr>
            </w:pPr>
          </w:p>
        </w:tc>
      </w:tr>
      <w:tr>
        <w:trPr>
          <w:trHeight w:val="156"/>
        </w:trPr>
        <w:tc>
          <w:tcPr>
            <w:tcW w:w="4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(4)</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4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80" w:type="dxa"/>
            <w:vAlign w:val="bottom"/>
            <w:gridSpan w:val="2"/>
            <w:shd w:val="clear" w:color="auto" w:fill="CCEEFF"/>
          </w:tcPr>
          <w:p>
            <w:pPr>
              <w:jc w:val="right"/>
              <w:ind w:right="348"/>
              <w:spacing w:after="0" w:line="32" w:lineRule="exact"/>
              <w:rPr>
                <w:sz w:val="20"/>
                <w:szCs w:val="20"/>
                <w:color w:val="auto"/>
              </w:rPr>
            </w:pPr>
            <w:r>
              <w:rPr>
                <w:rFonts w:ascii="Arial" w:cs="Arial" w:eastAsia="Arial" w:hAnsi="Arial"/>
                <w:sz w:val="3"/>
                <w:szCs w:val="3"/>
                <w:color w:val="auto"/>
              </w:rPr>
              <w:t>7/17/2019</w:t>
            </w:r>
          </w:p>
        </w:tc>
        <w:tc>
          <w:tcPr>
            <w:tcW w:w="150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4/09/2019</w:t>
            </w:r>
          </w:p>
        </w:tc>
        <w:tc>
          <w:tcPr>
            <w:tcW w:w="12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173,895</w:t>
            </w:r>
          </w:p>
        </w:tc>
        <w:tc>
          <w:tcPr>
            <w:tcW w:w="148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346,188</w:t>
            </w:r>
          </w:p>
        </w:tc>
        <w:tc>
          <w:tcPr>
            <w:tcW w:w="9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6.50</w:t>
            </w:r>
          </w:p>
        </w:tc>
        <w:tc>
          <w:tcPr>
            <w:tcW w:w="96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7/16/2029</w:t>
            </w:r>
          </w:p>
        </w:tc>
        <w:tc>
          <w:tcPr>
            <w:tcW w:w="0" w:type="dxa"/>
            <w:vAlign w:val="bottom"/>
          </w:tcPr>
          <w:p>
            <w:pPr>
              <w:spacing w:after="0" w:line="20" w:lineRule="exact"/>
              <w:rPr>
                <w:sz w:val="1"/>
                <w:szCs w:val="1"/>
                <w:color w:val="auto"/>
              </w:rPr>
            </w:pPr>
          </w:p>
        </w:tc>
      </w:tr>
      <w:tr>
        <w:trPr>
          <w:trHeight w:val="184"/>
        </w:trPr>
        <w:tc>
          <w:tcPr>
            <w:tcW w:w="4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(5)</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3560" w:type="dxa"/>
            <w:vAlign w:val="bottom"/>
            <w:gridSpan w:val="2"/>
          </w:tcPr>
          <w:p>
            <w:pPr>
              <w:spacing w:after="0" w:line="111" w:lineRule="exact"/>
              <w:rPr>
                <w:sz w:val="20"/>
                <w:szCs w:val="20"/>
                <w:color w:val="auto"/>
              </w:rPr>
            </w:pPr>
            <w:r>
              <w:rPr>
                <w:rFonts w:ascii="Arial" w:cs="Arial" w:eastAsia="Arial" w:hAnsi="Arial"/>
                <w:sz w:val="12"/>
                <w:szCs w:val="12"/>
                <w:color w:val="auto"/>
              </w:rPr>
              <w:t>Adam Crystal, M.D., Ph.D.</w:t>
            </w:r>
          </w:p>
        </w:tc>
        <w:tc>
          <w:tcPr>
            <w:tcW w:w="1520" w:type="dxa"/>
            <w:vAlign w:val="bottom"/>
            <w:gridSpan w:val="4"/>
          </w:tcPr>
          <w:p>
            <w:pPr>
              <w:jc w:val="right"/>
              <w:ind w:right="348"/>
              <w:spacing w:after="0" w:line="111" w:lineRule="exact"/>
              <w:rPr>
                <w:sz w:val="20"/>
                <w:szCs w:val="20"/>
                <w:color w:val="auto"/>
              </w:rPr>
            </w:pPr>
            <w:r>
              <w:rPr>
                <w:rFonts w:ascii="Arial" w:cs="Arial" w:eastAsia="Arial" w:hAnsi="Arial"/>
                <w:sz w:val="12"/>
                <w:szCs w:val="12"/>
                <w:color w:val="auto"/>
              </w:rPr>
              <w:t>4/09/2019</w:t>
            </w:r>
          </w:p>
        </w:tc>
        <w:tc>
          <w:tcPr>
            <w:tcW w:w="1500" w:type="dxa"/>
            <w:vAlign w:val="bottom"/>
            <w:gridSpan w:val="2"/>
          </w:tcPr>
          <w:p>
            <w:pPr>
              <w:jc w:val="right"/>
              <w:ind w:right="240"/>
              <w:spacing w:after="0" w:line="111" w:lineRule="exact"/>
              <w:rPr>
                <w:sz w:val="20"/>
                <w:szCs w:val="20"/>
                <w:color w:val="auto"/>
              </w:rPr>
            </w:pPr>
            <w:r>
              <w:rPr>
                <w:rFonts w:ascii="Arial" w:cs="Arial" w:eastAsia="Arial" w:hAnsi="Arial"/>
                <w:sz w:val="12"/>
                <w:szCs w:val="12"/>
                <w:color w:val="auto"/>
              </w:rPr>
              <w:t>2/14/19</w:t>
            </w:r>
          </w:p>
        </w:tc>
        <w:tc>
          <w:tcPr>
            <w:tcW w:w="1260" w:type="dxa"/>
            <w:vAlign w:val="bottom"/>
            <w:gridSpan w:val="2"/>
          </w:tcPr>
          <w:p>
            <w:pPr>
              <w:jc w:val="right"/>
              <w:ind w:right="240"/>
              <w:spacing w:after="0" w:line="111" w:lineRule="exact"/>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240"/>
              <w:spacing w:after="0" w:line="111" w:lineRule="exact"/>
              <w:rPr>
                <w:sz w:val="20"/>
                <w:szCs w:val="20"/>
                <w:color w:val="auto"/>
              </w:rPr>
            </w:pPr>
            <w:r>
              <w:rPr>
                <w:rFonts w:ascii="Arial" w:cs="Arial" w:eastAsia="Arial" w:hAnsi="Arial"/>
                <w:sz w:val="12"/>
                <w:szCs w:val="12"/>
                <w:color w:val="auto"/>
              </w:rPr>
              <w:t>172,292</w:t>
            </w:r>
          </w:p>
        </w:tc>
        <w:tc>
          <w:tcPr>
            <w:tcW w:w="960" w:type="dxa"/>
            <w:vAlign w:val="bottom"/>
            <w:gridSpan w:val="2"/>
          </w:tcPr>
          <w:p>
            <w:pPr>
              <w:jc w:val="right"/>
              <w:ind w:right="240"/>
              <w:spacing w:after="0" w:line="111" w:lineRule="exact"/>
              <w:rPr>
                <w:sz w:val="20"/>
                <w:szCs w:val="20"/>
                <w:color w:val="auto"/>
              </w:rPr>
            </w:pPr>
            <w:r>
              <w:rPr>
                <w:rFonts w:ascii="Arial" w:cs="Arial" w:eastAsia="Arial" w:hAnsi="Arial"/>
                <w:sz w:val="12"/>
                <w:szCs w:val="12"/>
                <w:color w:val="auto"/>
              </w:rPr>
              <w:t>6.50</w:t>
            </w:r>
          </w:p>
        </w:tc>
        <w:tc>
          <w:tcPr>
            <w:tcW w:w="960" w:type="dxa"/>
            <w:vAlign w:val="bottom"/>
            <w:gridSpan w:val="2"/>
          </w:tcPr>
          <w:p>
            <w:pPr>
              <w:jc w:val="right"/>
              <w:ind w:right="60"/>
              <w:spacing w:after="0" w:line="111" w:lineRule="exact"/>
              <w:rPr>
                <w:sz w:val="20"/>
                <w:szCs w:val="20"/>
                <w:color w:val="auto"/>
              </w:rPr>
            </w:pPr>
            <w:r>
              <w:rPr>
                <w:rFonts w:ascii="Arial" w:cs="Arial" w:eastAsia="Arial" w:hAnsi="Arial"/>
                <w:sz w:val="12"/>
                <w:szCs w:val="12"/>
                <w:color w:val="auto"/>
              </w:rPr>
              <w:t>4/8/2029</w:t>
            </w:r>
          </w:p>
        </w:tc>
        <w:tc>
          <w:tcPr>
            <w:tcW w:w="0" w:type="dxa"/>
            <w:vAlign w:val="bottom"/>
          </w:tcPr>
          <w:p>
            <w:pPr>
              <w:spacing w:after="0"/>
              <w:rPr>
                <w:sz w:val="1"/>
                <w:szCs w:val="1"/>
                <w:color w:val="auto"/>
              </w:rPr>
            </w:pPr>
          </w:p>
        </w:tc>
      </w:tr>
      <w:tr>
        <w:trPr>
          <w:trHeight w:val="194"/>
        </w:trPr>
        <w:tc>
          <w:tcPr>
            <w:tcW w:w="3560" w:type="dxa"/>
            <w:vAlign w:val="bottom"/>
            <w:gridSpan w:val="2"/>
            <w:vMerge w:val="restart"/>
          </w:tcPr>
          <w:p>
            <w:pPr>
              <w:ind w:left="260"/>
              <w:spacing w:after="0"/>
              <w:rPr>
                <w:sz w:val="20"/>
                <w:szCs w:val="20"/>
                <w:color w:val="auto"/>
              </w:rPr>
            </w:pPr>
            <w:r>
              <w:rPr>
                <w:rFonts w:ascii="Arial" w:cs="Arial" w:eastAsia="Arial" w:hAnsi="Arial"/>
                <w:sz w:val="17"/>
                <w:szCs w:val="17"/>
                <w:i w:val="1"/>
                <w:iCs w:val="1"/>
                <w:color w:val="auto"/>
              </w:rPr>
              <w:t>Chief Medical Officer</w:t>
            </w:r>
          </w:p>
        </w:tc>
        <w:tc>
          <w:tcPr>
            <w:tcW w:w="1520" w:type="dxa"/>
            <w:vAlign w:val="bottom"/>
            <w:gridSpan w:val="4"/>
          </w:tcPr>
          <w:p>
            <w:pPr>
              <w:jc w:val="right"/>
              <w:ind w:right="168"/>
              <w:spacing w:after="0"/>
              <w:rPr>
                <w:sz w:val="20"/>
                <w:szCs w:val="20"/>
                <w:color w:val="auto"/>
              </w:rPr>
            </w:pPr>
            <w:r>
              <w:rPr>
                <w:rFonts w:ascii="Arial" w:cs="Arial" w:eastAsia="Arial" w:hAnsi="Arial"/>
                <w:sz w:val="14"/>
                <w:szCs w:val="14"/>
                <w:color w:val="auto"/>
              </w:rPr>
              <w:t>(6)</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4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0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
        </w:trPr>
        <w:tc>
          <w:tcPr>
            <w:tcW w:w="356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Stewart Fisher, Ph.D.</w:t>
            </w:r>
          </w:p>
        </w:tc>
        <w:tc>
          <w:tcPr>
            <w:tcW w:w="1520" w:type="dxa"/>
            <w:vAlign w:val="bottom"/>
            <w:gridSpan w:val="4"/>
            <w:shd w:val="clear" w:color="auto" w:fill="CCEEFF"/>
          </w:tcPr>
          <w:p>
            <w:pPr>
              <w:jc w:val="right"/>
              <w:ind w:right="348"/>
              <w:spacing w:after="0" w:line="4" w:lineRule="exact"/>
              <w:rPr>
                <w:sz w:val="20"/>
                <w:szCs w:val="20"/>
                <w:color w:val="auto"/>
              </w:rPr>
            </w:pPr>
            <w:r>
              <w:rPr>
                <w:rFonts w:ascii="Arial" w:cs="Arial" w:eastAsia="Arial" w:hAnsi="Arial"/>
                <w:sz w:val="1"/>
                <w:szCs w:val="1"/>
                <w:color w:val="auto"/>
              </w:rPr>
              <w:t>07/13/2016</w:t>
            </w:r>
          </w:p>
        </w:tc>
        <w:tc>
          <w:tcPr>
            <w:tcW w:w="1500" w:type="dxa"/>
            <w:vAlign w:val="bottom"/>
            <w:gridSpan w:val="2"/>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5/02/16</w:t>
            </w:r>
          </w:p>
        </w:tc>
        <w:tc>
          <w:tcPr>
            <w:tcW w:w="1260" w:type="dxa"/>
            <w:vAlign w:val="bottom"/>
            <w:gridSpan w:val="2"/>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2,371</w:t>
            </w:r>
          </w:p>
        </w:tc>
        <w:tc>
          <w:tcPr>
            <w:tcW w:w="1480" w:type="dxa"/>
            <w:vAlign w:val="bottom"/>
            <w:gridSpan w:val="2"/>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14,229</w:t>
            </w:r>
          </w:p>
        </w:tc>
        <w:tc>
          <w:tcPr>
            <w:tcW w:w="960" w:type="dxa"/>
            <w:vAlign w:val="bottom"/>
            <w:gridSpan w:val="2"/>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2.11</w:t>
            </w:r>
          </w:p>
        </w:tc>
        <w:tc>
          <w:tcPr>
            <w:tcW w:w="96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7/12/2026</w:t>
            </w:r>
          </w:p>
        </w:tc>
        <w:tc>
          <w:tcPr>
            <w:tcW w:w="0" w:type="dxa"/>
            <w:vAlign w:val="bottom"/>
          </w:tcPr>
          <w:p>
            <w:pPr>
              <w:spacing w:after="0" w:line="20" w:lineRule="exact"/>
              <w:rPr>
                <w:sz w:val="1"/>
                <w:szCs w:val="1"/>
                <w:color w:val="auto"/>
              </w:rPr>
            </w:pPr>
          </w:p>
        </w:tc>
      </w:tr>
      <w:tr>
        <w:trPr>
          <w:trHeight w:val="156"/>
        </w:trPr>
        <w:tc>
          <w:tcPr>
            <w:tcW w:w="4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520" w:type="dxa"/>
            <w:vAlign w:val="bottom"/>
            <w:gridSpan w:val="4"/>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(7)</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560" w:type="dxa"/>
            <w:vAlign w:val="bottom"/>
            <w:gridSpan w:val="2"/>
            <w:shd w:val="clear" w:color="auto" w:fill="CCEEFF"/>
          </w:tcPr>
          <w:p>
            <w:pPr>
              <w:ind w:left="260"/>
              <w:spacing w:after="0" w:line="32" w:lineRule="exact"/>
              <w:rPr>
                <w:sz w:val="20"/>
                <w:szCs w:val="20"/>
                <w:color w:val="auto"/>
              </w:rPr>
            </w:pPr>
            <w:r>
              <w:rPr>
                <w:rFonts w:ascii="Arial" w:cs="Arial" w:eastAsia="Arial" w:hAnsi="Arial"/>
                <w:sz w:val="3"/>
                <w:szCs w:val="3"/>
                <w:i w:val="1"/>
                <w:iCs w:val="1"/>
                <w:color w:val="auto"/>
              </w:rPr>
              <w:t>Chief Scientific Officer</w:t>
            </w:r>
          </w:p>
        </w:tc>
        <w:tc>
          <w:tcPr>
            <w:tcW w:w="1520" w:type="dxa"/>
            <w:vAlign w:val="bottom"/>
            <w:gridSpan w:val="4"/>
            <w:shd w:val="clear" w:color="auto" w:fill="CCEEFF"/>
          </w:tcPr>
          <w:p>
            <w:pPr>
              <w:jc w:val="right"/>
              <w:ind w:right="348"/>
              <w:spacing w:after="0" w:line="32" w:lineRule="exact"/>
              <w:rPr>
                <w:sz w:val="20"/>
                <w:szCs w:val="20"/>
                <w:color w:val="auto"/>
              </w:rPr>
            </w:pPr>
            <w:r>
              <w:rPr>
                <w:rFonts w:ascii="Arial" w:cs="Arial" w:eastAsia="Arial" w:hAnsi="Arial"/>
                <w:sz w:val="3"/>
                <w:szCs w:val="3"/>
                <w:color w:val="auto"/>
              </w:rPr>
              <w:t>04/24/2018</w:t>
            </w:r>
          </w:p>
        </w:tc>
        <w:tc>
          <w:tcPr>
            <w:tcW w:w="150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5/01/18</w:t>
            </w:r>
          </w:p>
        </w:tc>
        <w:tc>
          <w:tcPr>
            <w:tcW w:w="12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14,013</w:t>
            </w:r>
          </w:p>
        </w:tc>
        <w:tc>
          <w:tcPr>
            <w:tcW w:w="148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83,002</w:t>
            </w:r>
          </w:p>
        </w:tc>
        <w:tc>
          <w:tcPr>
            <w:tcW w:w="9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3.72</w:t>
            </w:r>
          </w:p>
        </w:tc>
        <w:tc>
          <w:tcPr>
            <w:tcW w:w="96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4/23/2028</w:t>
            </w:r>
          </w:p>
        </w:tc>
        <w:tc>
          <w:tcPr>
            <w:tcW w:w="0" w:type="dxa"/>
            <w:vAlign w:val="bottom"/>
          </w:tcPr>
          <w:p>
            <w:pPr>
              <w:spacing w:after="0" w:line="20" w:lineRule="exact"/>
              <w:rPr>
                <w:sz w:val="1"/>
                <w:szCs w:val="1"/>
                <w:color w:val="auto"/>
              </w:rPr>
            </w:pPr>
          </w:p>
        </w:tc>
      </w:tr>
      <w:tr>
        <w:trPr>
          <w:trHeight w:val="184"/>
        </w:trPr>
        <w:tc>
          <w:tcPr>
            <w:tcW w:w="4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520" w:type="dxa"/>
            <w:vAlign w:val="bottom"/>
            <w:gridSpan w:val="4"/>
            <w:shd w:val="clear" w:color="auto" w:fill="CCEEFF"/>
          </w:tcPr>
          <w:p>
            <w:pPr>
              <w:jc w:val="right"/>
              <w:ind w:right="168"/>
              <w:spacing w:after="0"/>
              <w:rPr>
                <w:sz w:val="20"/>
                <w:szCs w:val="20"/>
                <w:color w:val="auto"/>
              </w:rPr>
            </w:pPr>
            <w:r>
              <w:rPr>
                <w:rFonts w:ascii="Arial" w:cs="Arial" w:eastAsia="Arial" w:hAnsi="Arial"/>
                <w:sz w:val="14"/>
                <w:szCs w:val="14"/>
                <w:color w:val="auto"/>
              </w:rPr>
              <w:t>(7)</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ind w:right="535"/>
              <w:spacing w:after="0"/>
              <w:rPr>
                <w:sz w:val="20"/>
                <w:szCs w:val="20"/>
                <w:color w:val="auto"/>
              </w:rPr>
            </w:pPr>
            <w:r>
              <w:rPr>
                <w:rFonts w:ascii="Arial" w:cs="Arial" w:eastAsia="Arial" w:hAnsi="Arial"/>
                <w:sz w:val="16"/>
                <w:szCs w:val="16"/>
                <w:color w:val="auto"/>
              </w:rPr>
              <w:t>144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0" w:lineRule="exact"/>
        <w:rPr>
          <w:sz w:val="20"/>
          <w:szCs w:val="20"/>
          <w:color w:val="auto"/>
        </w:rPr>
      </w:pPr>
    </w:p>
    <w:p>
      <w:pPr>
        <w:ind w:left="440" w:hanging="286"/>
        <w:spacing w:after="0"/>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All options were granted pursuant to our 2015 Plan.</w:t>
      </w:r>
    </w:p>
    <w:p>
      <w:pPr>
        <w:jc w:val="both"/>
        <w:ind w:left="440" w:right="220" w:hanging="286"/>
        <w:spacing w:after="0" w:line="193" w:lineRule="auto"/>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12.5% of this option vested on the first anniversary of the vesting commencement date, subject to the named executive officer’s continuous service relationship through such date, with the remainder vesting in 28 equal quarterly installments thereafter, subject to the named executive officer’s continuous service relationship through each such date. In the event of a change in control, all shares subject to this option accelerate and vest in full.</w:t>
      </w:r>
    </w:p>
    <w:p>
      <w:pPr>
        <w:ind w:left="440" w:right="100" w:hanging="286"/>
        <w:spacing w:after="0" w:line="202" w:lineRule="auto"/>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4,623 of the shares subject to this option vested on the first anniversary of the vesting commencement date, subject to the named executive officer’s continuous service relationship through such date. Thereafter, 32,365 of the shares subject to this option vest in 28 equal quarterly installments, with the remaining shares vesting on January 1, 2024, subject to the named executive officer’s continuous service relationship through each such date. In the event of a change in control, all shares subject to this option accelerate and vest in full.</w:t>
      </w:r>
    </w:p>
    <w:p>
      <w:pPr>
        <w:spacing w:after="0" w:line="3" w:lineRule="exact"/>
        <w:rPr>
          <w:rFonts w:ascii="Arial" w:cs="Arial" w:eastAsia="Arial" w:hAnsi="Arial"/>
          <w:sz w:val="24"/>
          <w:szCs w:val="24"/>
          <w:color w:val="auto"/>
          <w:vertAlign w:val="superscript"/>
        </w:rPr>
      </w:pPr>
    </w:p>
    <w:p>
      <w:pPr>
        <w:ind w:left="440" w:right="140" w:hanging="286"/>
        <w:spacing w:after="0" w:line="193" w:lineRule="auto"/>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16,779 of the shares subject to this option vested on the first anniversary of the vesting commencement date, subject to the named executive officer’s continuous service relationship through such date, with the remainder vesting in 27 equal quarterly installments thereafter, subject to the named executive officer’s continuous service relationship through each such date. In the event of a change in control, all shares subject to the option accelerate and vest in full.</w:t>
      </w:r>
    </w:p>
    <w:p>
      <w:pPr>
        <w:ind w:left="440" w:hanging="286"/>
        <w:spacing w:after="0" w:line="202" w:lineRule="auto"/>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347,790 of the shares vest in four equal quarterly installments following the vesting commencement date, subject to the named executive officers’ continuous service relationship through each such date. The remaining 172,293 shares vest upon the seventh anniversary of the vesting commencement date, subject to named executive officer’s continuous service relationship, provided that such options may be subject to acceleration upon achievement of specified performance conditions. In the event of a Sale Event (as defined in the 2015 Plan), all shares subject to the option accelerate and vest in full.</w:t>
      </w:r>
    </w:p>
    <w:p>
      <w:pPr>
        <w:spacing w:after="0" w:line="3" w:lineRule="exact"/>
        <w:rPr>
          <w:rFonts w:ascii="Arial" w:cs="Arial" w:eastAsia="Arial" w:hAnsi="Arial"/>
          <w:sz w:val="24"/>
          <w:szCs w:val="24"/>
          <w:color w:val="auto"/>
          <w:vertAlign w:val="superscript"/>
        </w:rPr>
      </w:pPr>
    </w:p>
    <w:p>
      <w:pPr>
        <w:ind w:left="440" w:right="40" w:hanging="286"/>
        <w:spacing w:after="0" w:line="193" w:lineRule="auto"/>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25% of the option vests on the first anniversary of the vesting commencement date, subject to the named executive officer’s continuous service relationship through such date, with the remainder vesting in 16 equal quarterly installments thereafter, subject to the named executive officer’s continuous service relationship through such date. In the case of a Sale Event, Dr. Crystal’s option will accelerate and vest in full.</w:t>
      </w:r>
    </w:p>
    <w:p>
      <w:pPr>
        <w:ind w:left="440" w:right="120" w:hanging="286"/>
        <w:spacing w:after="0" w:line="184" w:lineRule="auto"/>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20% of the option vests on the first anniversary of the vesting commencement date, subject to the named executive officer’s continuous service relationship through such date, with the remainder vesting in 16 equal quarterly installments thereafter, subject to the named executive officer’s continuous service relationship through such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71"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We initially entered into an offer letter with each of the named executive officers in connection with his employment with us, which set forth the terms and conditions of his employment. Each named executive officer also entered into our standard confidentiality and inventions assignment agreement. We intend to enter into new employment agreements with our named executive officers upon the completion of this offering.</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Andrew Phillips, Ph.D.</w:t>
      </w:r>
    </w:p>
    <w:p>
      <w:pPr>
        <w:spacing w:after="0" w:line="40"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Effective as of March 2020, Dr. Phillips’ employment was terminated. In connection with the termination of his employment, we entered into a separation agreement with Dr. Phillips pursuant to which Dr. Phillips provided a general release of claims in favor of us and we agreed to provide to Dr. Phillips the following severance payments and benefits: (i) base salary continuation at 100% of his final base salary ($546,000 annually) for 12 months, plus base salary continuation at 50% of his final base salary for an additional six months; (ii) a pro-rated annual bonus assuming target performance in an amount equal to $52,500; and (iii) if Dr. Phillips elected continuation of health coverage under COBRA, continued health coverage at the same rate in effect for our active employees until the earlier of 12 months following his termination, the date he becomes eligible for group health benefits with another employer or the end of Dr. Phillips’ COBRA health continuation period. In addition, we repurchased 23,714 shares of our common stock from Dr. Phillips at a purchase price of $0.62 per share and, in exchange for the cancellation of all of his vested options that were outstanding and unexercised as of his date of termination, we paid Dr. Phillips a cash amount per vested share equal to the excess of $0.62 over the applicable option exercise price.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Adam Crystal, M.D., Ph.D.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 January 2019, we entered into an offer letter with Dr. Crystal in connection with him joining us as our Chief Medical Officer on February 14, 2019.</w:t>
      </w:r>
    </w:p>
    <w:p>
      <w:pPr>
        <w:spacing w:after="0" w:line="234" w:lineRule="auto"/>
        <w:rPr>
          <w:sz w:val="20"/>
          <w:szCs w:val="20"/>
          <w:color w:val="auto"/>
        </w:rPr>
      </w:pPr>
      <w:r>
        <w:rPr>
          <w:rFonts w:ascii="Arial" w:cs="Arial" w:eastAsia="Arial" w:hAnsi="Arial"/>
          <w:sz w:val="17"/>
          <w:szCs w:val="17"/>
          <w:color w:val="auto"/>
        </w:rPr>
        <w:t>Dr. Crystal’s annual base salary is $390,000, with a signing bonus of $100,000 and a target annual bonus of 35% of his annual base salary.</w:t>
      </w:r>
    </w:p>
    <w:p>
      <w:pPr>
        <w:spacing w:after="0" w:line="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Dr. Crystal’s annual base salary and annual bonus were pro-rated based on his employment commencement date. Additionally, Dr. Crystal is eligible to participate in the employee benefit plans available to our employees, subject to the terms of those plans.</w:t>
      </w:r>
    </w:p>
    <w:p>
      <w:pPr>
        <w:spacing w:after="0" w:line="115" w:lineRule="exact"/>
        <w:rPr>
          <w:sz w:val="20"/>
          <w:szCs w:val="20"/>
          <w:color w:val="auto"/>
        </w:rPr>
      </w:pPr>
    </w:p>
    <w:p>
      <w:pPr>
        <w:jc w:val="both"/>
        <w:ind w:right="440"/>
        <w:spacing w:after="0" w:line="250" w:lineRule="auto"/>
        <w:rPr>
          <w:sz w:val="20"/>
          <w:szCs w:val="20"/>
          <w:color w:val="auto"/>
        </w:rPr>
      </w:pPr>
      <w:r>
        <w:rPr>
          <w:rFonts w:ascii="Arial" w:cs="Arial" w:eastAsia="Arial" w:hAnsi="Arial"/>
          <w:sz w:val="17"/>
          <w:szCs w:val="17"/>
          <w:color w:val="auto"/>
        </w:rPr>
        <w:t>Under the terms of Dr. Crystal’s offer letter, in the event that his employment is terminated by us without “cause” (as defined in his offer letter) or Dr. Crystal resigns for “good reason” (as defined in his offer letter), we have agreed to pay Dr. Crystal an amount equal to six months of his base salary in effect at the time of his termination.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20"/>
          </w:cols>
          <w:pgMar w:left="320" w:top="454" w:right="3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500"/>
        <w:spacing w:after="0" w:line="250" w:lineRule="auto"/>
        <w:rPr>
          <w:sz w:val="20"/>
          <w:szCs w:val="20"/>
          <w:color w:val="auto"/>
        </w:rPr>
      </w:pPr>
      <w:r>
        <w:rPr>
          <w:rFonts w:ascii="Arial" w:cs="Arial" w:eastAsia="Arial" w:hAnsi="Arial"/>
          <w:sz w:val="17"/>
          <w:szCs w:val="17"/>
          <w:color w:val="auto"/>
        </w:rPr>
        <w:t>In addition, Dr. Crystal has executed an Employee Confidentiality, Non-Solicitation and Assignment Agreement which contain certain restrictive covenants, including, among other things, non-solicitation provisions that apply during the term of Dr. Crystal’s employment and for one year thereafter.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Stewart Fisher, Ph.D.</w:t>
      </w:r>
    </w:p>
    <w:p>
      <w:pPr>
        <w:spacing w:after="0" w:line="39"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In March 2016, we entered into an offer letter with Dr. Fisher under which he joined us as our Senior Vice President, Discover Sciences on May 2, 2016. Effective as of May 2018, Dr. Fisher was promoted to be our Chief Scientific Officer. Dr. Fisher’s annual base salary is $359,494 and he is eligible to receive a target annual bonus of 35% of his annual base salary. Additionally, Dr. Fisher is eligible to participate in the employee benefit plans available to our employees, subject to the terms of those plans.</w:t>
      </w:r>
    </w:p>
    <w:p>
      <w:pPr>
        <w:spacing w:after="0" w:line="17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addition, Dr. Fisher has executed an Employee Confidentiality and Assignment Agreement which contain certain restrictive covenants, including, among other things, non-competition and non-solicitation provisions that apply during the term of Dr. Fisher’s employment and for one year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 in connection with the IPO</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Agreement with Andrew Hirsch</w:t>
      </w:r>
    </w:p>
    <w:p>
      <w:pPr>
        <w:spacing w:after="0" w:line="3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entered into an employment agreement with Mr. Hirsch in September 2020. Mr. Hirsch’s employment agreement sets forth his annual base salary of $560,000, the terms of his discretionary annual bonus, which is based on a target of 55% of his then current base salary, the terms of his employment, the terms of his new hire equity award, certain expense reimbursements, and his eligibility to participate in our benefit plans generally. Pursuant to the his employment agreement, in the event that Mr. Hirsch’s service relationship with the company is terminated without “cause” (as defined in his employment agreement) or upon his resignation from the company for “good reason” (as defined in his employment agreement), in either case other than in connection with a “change in control” (as defined in his employment agreement), subject to the execution of an effective release of claims in favor of the company, he will be entitled to the following severance benefits: (i) continued base salary for a period of twelve months based on his then current base salary; (ii) an amount equal to the pro rata portion of his annual target bonus for the then-current year based on the number of days of such fiscal year that he provided services to us; and (iii) up to twelve months of COBRA premiums reimbursements.</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Upon termination of Mr. Hirsch’s service relationship by the company without cause or upon his resignation from the company for good reason, in either case within 18 months after the occurrence of a change in control, subject to the execution of an effective release of claims in favor of the company, he will be entitled to the following severance benefits: (i) a lump sum payment equal to one and one-half (1.5) times his then current base salary or the base salary in effect immediately prior to the change in control, if higher; (ii) an amount equal to one and one-half (1.5) times his annual target bonus for the then-current year or his target bonus immediately prior to the change in control, if higher; (iii) up to 18 months of COBRA premiums reimbursements; and (iv) immediate and full acceleration of all stock options and other stock-based awards held by him.</w:t>
      </w:r>
    </w:p>
    <w:p>
      <w:pPr>
        <w:spacing w:after="0" w:line="121" w:lineRule="exact"/>
        <w:rPr>
          <w:sz w:val="20"/>
          <w:szCs w:val="20"/>
          <w:color w:val="auto"/>
        </w:rPr>
      </w:pPr>
    </w:p>
    <w:p>
      <w:pPr>
        <w:ind w:right="660"/>
        <w:spacing w:after="0" w:line="271" w:lineRule="auto"/>
        <w:rPr>
          <w:sz w:val="20"/>
          <w:szCs w:val="20"/>
          <w:color w:val="auto"/>
        </w:rPr>
      </w:pPr>
      <w:r>
        <w:rPr>
          <w:rFonts w:ascii="Arial" w:cs="Arial" w:eastAsia="Arial" w:hAnsi="Arial"/>
          <w:sz w:val="17"/>
          <w:szCs w:val="17"/>
          <w:color w:val="auto"/>
        </w:rPr>
        <w:t>In addition, Mr. Hirsch has entered into an agreement with us that contains protections of confidential information, requires the assignment of inventions and contains other restrictive covenants.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Agreements with our Other Named Executive Officers</w:t>
      </w:r>
    </w:p>
    <w:p>
      <w:pPr>
        <w:spacing w:after="0" w:line="5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have entered into new employment agreements with each of Dr. Crystal and Dr. Fisher, which replace their existing offer letters. These new employment agreements provide for Dr. Crystal’s and Dr. Fisher’s continued employment and set forth their new annual base salary of $420,000 and $420,000, respectively, the terms of their discretionary annual bonuses, which are set at targets of 40% of their respective then current base salaries, the terms of their employment, certain expense reimbursements, and their eligibility to participate in our benefit plans generally. Pursuant to the new employment agreements, in the event that such named executive officer’s service relationship with the company is terminated without “cause” (as defined in his employment agreement) or upon such named executive officer’s resignation from the company for “good reason” (as defined in his employment agreement), in either case other than in connection with a “change in control” (as defined in his employment agreement), subject to the execution of an effective release of claims in favor of the company, he will be entitled to the following severance benefits: (i) continued base salary for a period of twelve months based on his then current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80"/>
          </w:cols>
          <w:pgMar w:left="320" w:top="454" w:right="39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base salary; (ii) at the discretion of our board of directors and upon the recommendation of our compensation committee, an amount equal to the pro rata portion of his annual target bonus for the then-current year based on the number of days of such fiscal year that such named executive officer provided services to the Company; and (iii) up to twelve months of COBRA premiums reimbursements.</w:t>
      </w:r>
    </w:p>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Upon the termination of Dr. Crystal’s or Dr. Fisher’s service relationship by the company without cause or upon such named executive officer’s resignation from the company for good reason, in either case within 12 months after the occurrence of a change in control, subject to the execution of an effective release of claims in favor of the company, such named executive officer will be entitled to the following severance benefits: (i) a lump sum payment equal to 12 months of his then current base salary or the base salary in effect immediately prior to the change in control, if higher; (ii) an amount equal to his annual target bonus for the then-current year or his target bonus immediately prior to the change in control, if higher; (iii) up to 12 months of COBRA premiums reimbursements; and (iv) immediate acceleration of all stock options and other stock-based awards held by such named executive officer.</w:t>
      </w:r>
    </w:p>
    <w:p>
      <w:pPr>
        <w:spacing w:after="0" w:line="12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each of Dr. Crystal and Dr. Fisher has entered into an agreement with us that contains protections of confidential information, requires the assignment of inventions and contains other restrictive covenants.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Stock Option and Grant Plan</w:t>
      </w:r>
    </w:p>
    <w:p>
      <w:pPr>
        <w:spacing w:after="0" w:line="3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2015 Plan was approved by our board of directors and our stockholders on December 28, 2015 and was most recently amended by our board of directors in May 19, 2020 and approved by our stockholders in June 3, 2020. Under our 2015 Plan, we have reserved for issuance an aggregate of 5,058,202 shares of our common stock as of June 30, 2020, which number is subject to adjustment in the event of a reorganization, stock split, reverse stock split, stock dividend, recapitalization, reclassification or other similar change in capitalization or event.</w:t>
      </w:r>
    </w:p>
    <w:p>
      <w:pPr>
        <w:spacing w:after="0" w:line="11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shares of common stock underlying any awards that are forfeited, cancelled, reacquired by us prior to vesting, satisfied without the issuance of common stock or otherwise terminated (other than by exercise) and shares that are withheld upon exercise of an option or settlement of an award to cover the exercise price or tax withholding under our 2015 Plan are currently added to the shares of common stock available for issuance under our 2015 Plan.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Following this offering, these types of shares will be added to the shares available under our 2020 Plan, which is described below.</w:t>
      </w:r>
    </w:p>
    <w:p>
      <w:pPr>
        <w:spacing w:after="0" w:line="130"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Our compensation committee has acted as administrator of our 2015 Plan. The administrator has full power to select, from among the individuals eligible for awards, the individuals to whom awards will be granted and to determine the specific terms and conditions of each award, subject to the provisions of our 2015 Plan. Persons eligible to participate in our 2015 Plan are our full or part-time officers, employees, directors, consultants and other key persons as selected from time to time by the administrator in its discretion.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Our 2015 Plan permits the granting of (1) options to purchase common stock intended to qualify as incentive stock options under Section 422 of the Code and (2) options that do not so qualify. The option exercise price of each option is determined by the administrator but may not be less than 100% of the fair market value of the common stock on the date of grant. The term of each option is fixed by the administrator and may not exceed ten years from the date of grant. The administrator determines at what time or times each option may be exercised. In addition, our 2015 Plan permits the granting of restricted shares of common stock, unrestricted shares of common stock and restricted stock units.</w:t>
      </w:r>
    </w:p>
    <w:p>
      <w:pPr>
        <w:spacing w:after="0" w:line="11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2015 Plan provides that upon the occurrence of a “sale event,” as defined in our 2015 Plan, all outstanding stock options will terminate at the effective time of such sale event, unless the parties to the sale event agree that such awards will be assumed or continued by the successor entity. In the event of a termination of our 2015 Plan and all options issued thereunder in connection with a sale event, optionees will be provided an opportunity to exercise options that are then exercisable or will become exercisable as of the effective time of the sale event prior to the consummation of the sale event. In addition, we have the right to provide for cash payment to holders of options, in exchange for the cancellation thereof, in an amount equal to the difference between the value of the consideration payable per share of common stock in the sale event and the per share exercise price of such options, multiplied by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00"/>
          </w:cols>
          <w:pgMar w:left="320" w:top="454" w:right="37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number of shares subject to such option to the extent then vested and exercisable. In the event of and subject to the consummation of a sale event, unvested restricted stock and restricted stock units (other than those becoming vested as a result of the sale event) will be forfeited immediately prior to the effective time of a sale event unless such awards are assumed or continued by the successor entity. If shares of restricted stock are forfeited in connection with a sale event, those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120"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The board of directors may amend or discontinue the 2015 Plan at any time, subject to stockholder approval where required by applicable law. The administrator of the 2015 Plan may also amend or cancel any outstanding award, provided that no amendment to an award may adversely affect a participant’s rights without his or her consent. The administrator of the 2015 Plan is specifically authorized to exercise its discretion to reduce the exercise price of outstanding stock options or effect the repricing of such awards through cancellation and re-grants.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No awards may be granted under our 2015 Plan after the date that is ten years from the date our 2015 Plan was adopted by 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has determined not to make any further awards under our 2015 Plan following the completion of this offering.</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Stock Option and Incentive Plan</w:t>
      </w:r>
    </w:p>
    <w:p>
      <w:pPr>
        <w:spacing w:after="0" w:line="39"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Our 2020 Stock Option and Incentive Plan, or 2020 Plan, was adopted by our board of directors on September 8, 2020 and approved by our stockholders on September 23, 2020 and will become effective on the day immediately prior to the effective date of our registration statement related to this offering. The 2020 Plan will replace the 2015 Plan, as our board of directors is expected to determine not to make additional awards under the 2015 Plan following the completion of our initial public offering. However, the 2015 Plan will continue to govern outstanding equity awards granted thereunder. The 2020 Plan will allow the compensation committee to make equity-based incentive awards to our officers, employees, directors and other key persons, including consultants.</w:t>
      </w:r>
    </w:p>
    <w:p>
      <w:pPr>
        <w:spacing w:after="0" w:line="12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 total of 6,567,144 shares of our common stock will be initially reserved for the issuance of awards under the 2020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provides that the number of shares reserved and available for issuance under the 2020 Plan will automatically increase each January 1, beginning on January 1, 2021, by the lesser of 5% of the outstanding number of shares of our common stock on the immediately preceding December 31 or such lesser number of shares as determined by the administrator of the 2020 Plan. This number will be subject to adjustment in the event of a stock split, stock dividend or other change in our capitalization. The shares we issue under the 2020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2020 Plan and the 2015 Plan will be added back to the shares of common stock available for issuance under the 2020 Plan. The maximum number of shares of common stock that may be issued as incentive stock options in any one calendar year period may not exceed 6,567,144 shares, cumulatively increased on January 1, 2021 and on each January 1 thereafter by the lesser of 5% of the number of outstanding shares of common stock as of the immediately preceding December 31, or 6,567,144 shares.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6"/>
          <w:szCs w:val="16"/>
          <w:i w:val="1"/>
          <w:iCs w:val="1"/>
          <w:color w:val="auto"/>
        </w:rPr>
        <w:t>Non-Employee Director Limit</w:t>
      </w:r>
      <w:r>
        <w:rPr>
          <w:rFonts w:ascii="Arial" w:cs="Arial" w:eastAsia="Arial" w:hAnsi="Arial"/>
          <w:sz w:val="16"/>
          <w:szCs w:val="16"/>
          <w:color w:val="auto"/>
        </w:rPr>
        <w:t>. Our 2020 Plan contains a limitation whereby the value of all awards under our 2020 Plan and all other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paid by us to any non-employee director during any one calendar year may not exceed $750,000, provided, however, that such amount shall be $1,500,000 for the calendar year in which the applicable non-employee director is initially elected or appointed to our board of directors.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2020 Plan will be administered by our compensation committee. Our compensation committee will have full power to select,</w:t>
      </w:r>
      <w:r>
        <w:rPr>
          <w:rFonts w:ascii="Arial" w:cs="Arial" w:eastAsia="Arial" w:hAnsi="Arial"/>
          <w:sz w:val="17"/>
          <w:szCs w:val="17"/>
          <w:i w:val="1"/>
          <w:iCs w:val="1"/>
          <w:color w:val="auto"/>
        </w:rPr>
        <w:t xml:space="preserve"> </w:t>
      </w:r>
      <w:r>
        <w:rPr>
          <w:rFonts w:ascii="Arial" w:cs="Arial" w:eastAsia="Arial" w:hAnsi="Arial"/>
          <w:sz w:val="17"/>
          <w:szCs w:val="17"/>
          <w:color w:val="auto"/>
        </w:rPr>
        <w:t>from among the individuals eligible for awards, the individuals to whom awards will be granted, to make any combination of awards to participants and to determine the specific terms and conditions of each award, subject to the provisions of the 2020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20"/>
          </w:cols>
          <w:pgMar w:left="320" w:top="454"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Persons eligible to participate in the 2020 Plan will be those employees, non-employee directors and consultants selected from time to time</w:t>
      </w:r>
      <w:r>
        <w:rPr>
          <w:rFonts w:ascii="Arial" w:cs="Arial" w:eastAsia="Arial" w:hAnsi="Arial"/>
          <w:sz w:val="17"/>
          <w:szCs w:val="17"/>
          <w:i w:val="1"/>
          <w:iCs w:val="1"/>
          <w:color w:val="auto"/>
        </w:rPr>
        <w:t xml:space="preserve"> </w:t>
      </w:r>
      <w:r>
        <w:rPr>
          <w:rFonts w:ascii="Arial" w:cs="Arial" w:eastAsia="Arial" w:hAnsi="Arial"/>
          <w:sz w:val="17"/>
          <w:szCs w:val="17"/>
          <w:color w:val="auto"/>
        </w:rPr>
        <w:t>by our compensation committee in its discretion.</w:t>
      </w:r>
    </w:p>
    <w:p>
      <w:pPr>
        <w:spacing w:after="0" w:line="9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2020 Plan permits the granting of both options to purchase common stock intended to qualify as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422 of the Code and options that do not so qualify. The option exercise price of each option will be determined by our compensation committee but may not be less than 100% of the fair market value of our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Our compensation committee may award stock appreciation rights subject to such conditions and restrictions as it may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Stock appreciation rights entitle the recipient to shares of common stock or cash,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 xml:space="preserve">Restricted Stock and Restricted Stock Units. </w:t>
      </w:r>
      <w:r>
        <w:rPr>
          <w:rFonts w:ascii="Arial" w:cs="Arial" w:eastAsia="Arial" w:hAnsi="Arial"/>
          <w:sz w:val="17"/>
          <w:szCs w:val="17"/>
          <w:color w:val="auto"/>
        </w:rPr>
        <w:t>Our compensation committee may award restricted shares of common stock and restricted stock units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subject to such conditions and restrictions as it may determine. These conditions and restrictions may include the achievement of certain performance goals and/or continued employment or other service relationship with us through a specified vesting period.</w:t>
      </w:r>
    </w:p>
    <w:p>
      <w:pPr>
        <w:spacing w:after="0" w:line="111"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i w:val="1"/>
          <w:iCs w:val="1"/>
          <w:color w:val="auto"/>
        </w:rPr>
        <w:t xml:space="preserve">Unrestricted Stock Awards. </w:t>
      </w:r>
      <w:r>
        <w:rPr>
          <w:rFonts w:ascii="Arial" w:cs="Arial" w:eastAsia="Arial" w:hAnsi="Arial"/>
          <w:sz w:val="17"/>
          <w:szCs w:val="17"/>
          <w:color w:val="auto"/>
        </w:rPr>
        <w:t>Our compensation committee may grant shares of common stock that are free from any restrictions under the 2020 Plan.</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stock may be granted to participants in recognition of past services or for other valid consideration and may be issued in lieu of cash compensation due to such participant.</w:t>
      </w:r>
    </w:p>
    <w:p>
      <w:pPr>
        <w:spacing w:after="0" w:line="111"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Our compensation committee may grant dividend equivalent rights to participants that entitle the recipient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credits for dividends that would be paid if the recipient had held a specified number of shares of common stock.</w:t>
      </w:r>
    </w:p>
    <w:p>
      <w:pPr>
        <w:spacing w:after="0" w:line="94"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i w:val="1"/>
          <w:iCs w:val="1"/>
          <w:color w:val="auto"/>
        </w:rPr>
        <w:t>Cash</w:t>
      </w:r>
      <w:r>
        <w:rPr>
          <w:rFonts w:ascii="Arial" w:cs="Arial" w:eastAsia="Arial" w:hAnsi="Arial"/>
          <w:sz w:val="17"/>
          <w:szCs w:val="17"/>
          <w:color w:val="auto"/>
        </w:rPr>
        <w:t>-</w:t>
      </w:r>
      <w:r>
        <w:rPr>
          <w:rFonts w:ascii="Arial" w:cs="Arial" w:eastAsia="Arial" w:hAnsi="Arial"/>
          <w:sz w:val="17"/>
          <w:szCs w:val="17"/>
          <w:i w:val="1"/>
          <w:iCs w:val="1"/>
          <w:color w:val="auto"/>
        </w:rPr>
        <w:t xml:space="preserve">Based Awards. </w:t>
      </w:r>
      <w:r>
        <w:rPr>
          <w:rFonts w:ascii="Arial" w:cs="Arial" w:eastAsia="Arial" w:hAnsi="Arial"/>
          <w:sz w:val="17"/>
          <w:szCs w:val="17"/>
          <w:color w:val="auto"/>
        </w:rPr>
        <w:t>Our compensation committee may grant cash bonuses under the 2020 Plan to participants, subject to the achievement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performance goals.</w:t>
      </w:r>
    </w:p>
    <w:p>
      <w:pPr>
        <w:spacing w:after="0" w:line="94" w:lineRule="exact"/>
        <w:rPr>
          <w:sz w:val="20"/>
          <w:szCs w:val="20"/>
          <w:color w:val="auto"/>
        </w:rPr>
      </w:pPr>
    </w:p>
    <w:p>
      <w:pPr>
        <w:spacing w:after="0" w:line="233"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The 2020 Plan provides that upon the effectiveness of a “sale event,” as defined in the 2020 Plan, an acquirer or successor entity may</w:t>
      </w:r>
      <w:r>
        <w:rPr>
          <w:rFonts w:ascii="Arial" w:cs="Arial" w:eastAsia="Arial" w:hAnsi="Arial"/>
          <w:sz w:val="17"/>
          <w:szCs w:val="17"/>
          <w:i w:val="1"/>
          <w:iCs w:val="1"/>
          <w:color w:val="auto"/>
        </w:rPr>
        <w:t xml:space="preserve"> </w:t>
      </w:r>
      <w:r>
        <w:rPr>
          <w:rFonts w:ascii="Arial" w:cs="Arial" w:eastAsia="Arial" w:hAnsi="Arial"/>
          <w:sz w:val="17"/>
          <w:szCs w:val="17"/>
          <w:color w:val="auto"/>
        </w:rPr>
        <w:t>assume, continue or substitute for the outstanding awards under the 2020 Plan. To the extent that awards granted under the 2020 Plan are not assumed or continued or substituted by the successor entity, the 2020 Plan and all awards granted under the 2020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any options and stock appreciation rights (to the extent exercisable) they then hold within a specified time period, as determined by the compensation committee, prior to the sale event. In addition, in connection with the termination of the 2020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 provided, that any options or stock appreciation rights with exercise prices equal to or greater than such per share cash consideration will be cancelled for no consideration. We may also make or provide for a payment, in cash or in kind, to the participants holding other awards in an amount equal to the per share cash consideration payable to stockholders in the sale event multiplied by the number of vested shares of common stock under such awards.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00"/>
          </w:cols>
          <w:pgMar w:left="320" w:top="454" w:right="37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Our board of directors may amend or discontinue the 2020 Plan and our compensation committee can amend or cancel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awards for purposes of satisfying changes in law or any other lawful purpose, but no such action may adversely and materially affect rights under an award without the holder’s consent. Certain amendments to the 2020 Plan or the terms of outstanding options or stock appreciation rights will require the approval of our stockholders.</w:t>
      </w:r>
    </w:p>
    <w:p>
      <w:pPr>
        <w:spacing w:after="0" w:line="118"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No awards may be granted under the 2020 Plan after the date that is 10 years from the date on which the 2020 Plan became effective. No awards under the 2020 Plan have been made prior to the date hereof.</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3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Our 2020 ESPP was adopted by our board of directors on September 8, 2020, approved by our stockholders on September 23, 2020 and will become effective on the day immediately before the effective date of our registration statement of which this prospectus forms a part. The 2020 ESPP is intended to qualify as an “employee stock purchase plan” within the meaning of Section 423 of the Code. The 2020 ESPP initially reserves and authorizes the issuance of up to a total of 437,809 shares of common stock to participating employees. The 2020 ESPP provides that the number of shares reserved and available for issuance will automatically increase on January 1, 2021 and each January 1 thereafter through January 1, 2030, by the least of (i) 656,714 shares of common stock, (ii) 1% of the outstanding number of shares of our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our capitalization.</w:t>
      </w:r>
    </w:p>
    <w:p>
      <w:pPr>
        <w:spacing w:after="0" w:line="12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All employees whose customary employment is for more than 20 hours per week and who have completed at least 30 days of employment are eligible to participate in the ESPP. However, any employee who owns 5% or more of the total combined voting power or value of all classes of stock will not be eligible to purchase shares under the 2020 ESPP.</w:t>
      </w:r>
    </w:p>
    <w:p>
      <w:pPr>
        <w:spacing w:after="0" w:line="111"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We may make one or more offerings each year to our employees to purchase shares under the ESPP. Offerings will usually begin on each January 1 and July 1 and will continue for six-month periods, referred to as offering periods. Each eligible employee may elect to participate in any offering by submitting an enrollment form at least 15 business days before the relevant offering date.</w:t>
      </w:r>
    </w:p>
    <w:p>
      <w:pPr>
        <w:spacing w:after="0" w:line="11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Each employee who is a participant in the 2020 ESPP may purchase shares by authorizing payroll deductions of up to 15% of his or her eligible compensation during an offering period. Unless the participating employee has previously withdrawn from the offering, his or her accumulated payroll deductions will be used to purchase shares of common stock on the last business day of the offering period at a price equal to 85% of the fair market value of the shares on the first business day or the last business day of the offering period, whichever is lower, provided that no more than $25,000 in shares of common stock may be purchased by any one employee during any offering period. Under applicable tax rules, an employee may purchase no more than $25,000 worth of shares of common stock, valued at the start of the purchase period, under the ESPP in any calendar year.</w:t>
      </w:r>
    </w:p>
    <w:p>
      <w:pPr>
        <w:spacing w:after="0" w:line="106" w:lineRule="exact"/>
        <w:rPr>
          <w:sz w:val="20"/>
          <w:szCs w:val="20"/>
          <w:color w:val="auto"/>
        </w:rPr>
      </w:pPr>
    </w:p>
    <w:p>
      <w:pPr>
        <w:jc w:val="both"/>
        <w:ind w:right="320"/>
        <w:spacing w:after="0" w:line="303"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the 2020 ESPP terminate upon voluntary withdrawal from the plan or when the employee ceases employment with us for any reason.</w:t>
      </w:r>
    </w:p>
    <w:p>
      <w:pPr>
        <w:spacing w:after="0" w:line="70" w:lineRule="exact"/>
        <w:rPr>
          <w:sz w:val="20"/>
          <w:szCs w:val="20"/>
          <w:color w:val="auto"/>
        </w:rPr>
      </w:pPr>
    </w:p>
    <w:p>
      <w:pPr>
        <w:ind w:right="680"/>
        <w:spacing w:after="0" w:line="271" w:lineRule="auto"/>
        <w:rPr>
          <w:sz w:val="20"/>
          <w:szCs w:val="20"/>
          <w:color w:val="auto"/>
        </w:rPr>
      </w:pPr>
      <w:r>
        <w:rPr>
          <w:rFonts w:ascii="Arial" w:cs="Arial" w:eastAsia="Arial" w:hAnsi="Arial"/>
          <w:sz w:val="17"/>
          <w:szCs w:val="17"/>
          <w:color w:val="auto"/>
        </w:rPr>
        <w:t>The 2020 ESPP may be terminated or amended by our board of directors at any time. An amendment that increases the number of shares of common stock authorized under the 2020 ESPP and certain other amendments require the approval of our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Executive Cash Incentive Bonus Plan</w:t>
      </w:r>
    </w:p>
    <w:p>
      <w:pPr>
        <w:spacing w:after="0" w:line="39"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On September 8, 2020, our board of directors adopted the Senior Executive Cash Incentive Bonus Plan, or the Bonus Plan. The Bonus Plan will be administered by our compensation committee and become effective on the day the registration statement of which this prospectus is part is declared effective by the SEC.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40"/>
          </w:cols>
          <w:pgMar w:left="320" w:top="454"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compensation committee may select corporate performance goals from among the following: cash flow (including, but not limited to, operating cash flow and free cash flow); research and development, publication, clinical, collaboration and/or regulatory milestones; revenue; corporate revenue; earnings before interest, taxes, depreciation and amortization; net income (loss) (either before or after interest, taxes, depreciation and/or amortization); changes in the market price of our common stock; economic value added; acquisitions, licenses or strategic transactions; financing or other capital raising transactions; operating income (loss); return on capital, assets, equity or investment; stockholder returns; return on sales; gross or net profit levels; productivity; expense efficiency; margins; operating efficiency; customer satisfaction; working capital; earnings (loss) per share of our common stock; bookings, new bookings or renewals; sales or market shares; number of customers, number of new customers or customer references;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1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calculated in accordance with our financial statements, generally accepted accounting principles or under a methodology established by our compensation committee at the beginning of the performance period and which is consistently applied with respect to a corporate performance goal in the relevant performance period. The compensation committee will measure the corporate performance goals after our financial reports for the applicable performance period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39"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We maintain a 401(k) retirement savings, or 401(k) plan, plan to eligible employees, including our named executive officers. In accordance with this plan, all eligible employees may contribute a percentage of compensation up to a maximum of the statutory limits per year.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We made matching contributions for each employee equal to 100% of employee contributions, up to $6,000 per employee, during the year ended December 31, 2019. The 401(k) plan is intended to qualify, depending on the employee’s election, under Section 401(a) and 501(a) of the Code, so that contributions by employees, and income earned on those contributions, are not taxable to employees until withdrawn from the 401(k) plan.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39" w:lineRule="exact"/>
        <w:rPr>
          <w:sz w:val="20"/>
          <w:szCs w:val="20"/>
          <w:color w:val="auto"/>
        </w:rPr>
      </w:pPr>
    </w:p>
    <w:p>
      <w:pPr>
        <w:ind w:right="860"/>
        <w:spacing w:after="0" w:line="244" w:lineRule="auto"/>
        <w:rPr>
          <w:sz w:val="20"/>
          <w:szCs w:val="20"/>
          <w:color w:val="auto"/>
        </w:rPr>
      </w:pPr>
      <w:r>
        <w:rPr>
          <w:rFonts w:ascii="Arial" w:cs="Arial" w:eastAsia="Arial" w:hAnsi="Arial"/>
          <w:sz w:val="17"/>
          <w:szCs w:val="17"/>
          <w:color w:val="auto"/>
        </w:rPr>
        <w:t xml:space="preserve">We have agreed to indemnify our directors and executive officers in certain circumstances. See </w:t>
      </w:r>
      <w:r>
        <w:rPr>
          <w:rFonts w:ascii="Arial" w:cs="Arial" w:eastAsia="Arial" w:hAnsi="Arial"/>
          <w:sz w:val="17"/>
          <w:szCs w:val="17"/>
          <w:i w:val="1"/>
          <w:iCs w:val="1"/>
          <w:color w:val="auto"/>
        </w:rPr>
        <w:t>“Management—Limitations on Liability and</w:t>
      </w:r>
      <w:r>
        <w:rPr>
          <w:rFonts w:ascii="Arial" w:cs="Arial" w:eastAsia="Arial" w:hAnsi="Arial"/>
          <w:sz w:val="17"/>
          <w:szCs w:val="17"/>
          <w:color w:val="auto"/>
        </w:rPr>
        <w:t xml:space="preserve"> </w:t>
      </w:r>
      <w:r>
        <w:rPr>
          <w:rFonts w:ascii="Arial" w:cs="Arial" w:eastAsia="Arial" w:hAnsi="Arial"/>
          <w:sz w:val="17"/>
          <w:szCs w:val="17"/>
          <w:i w:val="1"/>
          <w:iCs w:val="1"/>
          <w:color w:val="auto"/>
        </w:rPr>
        <w:t>Indemnification Agreements.”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40"/>
          </w:cols>
          <w:pgMar w:left="320" w:top="454"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w:t>
      </w:r>
    </w:p>
    <w:p>
      <w:pPr>
        <w:spacing w:after="0" w:line="311"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following summarizes the compensation earned by our non-employee directors during the year ended December 31, 2019. Directors who also serve as employees received no additional compensation for their service as directors. We reimburse non-employee members of our board of directors for reasonable travel and out-of-pocket expenses incurred in attending meetings of our board of directors and committees of our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335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420" w:type="dxa"/>
            <w:vAlign w:val="bottom"/>
            <w:vMerge w:val="restart"/>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FEES EARNED OR</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40" w:type="dxa"/>
            <w:vAlign w:val="bottom"/>
            <w:tcBorders>
              <w:bottom w:val="single" w:sz="8" w:color="auto"/>
            </w:tcBorders>
            <w:vMerge w:val="continue"/>
          </w:tcPr>
          <w:p>
            <w:pPr>
              <w:spacing w:after="0"/>
              <w:rPr>
                <w:sz w:val="15"/>
                <w:szCs w:val="15"/>
                <w:color w:val="auto"/>
              </w:rPr>
            </w:pPr>
          </w:p>
        </w:tc>
        <w:tc>
          <w:tcPr>
            <w:tcW w:w="8420" w:type="dxa"/>
            <w:vAlign w:val="bottom"/>
            <w:vMerge w:val="continue"/>
          </w:tcPr>
          <w:p>
            <w:pPr>
              <w:spacing w:after="0"/>
              <w:rPr>
                <w:sz w:val="15"/>
                <w:szCs w:val="15"/>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 ($)</w:t>
            </w:r>
          </w:p>
        </w:tc>
        <w:tc>
          <w:tcPr>
            <w:tcW w:w="5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60" w:type="dxa"/>
            <w:vAlign w:val="bottom"/>
            <w:tcBorders>
              <w:top w:val="single" w:sz="8" w:color="CCEEFF"/>
            </w:tcBorders>
            <w:gridSpan w:val="2"/>
            <w:shd w:val="clear" w:color="auto" w:fill="CCEEFF"/>
          </w:tcPr>
          <w:p>
            <w:pPr>
              <w:spacing w:after="0" w:line="174" w:lineRule="exact"/>
              <w:rPr>
                <w:sz w:val="20"/>
                <w:szCs w:val="20"/>
                <w:color w:val="auto"/>
              </w:rPr>
            </w:pPr>
            <w:r>
              <w:rPr>
                <w:rFonts w:ascii="Arial" w:cs="Arial" w:eastAsia="Arial" w:hAnsi="Arial"/>
                <w:sz w:val="17"/>
                <w:szCs w:val="17"/>
                <w:color w:val="auto"/>
              </w:rPr>
              <w:t xml:space="preserve">Marc A. Cohen </w:t>
            </w:r>
            <w:r>
              <w:rPr>
                <w:rFonts w:ascii="Arial" w:cs="Arial" w:eastAsia="Arial" w:hAnsi="Arial"/>
                <w:sz w:val="14"/>
                <w:szCs w:val="14"/>
                <w:color w:val="auto"/>
              </w:rPr>
              <w:t>(1)</w:t>
            </w:r>
          </w:p>
        </w:tc>
        <w:tc>
          <w:tcPr>
            <w:tcW w:w="128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65,000</w:t>
            </w:r>
          </w:p>
        </w:tc>
        <w:tc>
          <w:tcPr>
            <w:tcW w:w="4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60"/>
              <w:spacing w:after="0" w:line="174" w:lineRule="exact"/>
              <w:rPr>
                <w:sz w:val="20"/>
                <w:szCs w:val="20"/>
                <w:color w:val="auto"/>
              </w:rPr>
            </w:pPr>
            <w:r>
              <w:rPr>
                <w:rFonts w:ascii="Arial" w:cs="Arial" w:eastAsia="Arial" w:hAnsi="Arial"/>
                <w:sz w:val="17"/>
                <w:szCs w:val="17"/>
                <w:color w:val="auto"/>
                <w:w w:val="92"/>
              </w:rPr>
              <w:t>65,000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86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Kenneth C. Anderson, M.D. </w:t>
            </w:r>
            <w:r>
              <w:rPr>
                <w:rFonts w:ascii="Arial" w:cs="Arial" w:eastAsia="Arial" w:hAnsi="Arial"/>
                <w:sz w:val="14"/>
                <w:szCs w:val="14"/>
                <w:color w:val="auto"/>
              </w:rPr>
              <w:t>(2)</w:t>
            </w:r>
          </w:p>
        </w:tc>
        <w:tc>
          <w:tcPr>
            <w:tcW w:w="1760" w:type="dxa"/>
            <w:vAlign w:val="bottom"/>
            <w:gridSpan w:val="2"/>
          </w:tcPr>
          <w:p>
            <w:pPr>
              <w:jc w:val="right"/>
              <w:ind w:right="480"/>
              <w:spacing w:after="0" w:line="187" w:lineRule="exact"/>
              <w:rPr>
                <w:sz w:val="20"/>
                <w:szCs w:val="20"/>
                <w:color w:val="auto"/>
              </w:rPr>
            </w:pPr>
            <w:r>
              <w:rPr>
                <w:rFonts w:ascii="Arial" w:cs="Arial" w:eastAsia="Arial" w:hAnsi="Arial"/>
                <w:sz w:val="17"/>
                <w:szCs w:val="17"/>
                <w:color w:val="auto"/>
              </w:rPr>
              <w:t>25,000</w:t>
            </w:r>
          </w:p>
        </w:tc>
        <w:tc>
          <w:tcPr>
            <w:tcW w:w="620" w:type="dxa"/>
            <w:vAlign w:val="bottom"/>
            <w:gridSpan w:val="2"/>
          </w:tcPr>
          <w:p>
            <w:pPr>
              <w:ind w:left="60"/>
              <w:spacing w:after="0" w:line="187" w:lineRule="exact"/>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4"/>
        </w:trPr>
        <w:tc>
          <w:tcPr>
            <w:tcW w:w="886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Bihua Chen   *</w:t>
            </w:r>
          </w:p>
        </w:tc>
        <w:tc>
          <w:tcPr>
            <w:tcW w:w="1760" w:type="dxa"/>
            <w:vAlign w:val="bottom"/>
            <w:gridSpan w:val="2"/>
            <w:shd w:val="clear" w:color="auto" w:fill="CCEEFF"/>
          </w:tcPr>
          <w:p>
            <w:pPr>
              <w:jc w:val="right"/>
              <w:ind w:right="480"/>
              <w:spacing w:after="0" w:line="4" w:lineRule="exact"/>
              <w:rPr>
                <w:sz w:val="20"/>
                <w:szCs w:val="20"/>
                <w:color w:val="auto"/>
              </w:rPr>
            </w:pPr>
            <w:r>
              <w:rPr>
                <w:rFonts w:ascii="Arial" w:cs="Arial" w:eastAsia="Arial" w:hAnsi="Arial"/>
                <w:sz w:val="1"/>
                <w:szCs w:val="1"/>
                <w:color w:val="auto"/>
              </w:rPr>
              <w:t>25,000</w:t>
            </w:r>
          </w:p>
        </w:tc>
        <w:tc>
          <w:tcPr>
            <w:tcW w:w="620" w:type="dxa"/>
            <w:vAlign w:val="bottom"/>
            <w:gridSpan w:val="2"/>
            <w:shd w:val="clear" w:color="auto" w:fill="CCEEFF"/>
          </w:tcPr>
          <w:p>
            <w:pPr>
              <w:ind w:left="60"/>
              <w:spacing w:after="0" w:line="4" w:lineRule="exact"/>
              <w:rPr>
                <w:sz w:val="20"/>
                <w:szCs w:val="20"/>
                <w:color w:val="auto"/>
              </w:rPr>
            </w:pPr>
            <w:r>
              <w:rPr>
                <w:rFonts w:ascii="Arial" w:cs="Arial" w:eastAsia="Arial" w:hAnsi="Arial"/>
                <w:sz w:val="1"/>
                <w:szCs w:val="1"/>
                <w:color w:val="auto"/>
              </w:rPr>
              <w:t>25,000</w:t>
            </w:r>
          </w:p>
        </w:tc>
        <w:tc>
          <w:tcPr>
            <w:tcW w:w="0" w:type="dxa"/>
            <w:vAlign w:val="bottom"/>
          </w:tcPr>
          <w:p>
            <w:pPr>
              <w:spacing w:after="0" w:line="20" w:lineRule="exact"/>
              <w:rPr>
                <w:sz w:val="1"/>
                <w:szCs w:val="1"/>
                <w:color w:val="auto"/>
              </w:rPr>
            </w:pPr>
          </w:p>
        </w:tc>
      </w:tr>
      <w:tr>
        <w:trPr>
          <w:trHeight w:val="184"/>
        </w:trPr>
        <w:tc>
          <w:tcPr>
            <w:tcW w:w="88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(3)</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86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Alain J. Cohen </w:t>
            </w:r>
            <w:r>
              <w:rPr>
                <w:rFonts w:ascii="Arial" w:cs="Arial" w:eastAsia="Arial" w:hAnsi="Arial"/>
                <w:sz w:val="14"/>
                <w:szCs w:val="14"/>
                <w:color w:val="auto"/>
              </w:rPr>
              <w:t>(4)</w:t>
            </w:r>
          </w:p>
        </w:tc>
        <w:tc>
          <w:tcPr>
            <w:tcW w:w="1760" w:type="dxa"/>
            <w:vAlign w:val="bottom"/>
            <w:gridSpan w:val="2"/>
          </w:tcPr>
          <w:p>
            <w:pPr>
              <w:jc w:val="right"/>
              <w:ind w:right="480"/>
              <w:spacing w:after="0" w:line="187" w:lineRule="exact"/>
              <w:rPr>
                <w:sz w:val="20"/>
                <w:szCs w:val="20"/>
                <w:color w:val="auto"/>
              </w:rPr>
            </w:pPr>
            <w:r>
              <w:rPr>
                <w:rFonts w:ascii="Arial" w:cs="Arial" w:eastAsia="Arial" w:hAnsi="Arial"/>
                <w:sz w:val="17"/>
                <w:szCs w:val="17"/>
                <w:color w:val="auto"/>
              </w:rPr>
              <w:t>30,000</w:t>
            </w:r>
          </w:p>
        </w:tc>
        <w:tc>
          <w:tcPr>
            <w:tcW w:w="620" w:type="dxa"/>
            <w:vAlign w:val="bottom"/>
            <w:gridSpan w:val="2"/>
          </w:tcPr>
          <w:p>
            <w:pPr>
              <w:ind w:left="60"/>
              <w:spacing w:after="0" w:line="187" w:lineRule="exact"/>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87"/>
        </w:trPr>
        <w:tc>
          <w:tcPr>
            <w:tcW w:w="886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Bruce Downey </w:t>
            </w:r>
            <w:r>
              <w:rPr>
                <w:rFonts w:ascii="Arial" w:cs="Arial" w:eastAsia="Arial" w:hAnsi="Arial"/>
                <w:sz w:val="14"/>
                <w:szCs w:val="14"/>
                <w:color w:val="auto"/>
              </w:rPr>
              <w:t>(5)</w:t>
            </w:r>
          </w:p>
        </w:tc>
        <w:tc>
          <w:tcPr>
            <w:tcW w:w="1760" w:type="dxa"/>
            <w:vAlign w:val="bottom"/>
            <w:gridSpan w:val="2"/>
            <w:shd w:val="clear" w:color="auto" w:fill="CCEEFF"/>
          </w:tcPr>
          <w:p>
            <w:pPr>
              <w:jc w:val="right"/>
              <w:ind w:right="480"/>
              <w:spacing w:after="0" w:line="187" w:lineRule="exact"/>
              <w:rPr>
                <w:sz w:val="20"/>
                <w:szCs w:val="20"/>
                <w:color w:val="auto"/>
              </w:rPr>
            </w:pPr>
            <w:r>
              <w:rPr>
                <w:rFonts w:ascii="Arial" w:cs="Arial" w:eastAsia="Arial" w:hAnsi="Arial"/>
                <w:sz w:val="17"/>
                <w:szCs w:val="17"/>
                <w:color w:val="auto"/>
              </w:rPr>
              <w:t>35,000</w:t>
            </w:r>
          </w:p>
        </w:tc>
        <w:tc>
          <w:tcPr>
            <w:tcW w:w="620" w:type="dxa"/>
            <w:vAlign w:val="bottom"/>
            <w:gridSpan w:val="2"/>
            <w:shd w:val="clear" w:color="auto" w:fill="CCEEFF"/>
          </w:tcPr>
          <w:p>
            <w:pPr>
              <w:ind w:left="60"/>
              <w:spacing w:after="0" w:line="187" w:lineRule="exact"/>
              <w:rPr>
                <w:sz w:val="20"/>
                <w:szCs w:val="20"/>
                <w:color w:val="auto"/>
              </w:rPr>
            </w:pPr>
            <w:r>
              <w:rPr>
                <w:rFonts w:ascii="Arial" w:cs="Arial" w:eastAsia="Arial" w:hAnsi="Arial"/>
                <w:sz w:val="17"/>
                <w:szCs w:val="17"/>
                <w:color w:val="auto"/>
              </w:rPr>
              <w:t>35,000</w:t>
            </w:r>
          </w:p>
        </w:tc>
        <w:tc>
          <w:tcPr>
            <w:tcW w:w="0" w:type="dxa"/>
            <w:vAlign w:val="bottom"/>
          </w:tcPr>
          <w:p>
            <w:pPr>
              <w:spacing w:after="0"/>
              <w:rPr>
                <w:sz w:val="1"/>
                <w:szCs w:val="1"/>
                <w:color w:val="auto"/>
              </w:rPr>
            </w:pPr>
          </w:p>
        </w:tc>
      </w:tr>
      <w:tr>
        <w:trPr>
          <w:trHeight w:val="187"/>
        </w:trPr>
        <w:tc>
          <w:tcPr>
            <w:tcW w:w="886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Glenn Dubin </w:t>
            </w:r>
            <w:r>
              <w:rPr>
                <w:rFonts w:ascii="Arial" w:cs="Arial" w:eastAsia="Arial" w:hAnsi="Arial"/>
                <w:sz w:val="14"/>
                <w:szCs w:val="14"/>
                <w:color w:val="auto"/>
              </w:rPr>
              <w:t>(6)</w:t>
            </w:r>
          </w:p>
        </w:tc>
        <w:tc>
          <w:tcPr>
            <w:tcW w:w="1760" w:type="dxa"/>
            <w:vAlign w:val="bottom"/>
            <w:gridSpan w:val="2"/>
          </w:tcPr>
          <w:p>
            <w:pPr>
              <w:jc w:val="right"/>
              <w:ind w:right="480"/>
              <w:spacing w:after="0" w:line="187" w:lineRule="exact"/>
              <w:rPr>
                <w:sz w:val="20"/>
                <w:szCs w:val="20"/>
                <w:color w:val="auto"/>
              </w:rPr>
            </w:pPr>
            <w:r>
              <w:rPr>
                <w:rFonts w:ascii="Arial" w:cs="Arial" w:eastAsia="Arial" w:hAnsi="Arial"/>
                <w:sz w:val="17"/>
                <w:szCs w:val="17"/>
                <w:color w:val="auto"/>
              </w:rPr>
              <w:t>12,500</w:t>
            </w:r>
          </w:p>
        </w:tc>
        <w:tc>
          <w:tcPr>
            <w:tcW w:w="620" w:type="dxa"/>
            <w:vAlign w:val="bottom"/>
            <w:gridSpan w:val="2"/>
          </w:tcPr>
          <w:p>
            <w:pPr>
              <w:ind w:left="60"/>
              <w:spacing w:after="0" w:line="187" w:lineRule="exact"/>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187"/>
        </w:trPr>
        <w:tc>
          <w:tcPr>
            <w:tcW w:w="886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John L. Eastman </w:t>
            </w:r>
            <w:r>
              <w:rPr>
                <w:rFonts w:ascii="Arial" w:cs="Arial" w:eastAsia="Arial" w:hAnsi="Arial"/>
                <w:sz w:val="14"/>
                <w:szCs w:val="14"/>
                <w:color w:val="auto"/>
              </w:rPr>
              <w:t>(7)</w:t>
            </w:r>
          </w:p>
        </w:tc>
        <w:tc>
          <w:tcPr>
            <w:tcW w:w="1760" w:type="dxa"/>
            <w:vAlign w:val="bottom"/>
            <w:gridSpan w:val="2"/>
            <w:shd w:val="clear" w:color="auto" w:fill="CCEEFF"/>
          </w:tcPr>
          <w:p>
            <w:pPr>
              <w:jc w:val="right"/>
              <w:ind w:right="480"/>
              <w:spacing w:after="0" w:line="187" w:lineRule="exact"/>
              <w:rPr>
                <w:sz w:val="20"/>
                <w:szCs w:val="20"/>
                <w:color w:val="auto"/>
              </w:rPr>
            </w:pPr>
            <w:r>
              <w:rPr>
                <w:rFonts w:ascii="Arial" w:cs="Arial" w:eastAsia="Arial" w:hAnsi="Arial"/>
                <w:sz w:val="17"/>
                <w:szCs w:val="17"/>
                <w:color w:val="auto"/>
              </w:rPr>
              <w:t>30,000</w:t>
            </w:r>
          </w:p>
        </w:tc>
        <w:tc>
          <w:tcPr>
            <w:tcW w:w="620" w:type="dxa"/>
            <w:vAlign w:val="bottom"/>
            <w:gridSpan w:val="2"/>
            <w:shd w:val="clear" w:color="auto" w:fill="CCEEFF"/>
          </w:tcPr>
          <w:p>
            <w:pPr>
              <w:ind w:left="60"/>
              <w:spacing w:after="0" w:line="187" w:lineRule="exact"/>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87"/>
        </w:trPr>
        <w:tc>
          <w:tcPr>
            <w:tcW w:w="886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Elena Prokupets, Ph.D. </w:t>
            </w:r>
            <w:r>
              <w:rPr>
                <w:rFonts w:ascii="Arial" w:cs="Arial" w:eastAsia="Arial" w:hAnsi="Arial"/>
                <w:sz w:val="14"/>
                <w:szCs w:val="14"/>
                <w:color w:val="auto"/>
              </w:rPr>
              <w:t>(8)</w:t>
            </w:r>
          </w:p>
        </w:tc>
        <w:tc>
          <w:tcPr>
            <w:tcW w:w="1760" w:type="dxa"/>
            <w:vAlign w:val="bottom"/>
            <w:gridSpan w:val="2"/>
          </w:tcPr>
          <w:p>
            <w:pPr>
              <w:jc w:val="right"/>
              <w:ind w:right="480"/>
              <w:spacing w:after="0" w:line="187" w:lineRule="exact"/>
              <w:rPr>
                <w:sz w:val="20"/>
                <w:szCs w:val="20"/>
                <w:color w:val="auto"/>
              </w:rPr>
            </w:pPr>
            <w:r>
              <w:rPr>
                <w:rFonts w:ascii="Arial" w:cs="Arial" w:eastAsia="Arial" w:hAnsi="Arial"/>
                <w:sz w:val="17"/>
                <w:szCs w:val="17"/>
                <w:color w:val="auto"/>
              </w:rPr>
              <w:t>30,000</w:t>
            </w:r>
          </w:p>
        </w:tc>
        <w:tc>
          <w:tcPr>
            <w:tcW w:w="620" w:type="dxa"/>
            <w:vAlign w:val="bottom"/>
            <w:gridSpan w:val="2"/>
          </w:tcPr>
          <w:p>
            <w:pPr>
              <w:ind w:left="60"/>
              <w:spacing w:after="0" w:line="187" w:lineRule="exact"/>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59"/>
        </w:trPr>
        <w:tc>
          <w:tcPr>
            <w:tcW w:w="8860" w:type="dxa"/>
            <w:vAlign w:val="bottom"/>
            <w:gridSpan w:val="2"/>
            <w:shd w:val="clear" w:color="auto" w:fill="CCEEFF"/>
          </w:tcPr>
          <w:p>
            <w:pPr>
              <w:spacing w:after="0" w:line="159" w:lineRule="exact"/>
              <w:rPr>
                <w:sz w:val="20"/>
                <w:szCs w:val="20"/>
                <w:color w:val="auto"/>
              </w:rPr>
            </w:pPr>
            <w:r>
              <w:rPr>
                <w:rFonts w:ascii="Arial" w:cs="Arial" w:eastAsia="Arial" w:hAnsi="Arial"/>
                <w:sz w:val="17"/>
                <w:szCs w:val="17"/>
                <w:color w:val="auto"/>
              </w:rPr>
              <w:t xml:space="preserve">Malcolm Salter </w:t>
            </w:r>
            <w:r>
              <w:rPr>
                <w:rFonts w:ascii="Arial" w:cs="Arial" w:eastAsia="Arial" w:hAnsi="Arial"/>
                <w:sz w:val="14"/>
                <w:szCs w:val="14"/>
                <w:color w:val="auto"/>
              </w:rPr>
              <w:t>(9)</w:t>
            </w:r>
          </w:p>
        </w:tc>
        <w:tc>
          <w:tcPr>
            <w:tcW w:w="176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7"/>
                <w:szCs w:val="17"/>
                <w:color w:val="auto"/>
              </w:rPr>
              <w:t>45,000</w:t>
            </w:r>
          </w:p>
        </w:tc>
        <w:tc>
          <w:tcPr>
            <w:tcW w:w="6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7"/>
                <w:szCs w:val="17"/>
                <w:color w:val="auto"/>
              </w:rPr>
              <w:t>45,000</w:t>
            </w:r>
          </w:p>
        </w:tc>
        <w:tc>
          <w:tcPr>
            <w:tcW w:w="0" w:type="dxa"/>
            <w:vAlign w:val="bottom"/>
          </w:tcPr>
          <w:p>
            <w:pPr>
              <w:spacing w:after="0"/>
              <w:rPr>
                <w:sz w:val="1"/>
                <w:szCs w:val="1"/>
                <w:color w:val="auto"/>
              </w:rPr>
            </w:pPr>
          </w:p>
        </w:tc>
      </w:tr>
      <w:tr>
        <w:trPr>
          <w:trHeight w:val="187"/>
        </w:trPr>
        <w:tc>
          <w:tcPr>
            <w:tcW w:w="886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William M. Scalzulli </w:t>
            </w:r>
            <w:r>
              <w:rPr>
                <w:rFonts w:ascii="Arial" w:cs="Arial" w:eastAsia="Arial" w:hAnsi="Arial"/>
                <w:sz w:val="14"/>
                <w:szCs w:val="14"/>
                <w:color w:val="auto"/>
              </w:rPr>
              <w:t>(10)</w:t>
            </w:r>
          </w:p>
        </w:tc>
        <w:tc>
          <w:tcPr>
            <w:tcW w:w="1760" w:type="dxa"/>
            <w:vAlign w:val="bottom"/>
            <w:gridSpan w:val="2"/>
            <w:shd w:val="clear" w:color="auto" w:fill="CCEEFF"/>
          </w:tcPr>
          <w:p>
            <w:pPr>
              <w:jc w:val="right"/>
              <w:ind w:right="480"/>
              <w:spacing w:after="0" w:line="187" w:lineRule="exact"/>
              <w:rPr>
                <w:sz w:val="20"/>
                <w:szCs w:val="20"/>
                <w:color w:val="auto"/>
              </w:rPr>
            </w:pPr>
            <w:r>
              <w:rPr>
                <w:rFonts w:ascii="Arial" w:cs="Arial" w:eastAsia="Arial" w:hAnsi="Arial"/>
                <w:sz w:val="17"/>
                <w:szCs w:val="17"/>
                <w:color w:val="auto"/>
              </w:rPr>
              <w:t>30,000</w:t>
            </w:r>
          </w:p>
        </w:tc>
        <w:tc>
          <w:tcPr>
            <w:tcW w:w="620" w:type="dxa"/>
            <w:vAlign w:val="bottom"/>
            <w:gridSpan w:val="2"/>
            <w:shd w:val="clear" w:color="auto" w:fill="CCEEFF"/>
          </w:tcPr>
          <w:p>
            <w:pPr>
              <w:ind w:left="60"/>
              <w:spacing w:after="0" w:line="187" w:lineRule="exact"/>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229"/>
        </w:trPr>
        <w:tc>
          <w:tcPr>
            <w:tcW w:w="8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Miles Stuchin </w:t>
            </w:r>
            <w:r>
              <w:rPr>
                <w:rFonts w:ascii="Arial" w:cs="Arial" w:eastAsia="Arial" w:hAnsi="Arial"/>
                <w:sz w:val="14"/>
                <w:szCs w:val="14"/>
                <w:color w:val="auto"/>
              </w:rPr>
              <w:t>(11)</w:t>
            </w: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30,000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51" w:lineRule="exact"/>
        <w:rPr>
          <w:sz w:val="20"/>
          <w:szCs w:val="20"/>
          <w:color w:val="auto"/>
        </w:rPr>
      </w:pPr>
    </w:p>
    <w:p>
      <w:pPr>
        <w:ind w:left="440" w:hanging="286"/>
        <w:spacing w:after="0"/>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As of December 31, 2019, Mr. Cohen held unexercised options to purchase an aggregate of 8,561 shares of our common stock.</w:t>
      </w:r>
    </w:p>
    <w:p>
      <w:pPr>
        <w:spacing w:after="0" w:line="25" w:lineRule="exact"/>
        <w:rPr>
          <w:rFonts w:ascii="Arial" w:cs="Arial" w:eastAsia="Arial" w:hAnsi="Arial"/>
          <w:sz w:val="24"/>
          <w:szCs w:val="24"/>
          <w:color w:val="auto"/>
          <w:vertAlign w:val="superscript"/>
        </w:rPr>
      </w:pPr>
    </w:p>
    <w:p>
      <w:pPr>
        <w:ind w:left="440" w:hanging="286"/>
        <w:spacing w:after="0" w:line="182" w:lineRule="auto"/>
        <w:tabs>
          <w:tab w:leader="none" w:pos="440" w:val="left"/>
        </w:tabs>
        <w:numPr>
          <w:ilvl w:val="0"/>
          <w:numId w:val="82"/>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Dr. Anderson held unexercised options to purchase an aggregate of 4,844 shares of our common stock.</w:t>
      </w:r>
    </w:p>
    <w:p>
      <w:pPr>
        <w:spacing w:after="0" w:line="26" w:lineRule="exact"/>
        <w:rPr>
          <w:rFonts w:ascii="Arial" w:cs="Arial" w:eastAsia="Arial" w:hAnsi="Arial"/>
          <w:sz w:val="20"/>
          <w:szCs w:val="20"/>
          <w:color w:val="auto"/>
          <w:vertAlign w:val="superscript"/>
        </w:rPr>
      </w:pPr>
    </w:p>
    <w:p>
      <w:pPr>
        <w:ind w:left="440" w:hanging="286"/>
        <w:spacing w:after="0" w:line="182" w:lineRule="auto"/>
        <w:tabs>
          <w:tab w:leader="none" w:pos="440" w:val="left"/>
        </w:tabs>
        <w:numPr>
          <w:ilvl w:val="0"/>
          <w:numId w:val="82"/>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Ms. Chen held unexercised options to purchase an aggregate of 8,561 shares of our common stock.</w:t>
      </w:r>
    </w:p>
    <w:p>
      <w:pPr>
        <w:spacing w:after="0" w:line="26" w:lineRule="exact"/>
        <w:rPr>
          <w:rFonts w:ascii="Arial" w:cs="Arial" w:eastAsia="Arial" w:hAnsi="Arial"/>
          <w:sz w:val="20"/>
          <w:szCs w:val="20"/>
          <w:color w:val="auto"/>
          <w:vertAlign w:val="superscript"/>
        </w:rPr>
      </w:pPr>
    </w:p>
    <w:p>
      <w:pPr>
        <w:ind w:left="440" w:hanging="286"/>
        <w:spacing w:after="0" w:line="182" w:lineRule="auto"/>
        <w:tabs>
          <w:tab w:leader="none" w:pos="440" w:val="left"/>
        </w:tabs>
        <w:numPr>
          <w:ilvl w:val="0"/>
          <w:numId w:val="82"/>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Ms. Cohen held unexercised options to purchase an aggregate of 8,561 shares of our common stock.</w:t>
      </w:r>
    </w:p>
    <w:p>
      <w:pPr>
        <w:spacing w:after="0" w:line="26" w:lineRule="exact"/>
        <w:rPr>
          <w:rFonts w:ascii="Arial" w:cs="Arial" w:eastAsia="Arial" w:hAnsi="Arial"/>
          <w:sz w:val="20"/>
          <w:szCs w:val="20"/>
          <w:color w:val="auto"/>
          <w:vertAlign w:val="superscript"/>
        </w:rPr>
      </w:pPr>
    </w:p>
    <w:p>
      <w:pPr>
        <w:ind w:left="440" w:hanging="286"/>
        <w:spacing w:after="0" w:line="182" w:lineRule="auto"/>
        <w:tabs>
          <w:tab w:leader="none" w:pos="440" w:val="left"/>
        </w:tabs>
        <w:numPr>
          <w:ilvl w:val="0"/>
          <w:numId w:val="82"/>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Mr. Downey held unexercised options to purchase an aggregate of 8,561 shares of our common stock.</w:t>
      </w:r>
    </w:p>
    <w:p>
      <w:pPr>
        <w:spacing w:after="0" w:line="26" w:lineRule="exact"/>
        <w:rPr>
          <w:rFonts w:ascii="Arial" w:cs="Arial" w:eastAsia="Arial" w:hAnsi="Arial"/>
          <w:sz w:val="20"/>
          <w:szCs w:val="20"/>
          <w:color w:val="auto"/>
          <w:vertAlign w:val="superscript"/>
        </w:rPr>
      </w:pPr>
    </w:p>
    <w:p>
      <w:pPr>
        <w:ind w:left="440" w:right="460" w:hanging="286"/>
        <w:spacing w:after="0" w:line="184" w:lineRule="auto"/>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Mr. Dubin resigned from our board of directors effective August 17, 2019. As of December 31, 2019, Mr. Dubin did not hold any unexercised options to purchase our common stock.</w:t>
      </w:r>
    </w:p>
    <w:p>
      <w:pPr>
        <w:spacing w:after="0" w:line="8" w:lineRule="exact"/>
        <w:rPr>
          <w:rFonts w:ascii="Arial" w:cs="Arial" w:eastAsia="Arial" w:hAnsi="Arial"/>
          <w:sz w:val="24"/>
          <w:szCs w:val="24"/>
          <w:color w:val="auto"/>
          <w:vertAlign w:val="superscript"/>
        </w:rPr>
      </w:pPr>
    </w:p>
    <w:p>
      <w:pPr>
        <w:ind w:left="440" w:right="40" w:hanging="286"/>
        <w:spacing w:after="0" w:line="206" w:lineRule="auto"/>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Mr. Eastman resigned from our board of directors effective June 5, 2020. As of December 31, 2019, Mr. Eastman did not hold any unexercised options to purchase our common stock. EGC4 Managing Member, LLC, of which Mr. Eastman is a member, held unexercised options to purchase 8,561 shares of our common stock. Mr. Eastman disclaims beneficial ownership of such options except to the extent of his pecuniary interest in such options.</w:t>
      </w:r>
    </w:p>
    <w:p>
      <w:pPr>
        <w:ind w:left="440" w:hanging="286"/>
        <w:spacing w:after="0" w:line="182" w:lineRule="auto"/>
        <w:tabs>
          <w:tab w:leader="none" w:pos="440" w:val="left"/>
        </w:tabs>
        <w:numPr>
          <w:ilvl w:val="0"/>
          <w:numId w:val="82"/>
        </w:numPr>
        <w:rPr>
          <w:rFonts w:ascii="Arial" w:cs="Arial" w:eastAsia="Arial" w:hAnsi="Arial"/>
          <w:sz w:val="23"/>
          <w:szCs w:val="23"/>
          <w:color w:val="auto"/>
          <w:vertAlign w:val="superscript"/>
        </w:rPr>
      </w:pPr>
      <w:r>
        <w:rPr>
          <w:rFonts w:ascii="Arial" w:cs="Arial" w:eastAsia="Arial" w:hAnsi="Arial"/>
          <w:sz w:val="14"/>
          <w:szCs w:val="14"/>
          <w:color w:val="auto"/>
        </w:rPr>
        <w:t>As of December 31, 2019, Dr. Prokupets held unexercised options to purchase an aggregate of 8,561 shares of our common stock.</w:t>
      </w:r>
    </w:p>
    <w:p>
      <w:pPr>
        <w:spacing w:after="0" w:line="25" w:lineRule="exact"/>
        <w:rPr>
          <w:rFonts w:ascii="Arial" w:cs="Arial" w:eastAsia="Arial" w:hAnsi="Arial"/>
          <w:sz w:val="23"/>
          <w:szCs w:val="23"/>
          <w:color w:val="auto"/>
          <w:vertAlign w:val="superscript"/>
        </w:rPr>
      </w:pPr>
    </w:p>
    <w:p>
      <w:pPr>
        <w:ind w:left="440" w:hanging="286"/>
        <w:spacing w:after="0" w:line="182" w:lineRule="auto"/>
        <w:tabs>
          <w:tab w:leader="none" w:pos="440" w:val="left"/>
        </w:tabs>
        <w:numPr>
          <w:ilvl w:val="0"/>
          <w:numId w:val="82"/>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Mr. Salter held unexercised options to purchase an aggregate of 8,561 shares of our common stock.</w:t>
      </w:r>
    </w:p>
    <w:p>
      <w:pPr>
        <w:spacing w:after="0" w:line="26" w:lineRule="exact"/>
        <w:rPr>
          <w:rFonts w:ascii="Arial" w:cs="Arial" w:eastAsia="Arial" w:hAnsi="Arial"/>
          <w:sz w:val="20"/>
          <w:szCs w:val="20"/>
          <w:color w:val="auto"/>
          <w:vertAlign w:val="superscript"/>
        </w:rPr>
      </w:pPr>
    </w:p>
    <w:p>
      <w:pPr>
        <w:ind w:left="440" w:right="220" w:hanging="353"/>
        <w:spacing w:after="0" w:line="199" w:lineRule="auto"/>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Mr. Scalzulli resigned from our board of directors effective June 5, 2020. As of December 31, 2019, Mr. Scalzulli did not hold any unexercised options to purchase our common stock. Kraft Group LLC, of which Mr. Scalzulli is an employee, held unexercised options to purchase 8,561 shares of our common stock. Mr. Scalzulli disclaims beneficial ownership of such options except to the extent of his pecuniary interest in such options.</w:t>
      </w:r>
    </w:p>
    <w:p>
      <w:pPr>
        <w:spacing w:after="0" w:line="7" w:lineRule="exact"/>
        <w:rPr>
          <w:rFonts w:ascii="Arial" w:cs="Arial" w:eastAsia="Arial" w:hAnsi="Arial"/>
          <w:sz w:val="24"/>
          <w:szCs w:val="24"/>
          <w:color w:val="auto"/>
          <w:vertAlign w:val="superscript"/>
        </w:rPr>
      </w:pPr>
    </w:p>
    <w:p>
      <w:pPr>
        <w:ind w:left="440" w:right="560" w:hanging="344"/>
        <w:spacing w:after="0" w:line="186" w:lineRule="auto"/>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Mr. Stuchin passed away on January 25, 2020. As of December 31, 2019, Mr. Stuchin held unexercised options to purchase an aggregate of 8,561 shares of our common stock.</w:t>
      </w:r>
    </w:p>
    <w:p>
      <w:pPr>
        <w:ind w:left="440" w:right="40" w:hanging="162"/>
        <w:spacing w:after="0" w:line="260" w:lineRule="auto"/>
        <w:rPr>
          <w:rFonts w:ascii="Arial" w:cs="Arial" w:eastAsia="Arial" w:hAnsi="Arial"/>
          <w:sz w:val="24"/>
          <w:szCs w:val="24"/>
          <w:color w:val="auto"/>
          <w:vertAlign w:val="superscript"/>
        </w:rPr>
      </w:pPr>
      <w:r>
        <w:rPr>
          <w:rFonts w:ascii="Arial" w:cs="Arial" w:eastAsia="Arial" w:hAnsi="Arial"/>
          <w:sz w:val="14"/>
          <w:szCs w:val="14"/>
          <w:color w:val="auto"/>
        </w:rPr>
        <w:t>* Ms. Chen has notified us that she will resign from our board of directors contingent upon and effective immediately prior to the effectiveness of the registration statement of which this prospectus forms a part.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40"/>
          </w:cols>
          <w:pgMar w:left="320" w:top="454" w:right="3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During fiscal year 2019, we provided cash compensation to our non-employee directors in accordance with the following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ANNUAL</w:t>
            </w:r>
          </w:p>
        </w:tc>
      </w:tr>
      <w:tr>
        <w:trPr>
          <w:trHeight w:val="176"/>
        </w:trPr>
        <w:tc>
          <w:tcPr>
            <w:tcW w:w="104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RETAINER</w:t>
            </w:r>
          </w:p>
        </w:tc>
      </w:tr>
      <w:tr>
        <w:trPr>
          <w:trHeight w:val="167"/>
        </w:trPr>
        <w:tc>
          <w:tcPr>
            <w:tcW w:w="1046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Board of Directors:</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7"/>
        </w:trPr>
        <w:tc>
          <w:tcPr>
            <w:tcW w:w="10460" w:type="dxa"/>
            <w:vAlign w:val="bottom"/>
          </w:tcPr>
          <w:p>
            <w:pPr>
              <w:spacing w:after="0" w:line="187" w:lineRule="exact"/>
              <w:rPr>
                <w:sz w:val="20"/>
                <w:szCs w:val="20"/>
                <w:color w:val="auto"/>
              </w:rPr>
            </w:pPr>
            <w:r>
              <w:rPr>
                <w:rFonts w:ascii="Arial" w:cs="Arial" w:eastAsia="Arial" w:hAnsi="Arial"/>
                <w:sz w:val="17"/>
                <w:szCs w:val="17"/>
                <w:color w:val="auto"/>
              </w:rPr>
              <w:t>Members</w:t>
            </w:r>
          </w:p>
        </w:tc>
        <w:tc>
          <w:tcPr>
            <w:tcW w:w="16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25,000</w:t>
            </w:r>
          </w:p>
        </w:tc>
      </w:tr>
      <w:tr>
        <w:trPr>
          <w:trHeight w:val="187"/>
        </w:trPr>
        <w:tc>
          <w:tcPr>
            <w:tcW w:w="10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Additional retainer for non-executive chair</w:t>
            </w:r>
          </w:p>
        </w:tc>
        <w:tc>
          <w:tcPr>
            <w:tcW w:w="1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30,000</w:t>
            </w:r>
          </w:p>
        </w:tc>
      </w:tr>
      <w:tr>
        <w:trPr>
          <w:trHeight w:val="294"/>
        </w:trPr>
        <w:tc>
          <w:tcPr>
            <w:tcW w:w="10460" w:type="dxa"/>
            <w:vAlign w:val="bottom"/>
          </w:tcPr>
          <w:p>
            <w:pPr>
              <w:spacing w:after="0"/>
              <w:rPr>
                <w:sz w:val="20"/>
                <w:szCs w:val="20"/>
                <w:color w:val="auto"/>
              </w:rPr>
            </w:pPr>
            <w:r>
              <w:rPr>
                <w:rFonts w:ascii="Arial" w:cs="Arial" w:eastAsia="Arial" w:hAnsi="Arial"/>
                <w:sz w:val="17"/>
                <w:szCs w:val="17"/>
                <w:b w:val="1"/>
                <w:bCs w:val="1"/>
                <w:color w:val="auto"/>
              </w:rPr>
              <w:t>Audit Committee:</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10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Members (other than chair)</w:t>
            </w:r>
          </w:p>
        </w:tc>
        <w:tc>
          <w:tcPr>
            <w:tcW w:w="1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5,000</w:t>
            </w:r>
          </w:p>
        </w:tc>
      </w:tr>
      <w:tr>
        <w:trPr>
          <w:trHeight w:val="229"/>
        </w:trPr>
        <w:tc>
          <w:tcPr>
            <w:tcW w:w="10460" w:type="dxa"/>
            <w:vAlign w:val="bottom"/>
          </w:tcPr>
          <w:p>
            <w:pPr>
              <w:spacing w:after="0"/>
              <w:rPr>
                <w:sz w:val="20"/>
                <w:szCs w:val="20"/>
                <w:color w:val="auto"/>
              </w:rPr>
            </w:pPr>
            <w:r>
              <w:rPr>
                <w:rFonts w:ascii="Arial" w:cs="Arial" w:eastAsia="Arial" w:hAnsi="Arial"/>
                <w:sz w:val="17"/>
                <w:szCs w:val="17"/>
                <w:color w:val="auto"/>
              </w:rPr>
              <w:t>Retainer for chair</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20,000</w:t>
            </w:r>
          </w:p>
        </w:tc>
      </w:tr>
      <w:tr>
        <w:trPr>
          <w:trHeight w:val="65"/>
        </w:trPr>
        <w:tc>
          <w:tcPr>
            <w:tcW w:w="10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7"/>
        </w:trPr>
        <w:tc>
          <w:tcPr>
            <w:tcW w:w="1046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Compensation Committee: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10460" w:type="dxa"/>
            <w:vAlign w:val="bottom"/>
          </w:tcPr>
          <w:p>
            <w:pPr>
              <w:spacing w:after="0" w:line="187" w:lineRule="exact"/>
              <w:rPr>
                <w:sz w:val="20"/>
                <w:szCs w:val="20"/>
                <w:color w:val="auto"/>
              </w:rPr>
            </w:pPr>
            <w:r>
              <w:rPr>
                <w:rFonts w:ascii="Arial" w:cs="Arial" w:eastAsia="Arial" w:hAnsi="Arial"/>
                <w:sz w:val="17"/>
                <w:szCs w:val="17"/>
                <w:color w:val="auto"/>
              </w:rPr>
              <w:t>Members (other than chair)</w:t>
            </w:r>
          </w:p>
        </w:tc>
        <w:tc>
          <w:tcPr>
            <w:tcW w:w="16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5,000</w:t>
            </w:r>
          </w:p>
        </w:tc>
      </w:tr>
      <w:tr>
        <w:trPr>
          <w:trHeight w:val="187"/>
        </w:trPr>
        <w:tc>
          <w:tcPr>
            <w:tcW w:w="10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Retainer for chair</w:t>
            </w:r>
          </w:p>
        </w:tc>
        <w:tc>
          <w:tcPr>
            <w:tcW w:w="1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40"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color w:val="auto"/>
        </w:rPr>
        <w:t>In connection with this offering, we intend to adopt a new non-employee director compensation policy that will become effective upon the completion of this offering and will be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35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ANNUAL</w:t>
            </w:r>
          </w:p>
        </w:tc>
      </w:tr>
      <w:tr>
        <w:trPr>
          <w:trHeight w:val="176"/>
        </w:trPr>
        <w:tc>
          <w:tcPr>
            <w:tcW w:w="104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RETAINER</w:t>
            </w:r>
          </w:p>
        </w:tc>
      </w:tr>
      <w:tr>
        <w:trPr>
          <w:trHeight w:val="167"/>
        </w:trPr>
        <w:tc>
          <w:tcPr>
            <w:tcW w:w="1046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Board of Directors:</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7"/>
        </w:trPr>
        <w:tc>
          <w:tcPr>
            <w:tcW w:w="10460" w:type="dxa"/>
            <w:vAlign w:val="bottom"/>
          </w:tcPr>
          <w:p>
            <w:pPr>
              <w:spacing w:after="0" w:line="187" w:lineRule="exact"/>
              <w:rPr>
                <w:sz w:val="20"/>
                <w:szCs w:val="20"/>
                <w:color w:val="auto"/>
              </w:rPr>
            </w:pPr>
            <w:r>
              <w:rPr>
                <w:rFonts w:ascii="Arial" w:cs="Arial" w:eastAsia="Arial" w:hAnsi="Arial"/>
                <w:sz w:val="17"/>
                <w:szCs w:val="17"/>
                <w:color w:val="auto"/>
              </w:rPr>
              <w:t>Members</w:t>
            </w:r>
          </w:p>
        </w:tc>
        <w:tc>
          <w:tcPr>
            <w:tcW w:w="16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35,000</w:t>
            </w:r>
          </w:p>
        </w:tc>
      </w:tr>
      <w:tr>
        <w:trPr>
          <w:trHeight w:val="187"/>
        </w:trPr>
        <w:tc>
          <w:tcPr>
            <w:tcW w:w="10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Additional retainer for non-executive chair</w:t>
            </w:r>
          </w:p>
        </w:tc>
        <w:tc>
          <w:tcPr>
            <w:tcW w:w="1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30,000</w:t>
            </w:r>
          </w:p>
        </w:tc>
      </w:tr>
      <w:tr>
        <w:trPr>
          <w:trHeight w:val="294"/>
        </w:trPr>
        <w:tc>
          <w:tcPr>
            <w:tcW w:w="10460" w:type="dxa"/>
            <w:vAlign w:val="bottom"/>
          </w:tcPr>
          <w:p>
            <w:pPr>
              <w:spacing w:after="0"/>
              <w:rPr>
                <w:sz w:val="20"/>
                <w:szCs w:val="20"/>
                <w:color w:val="auto"/>
              </w:rPr>
            </w:pPr>
            <w:r>
              <w:rPr>
                <w:rFonts w:ascii="Arial" w:cs="Arial" w:eastAsia="Arial" w:hAnsi="Arial"/>
                <w:sz w:val="17"/>
                <w:szCs w:val="17"/>
                <w:b w:val="1"/>
                <w:bCs w:val="1"/>
                <w:color w:val="auto"/>
              </w:rPr>
              <w:t>Audit Committee:</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10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Members (other than chair)</w:t>
            </w:r>
          </w:p>
        </w:tc>
        <w:tc>
          <w:tcPr>
            <w:tcW w:w="1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7,500</w:t>
            </w:r>
          </w:p>
        </w:tc>
      </w:tr>
      <w:tr>
        <w:trPr>
          <w:trHeight w:val="229"/>
        </w:trPr>
        <w:tc>
          <w:tcPr>
            <w:tcW w:w="10460" w:type="dxa"/>
            <w:vAlign w:val="bottom"/>
          </w:tcPr>
          <w:p>
            <w:pPr>
              <w:spacing w:after="0"/>
              <w:rPr>
                <w:sz w:val="20"/>
                <w:szCs w:val="20"/>
                <w:color w:val="auto"/>
              </w:rPr>
            </w:pPr>
            <w:r>
              <w:rPr>
                <w:rFonts w:ascii="Arial" w:cs="Arial" w:eastAsia="Arial" w:hAnsi="Arial"/>
                <w:sz w:val="17"/>
                <w:szCs w:val="17"/>
                <w:color w:val="auto"/>
              </w:rPr>
              <w:t>Retainer for chair</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15,000</w:t>
            </w:r>
          </w:p>
        </w:tc>
      </w:tr>
      <w:tr>
        <w:trPr>
          <w:trHeight w:val="65"/>
        </w:trPr>
        <w:tc>
          <w:tcPr>
            <w:tcW w:w="10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7"/>
        </w:trPr>
        <w:tc>
          <w:tcPr>
            <w:tcW w:w="1046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Compensation Committee: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10460" w:type="dxa"/>
            <w:vAlign w:val="bottom"/>
          </w:tcPr>
          <w:p>
            <w:pPr>
              <w:spacing w:after="0" w:line="187" w:lineRule="exact"/>
              <w:rPr>
                <w:sz w:val="20"/>
                <w:szCs w:val="20"/>
                <w:color w:val="auto"/>
              </w:rPr>
            </w:pPr>
            <w:r>
              <w:rPr>
                <w:rFonts w:ascii="Arial" w:cs="Arial" w:eastAsia="Arial" w:hAnsi="Arial"/>
                <w:sz w:val="17"/>
                <w:szCs w:val="17"/>
                <w:color w:val="auto"/>
              </w:rPr>
              <w:t>Members (other than chair)</w:t>
            </w:r>
          </w:p>
        </w:tc>
        <w:tc>
          <w:tcPr>
            <w:tcW w:w="16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5,000</w:t>
            </w:r>
          </w:p>
        </w:tc>
      </w:tr>
      <w:tr>
        <w:trPr>
          <w:trHeight w:val="187"/>
        </w:trPr>
        <w:tc>
          <w:tcPr>
            <w:tcW w:w="10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Retainer for chair</w:t>
            </w:r>
          </w:p>
        </w:tc>
        <w:tc>
          <w:tcPr>
            <w:tcW w:w="1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10,000</w:t>
            </w:r>
          </w:p>
        </w:tc>
      </w:tr>
      <w:tr>
        <w:trPr>
          <w:trHeight w:val="294"/>
        </w:trPr>
        <w:tc>
          <w:tcPr>
            <w:tcW w:w="10460" w:type="dxa"/>
            <w:vAlign w:val="bottom"/>
          </w:tcPr>
          <w:p>
            <w:pPr>
              <w:spacing w:after="0"/>
              <w:rPr>
                <w:sz w:val="20"/>
                <w:szCs w:val="20"/>
                <w:color w:val="auto"/>
              </w:rPr>
            </w:pPr>
            <w:r>
              <w:rPr>
                <w:rFonts w:ascii="Arial" w:cs="Arial" w:eastAsia="Arial" w:hAnsi="Arial"/>
                <w:sz w:val="17"/>
                <w:szCs w:val="17"/>
                <w:b w:val="1"/>
                <w:bCs w:val="1"/>
                <w:color w:val="auto"/>
              </w:rPr>
              <w:t>Nominating and Corporate Governance Committee:</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10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Members (other than chair)</w:t>
            </w:r>
          </w:p>
        </w:tc>
        <w:tc>
          <w:tcPr>
            <w:tcW w:w="1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4,000</w:t>
            </w:r>
          </w:p>
        </w:tc>
      </w:tr>
      <w:tr>
        <w:trPr>
          <w:trHeight w:val="229"/>
        </w:trPr>
        <w:tc>
          <w:tcPr>
            <w:tcW w:w="10460" w:type="dxa"/>
            <w:vAlign w:val="bottom"/>
          </w:tcPr>
          <w:p>
            <w:pPr>
              <w:spacing w:after="0"/>
              <w:rPr>
                <w:sz w:val="20"/>
                <w:szCs w:val="20"/>
                <w:color w:val="auto"/>
              </w:rPr>
            </w:pPr>
            <w:r>
              <w:rPr>
                <w:rFonts w:ascii="Arial" w:cs="Arial" w:eastAsia="Arial" w:hAnsi="Arial"/>
                <w:sz w:val="17"/>
                <w:szCs w:val="17"/>
                <w:color w:val="auto"/>
              </w:rPr>
              <w:t>Retainer for chair</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1335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9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the non-employee director compensation policy will provide that, upon initial election to our board of directors, each non-employee director will be granted an option to purchase 35,572 shares of our common stock, or the Initial Grant. Approximately 33% of the Initial Grant will vest on the first anniversary of the date it is made, and the remainder will vest monthly for the subsequent two years thereafter, subject to continued service as a director through the applicable vesting date. Furthermore, on the date of the effectiveness of the registration statement of which this prospectus is a part and thereafter at each annual meeting of stockholders following the completion of this offering, each non-employee director who continues as a non-employee director following such meeting will be granted an option to purchase 17,786 shares of our common stock, or the Annual Grant. The Annual Grant will vest in full on the earlier of (i) the first anniversary of the grant date or (ii) our next annual meeting of stockholders, subject to continued service as a director through the applicable vesting date. These awards are subject to full accelerated vesting upon the sale of the company.</w:t>
      </w:r>
    </w:p>
    <w:p>
      <w:pPr>
        <w:spacing w:after="0" w:line="123"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We will reimburse all reasonable out-of-pocket expenses incurred by non-employee directors in attending meetings of the board of directors and committees thereof.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40"/>
          </w:cols>
          <w:pgMar w:left="320" w:top="454"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transactions or series of transactions since January 1, 2017, to which we were or will be a party, in which:</w:t>
      </w:r>
    </w:p>
    <w:p>
      <w:pPr>
        <w:spacing w:after="0" w:line="192" w:lineRule="exact"/>
        <w:rPr>
          <w:sz w:val="20"/>
          <w:szCs w:val="20"/>
          <w:color w:val="auto"/>
        </w:rPr>
      </w:pPr>
    </w:p>
    <w:p>
      <w:pPr>
        <w:ind w:left="880" w:hanging="432"/>
        <w:spacing w:after="0"/>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the amount involved in the transaction exceeds or will exceed, $120,000; and</w:t>
      </w:r>
    </w:p>
    <w:p>
      <w:pPr>
        <w:spacing w:after="0" w:line="33" w:lineRule="exact"/>
        <w:rPr>
          <w:rFonts w:ascii="MS PGothic" w:cs="MS PGothic" w:eastAsia="MS PGothic" w:hAnsi="MS PGothic"/>
          <w:sz w:val="12"/>
          <w:szCs w:val="12"/>
          <w:color w:val="auto"/>
        </w:rPr>
      </w:pPr>
    </w:p>
    <w:p>
      <w:pPr>
        <w:ind w:left="880" w:right="80" w:hanging="432"/>
        <w:spacing w:after="0" w:line="269" w:lineRule="auto"/>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in which any of our executive officers, directors or holders of 5% or more of any class of our capital stock, including their immediate family members or affiliated entities, had or will have a direct or indirect material interest.</w:t>
      </w:r>
    </w:p>
    <w:p>
      <w:pPr>
        <w:spacing w:after="0" w:line="95" w:lineRule="exact"/>
        <w:rPr>
          <w:sz w:val="20"/>
          <w:szCs w:val="20"/>
          <w:color w:val="auto"/>
        </w:rPr>
      </w:pPr>
    </w:p>
    <w:p>
      <w:pPr>
        <w:ind w:right="620"/>
        <w:spacing w:after="0" w:line="271" w:lineRule="auto"/>
        <w:rPr>
          <w:sz w:val="20"/>
          <w:szCs w:val="20"/>
          <w:color w:val="auto"/>
        </w:rPr>
      </w:pPr>
      <w:r>
        <w:rPr>
          <w:rFonts w:ascii="Arial" w:cs="Arial" w:eastAsia="Arial" w:hAnsi="Arial"/>
          <w:sz w:val="17"/>
          <w:szCs w:val="17"/>
          <w:color w:val="auto"/>
        </w:rPr>
        <w:t>Compensation arrangements for our named executive officers and our directors are described elsewhere in this prospectus under the heading “Executive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 Financing</w:t>
      </w:r>
    </w:p>
    <w:p>
      <w:pPr>
        <w:spacing w:after="0" w:line="7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December 2018, we sold an aggregate of 900,900 shares of our Series A preferred stock at a purchase price of $2.22 per share for an aggregate amount of $2.0 million to DF Investment Partners LLC, an entity affiliated with Glenn Dubin. Mr. Dubin joined our board of directors upon the closing of such sale and resigned from our board of directors in August 2019. Every 8.4335 shares of Series A preferred stock will be automatically converted into one share of common stock upon the completion of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5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Between June and July 2020, we sold an aggregate of 142,857,142 shares of our Series B preferred stock at a purchase price of $1.05 per share for an aggregate amount of $150 million. The following table summarizes purchases of our Series B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SERIES B</w:t>
            </w: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STOCKHOLDER</w:t>
            </w:r>
          </w:p>
        </w:tc>
        <w:tc>
          <w:tcPr>
            <w:tcW w:w="7520" w:type="dxa"/>
            <w:vAlign w:val="bottom"/>
            <w:vMerge w:val="restart"/>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2"/>
        </w:trPr>
        <w:tc>
          <w:tcPr>
            <w:tcW w:w="1120" w:type="dxa"/>
            <w:vAlign w:val="bottom"/>
            <w:tcBorders>
              <w:bottom w:val="single" w:sz="8" w:color="auto"/>
            </w:tcBorders>
            <w:vMerge w:val="continue"/>
          </w:tcPr>
          <w:p>
            <w:pPr>
              <w:spacing w:after="0"/>
              <w:rPr>
                <w:sz w:val="15"/>
                <w:szCs w:val="15"/>
                <w:color w:val="auto"/>
              </w:rPr>
            </w:pPr>
          </w:p>
        </w:tc>
        <w:tc>
          <w:tcPr>
            <w:tcW w:w="7520" w:type="dxa"/>
            <w:vAlign w:val="bottom"/>
            <w:vMerge w:val="continue"/>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4"/>
        </w:trPr>
        <w:tc>
          <w:tcPr>
            <w:tcW w:w="8640" w:type="dxa"/>
            <w:vAlign w:val="bottom"/>
            <w:tcBorders>
              <w:top w:val="single" w:sz="8" w:color="CCEEFF"/>
            </w:tcBorders>
            <w:gridSpan w:val="2"/>
            <w:shd w:val="clear" w:color="auto" w:fill="CCEEFF"/>
          </w:tcPr>
          <w:p>
            <w:pPr>
              <w:spacing w:after="0" w:line="174" w:lineRule="exact"/>
              <w:rPr>
                <w:sz w:val="20"/>
                <w:szCs w:val="20"/>
                <w:color w:val="auto"/>
              </w:rPr>
            </w:pPr>
            <w:r>
              <w:rPr>
                <w:rFonts w:ascii="Arial" w:cs="Arial" w:eastAsia="Arial" w:hAnsi="Arial"/>
                <w:sz w:val="17"/>
                <w:szCs w:val="17"/>
                <w:color w:val="auto"/>
              </w:rPr>
              <w:t xml:space="preserve">Entities and persons affiliated with Cobro Ventures </w:t>
            </w:r>
            <w:r>
              <w:rPr>
                <w:rFonts w:ascii="Arial" w:cs="Arial" w:eastAsia="Arial" w:hAnsi="Arial"/>
                <w:sz w:val="14"/>
                <w:szCs w:val="14"/>
                <w:color w:val="auto"/>
              </w:rPr>
              <w:t>(1)</w:t>
            </w:r>
          </w:p>
        </w:tc>
        <w:tc>
          <w:tcPr>
            <w:tcW w:w="114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20,952,403</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22,000,024</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4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Entities affiliated with Perceptive Advisors </w:t>
            </w:r>
            <w:r>
              <w:rPr>
                <w:rFonts w:ascii="Arial" w:cs="Arial" w:eastAsia="Arial" w:hAnsi="Arial"/>
                <w:sz w:val="14"/>
                <w:szCs w:val="14"/>
                <w:color w:val="auto"/>
              </w:rPr>
              <w:t>(2)</w:t>
            </w:r>
          </w:p>
        </w:tc>
        <w:tc>
          <w:tcPr>
            <w:tcW w:w="132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19,047,619</w:t>
            </w:r>
          </w:p>
        </w:tc>
        <w:tc>
          <w:tcPr>
            <w:tcW w:w="14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20,000,000</w:t>
            </w:r>
          </w:p>
        </w:tc>
        <w:tc>
          <w:tcPr>
            <w:tcW w:w="0" w:type="dxa"/>
            <w:vAlign w:val="bottom"/>
          </w:tcPr>
          <w:p>
            <w:pPr>
              <w:spacing w:after="0"/>
              <w:rPr>
                <w:sz w:val="1"/>
                <w:szCs w:val="1"/>
                <w:color w:val="auto"/>
              </w:rPr>
            </w:pPr>
          </w:p>
        </w:tc>
      </w:tr>
      <w:tr>
        <w:trPr>
          <w:trHeight w:val="187"/>
        </w:trPr>
        <w:tc>
          <w:tcPr>
            <w:tcW w:w="86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Entities affiliated with RTW Investments </w:t>
            </w:r>
            <w:r>
              <w:rPr>
                <w:rFonts w:ascii="Arial" w:cs="Arial" w:eastAsia="Arial" w:hAnsi="Arial"/>
                <w:sz w:val="14"/>
                <w:szCs w:val="14"/>
                <w:color w:val="auto"/>
              </w:rPr>
              <w:t>(3)</w:t>
            </w:r>
          </w:p>
        </w:tc>
        <w:tc>
          <w:tcPr>
            <w:tcW w:w="132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14,285,715</w:t>
            </w:r>
          </w:p>
        </w:tc>
        <w:tc>
          <w:tcPr>
            <w:tcW w:w="1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15,000,001</w:t>
            </w:r>
          </w:p>
        </w:tc>
        <w:tc>
          <w:tcPr>
            <w:tcW w:w="0" w:type="dxa"/>
            <w:vAlign w:val="bottom"/>
          </w:tcPr>
          <w:p>
            <w:pPr>
              <w:spacing w:after="0"/>
              <w:rPr>
                <w:sz w:val="1"/>
                <w:szCs w:val="1"/>
                <w:color w:val="auto"/>
              </w:rPr>
            </w:pPr>
          </w:p>
        </w:tc>
      </w:tr>
      <w:tr>
        <w:trPr>
          <w:trHeight w:val="187"/>
        </w:trPr>
        <w:tc>
          <w:tcPr>
            <w:tcW w:w="8640" w:type="dxa"/>
            <w:vAlign w:val="bottom"/>
            <w:gridSpan w:val="2"/>
          </w:tcPr>
          <w:p>
            <w:pPr>
              <w:spacing w:after="0" w:line="187" w:lineRule="exact"/>
              <w:rPr>
                <w:sz w:val="20"/>
                <w:szCs w:val="20"/>
                <w:color w:val="auto"/>
              </w:rPr>
            </w:pPr>
            <w:r>
              <w:rPr>
                <w:rFonts w:ascii="Arial" w:cs="Arial" w:eastAsia="Arial" w:hAnsi="Arial"/>
                <w:sz w:val="17"/>
                <w:szCs w:val="17"/>
                <w:color w:val="auto"/>
              </w:rPr>
              <w:t>Bruce Downey</w:t>
            </w:r>
          </w:p>
        </w:tc>
        <w:tc>
          <w:tcPr>
            <w:tcW w:w="132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2,128,571</w:t>
            </w:r>
          </w:p>
        </w:tc>
        <w:tc>
          <w:tcPr>
            <w:tcW w:w="14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2,235,000</w:t>
            </w:r>
          </w:p>
        </w:tc>
        <w:tc>
          <w:tcPr>
            <w:tcW w:w="0" w:type="dxa"/>
            <w:vAlign w:val="bottom"/>
          </w:tcPr>
          <w:p>
            <w:pPr>
              <w:spacing w:after="0"/>
              <w:rPr>
                <w:sz w:val="1"/>
                <w:szCs w:val="1"/>
                <w:color w:val="auto"/>
              </w:rPr>
            </w:pPr>
          </w:p>
        </w:tc>
      </w:tr>
      <w:tr>
        <w:trPr>
          <w:trHeight w:val="187"/>
        </w:trPr>
        <w:tc>
          <w:tcPr>
            <w:tcW w:w="86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Kenneth C. Anderson, M.D.</w:t>
            </w:r>
            <w:r>
              <w:rPr>
                <w:rFonts w:ascii="Arial" w:cs="Arial" w:eastAsia="Arial" w:hAnsi="Arial"/>
                <w:sz w:val="14"/>
                <w:szCs w:val="14"/>
                <w:color w:val="auto"/>
              </w:rPr>
              <w:t>(4)</w:t>
            </w:r>
          </w:p>
        </w:tc>
        <w:tc>
          <w:tcPr>
            <w:tcW w:w="132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285,714</w:t>
            </w:r>
          </w:p>
        </w:tc>
        <w:tc>
          <w:tcPr>
            <w:tcW w:w="1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21" w:lineRule="exact"/>
        <w:rPr>
          <w:sz w:val="20"/>
          <w:szCs w:val="20"/>
          <w:color w:val="auto"/>
        </w:rPr>
      </w:pPr>
    </w:p>
    <w:p>
      <w:pPr>
        <w:jc w:val="both"/>
        <w:ind w:left="440" w:right="420" w:hanging="286"/>
        <w:spacing w:after="0" w:line="206" w:lineRule="auto"/>
        <w:tabs>
          <w:tab w:leader="none" w:pos="4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Consists of 20,952,403 shares of our Series B preferred stock purchased by Cobro Ventures Opportunity Fund, L.P. or Cobro Ventures. Each of Marc A. Cohen, who serves as a director and officer of the company, and Alain J. Cohen, who serves as a director of the company, is a manager of Cobro Opportunity Fund GP, LLC, the general partner of Cobro Ventures. Entities and persons affiliated with Cobro Ventures collectively hold more than 5% of our voting securities.</w:t>
      </w:r>
    </w:p>
    <w:p>
      <w:pPr>
        <w:spacing w:after="0" w:line="8" w:lineRule="exact"/>
        <w:rPr>
          <w:rFonts w:ascii="Arial" w:cs="Arial" w:eastAsia="Arial" w:hAnsi="Arial"/>
          <w:sz w:val="24"/>
          <w:szCs w:val="24"/>
          <w:color w:val="auto"/>
          <w:vertAlign w:val="superscript"/>
        </w:rPr>
      </w:pPr>
    </w:p>
    <w:p>
      <w:pPr>
        <w:ind w:left="440" w:right="220" w:hanging="286"/>
        <w:spacing w:after="0" w:line="194" w:lineRule="auto"/>
        <w:tabs>
          <w:tab w:leader="none" w:pos="4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Consists of 19,047,619 shares of our Series B preferred stock held by Perceptive Life Sciences Master Fund LTD. Entities affiliated with Perceptive Advisors collectively hold more than 5% of our voting securities.</w:t>
      </w:r>
    </w:p>
    <w:p>
      <w:pPr>
        <w:spacing w:after="0" w:line="7" w:lineRule="exact"/>
        <w:rPr>
          <w:rFonts w:ascii="Arial" w:cs="Arial" w:eastAsia="Arial" w:hAnsi="Arial"/>
          <w:sz w:val="24"/>
          <w:szCs w:val="24"/>
          <w:color w:val="auto"/>
          <w:vertAlign w:val="superscript"/>
        </w:rPr>
      </w:pPr>
    </w:p>
    <w:p>
      <w:pPr>
        <w:ind w:left="440" w:right="160" w:hanging="286"/>
        <w:spacing w:after="0" w:line="206" w:lineRule="auto"/>
        <w:tabs>
          <w:tab w:leader="none" w:pos="4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Consists of 9,061,905 shares of our Series B preferred stock purchased by RTW Master Fund, Ltd., 2,842,857 shares of our Series B preferred stock purchased by RTW Innovation Master Fund, Ltd and 2,380,953 shares of our Series B preferred stock purchased by RTW Venture Fund Limited. Entities affiliated with RTW Investments collectively hold more than 5% of our voting securities.</w:t>
      </w:r>
    </w:p>
    <w:p>
      <w:pPr>
        <w:spacing w:after="0" w:line="8" w:lineRule="exact"/>
        <w:rPr>
          <w:rFonts w:ascii="Arial" w:cs="Arial" w:eastAsia="Arial" w:hAnsi="Arial"/>
          <w:sz w:val="24"/>
          <w:szCs w:val="24"/>
          <w:color w:val="auto"/>
          <w:vertAlign w:val="superscript"/>
        </w:rPr>
      </w:pPr>
    </w:p>
    <w:p>
      <w:pPr>
        <w:ind w:left="440" w:right="40" w:hanging="286"/>
        <w:spacing w:after="0" w:line="206" w:lineRule="auto"/>
        <w:tabs>
          <w:tab w:leader="none" w:pos="4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Consists of 142,857 shares of our Series B preferred stock purchased by Kenneth C. Anderson 2015 Irrevocable Trust dated August 10, 2015, of which Mr. Anderson, who is a director of the company, is a beneficiary and 142,857 shares of our Series B preferred stock purchased by Cynthia E. Anderson 2015 Irrevocable Trust dated August 10, 2015, of which Mr. Anderson is also a beneficiary.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Every 8.4335 shares of Series B preferred stock will be automatically converted into one share of common stock upon the completion of this offering.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Perceptive Credit Agreement and Warrant</w:t>
      </w:r>
    </w:p>
    <w:p>
      <w:pPr>
        <w:spacing w:after="0" w:line="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June 2020, we entered into the Credit Agreement with Perceptive Credit, an affiliate of Perceptive Advisors, which beneficially owns more than 5% of our common stock. The Credit Agreement provides for a $20.0 million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40"/>
          </w:cols>
          <w:pgMar w:left="320" w:top="454" w:right="3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Delayed Draw Loan Facility. See “Management’s Discussion and Analysis of Financial Condition and Results of Operations—Liquidity and Capital Resources—Indebtedness” for a description of the terms of the Credit Agreement.</w:t>
      </w:r>
    </w:p>
    <w:p>
      <w:pPr>
        <w:spacing w:after="0" w:line="94"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During the six months ended June 30, 2020, the maximum amount of principal outstanding under the Credit Agreement was $12.5 million and $12.5 million of principal was outstanding as of June 30, 2020. The loans under the Credit Agreement accrue interest at an annual rate of one Month LIBOR plus 9.50%, provided that one Month LIBOR shall never be less than 1.75%.</w:t>
      </w:r>
    </w:p>
    <w:p>
      <w:pPr>
        <w:spacing w:after="0" w:line="111"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color w:val="auto"/>
        </w:rPr>
        <w:t>In connection with the entry into the Credit Agreement, we issued a warrant to purchase up to 2,857,142 shares of our Series B preferred stock at an exercise price of $1.05 per share to Perceptive Credit. See “Risk Factors—Risks Related to Our Financial Condition and Capital Requirements—Our Credit Agreement with Perceptive Credit contains restrictions that limit our flexibility in operating our business.”</w:t>
      </w:r>
    </w:p>
    <w:p>
      <w:pPr>
        <w:spacing w:after="0" w:line="165"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In connection with our Series A preferred stock financings and our Series B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to Directors and Executive Officers</w:t>
      </w:r>
    </w:p>
    <w:p>
      <w:pPr>
        <w:spacing w:after="0" w:line="44"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We have granted stock options to our directors and executive officers, as more fully described in the section titled “Executive Compensation” found elsewhere in this prospectus, as of December 31, 2019.</w:t>
      </w:r>
    </w:p>
    <w:p>
      <w:pPr>
        <w:spacing w:after="0" w:line="16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September 2020, we approved the issuance of stock options to Marc A. Cohen, our Co-Founder, Executive Chairman and interim Chief Executive Officer, and Andrew Hirsch, our President, director and Chief Executive Officer-elect, which election will be effective upon the effectiveness of the registration statement of which this prospectus forms a part, representing 1.5% and 3.5%, respectively, of our fully-diluted shares measured at such time (including the shares to be sold in this offering and excluding the shares reserved for future awards under our equity incentive plans) at an exercise price per share equal to the initial public offering price, per share in this offering. These options vest quarterly over four years subject to cliff vesting after six months. Mr. Cohen’s grant is subject to full acceleration upon a sale of the company. Mr. Hirsch’s option is subject to full acceleration upon a sale of the company and the termination of his employment thereafter pursuant to the terms of his employment agreement, subject to the execution of an effective release of claims in favor of the Company.</w:t>
      </w:r>
    </w:p>
    <w:p>
      <w:pPr>
        <w:spacing w:after="0" w:line="17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Assuming we sell 8,824,000 shares in this offering, as set forth on the cover page of this prospectus, and assuming no exercise by the underwriters of their option to purchase additional shares, Mr. Cohen’s stock options will be for 690,013 shares (710,912 shares if the underwriters exercise their option in full) and Mr. Hirsch’s stock options will be for 1,610,030 shares (1,658,794 shares if the underwriters exercise their option in full). The number of shares subject to each stock option will be larger or smaller if we sell more or fewer shares in this offering. An increase (decrease) of 1,000,000 shares in the number of shares offered by us, as set forth on the cover page of this prospectus, would increase (decrease) Mr. Cohen’s stock options by 15,789 shares (18,157 shares if the underwriters exercise their option in full) and Mr. Hirsch’s stock options by 36,842 shares (42,369 shares if the underwriters exercise their option in full).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At our request, the underwriters have reserved up to 5% of the shares of common stock being offered by this prospectus for sale, at the initial public offering price, to certain of our officers, directors, employees and other persons who do business with us. Any reserved shares purchased by our executive officers and members of their households will be subject to the 180-day lock-up described elsewhere in this prospectus. We do not currently know the extent to which these related persons will participate in our directed share program, if at all, or how much of our common stock they will purchase. See the section titled “Underwriting” for additional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20"/>
          </w:cols>
          <w:pgMar w:left="320" w:top="454" w:right="3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44"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In connection with this offering, we intend to enter into new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4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were disclosed to our board of directors prior to their consideration of such transaction and the transaction was not considered approved by our board of directors unless a majority of the directors who are not interested in the transaction approved the transaction. Further, when stockholders are entitled to vote on a transaction with a related party, the material facts of the related party’s relationship or interest in the transaction were disclosed to the stockholders, who must approve the transaction in good faith.</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connection with this offering, we expect to adopt a written related party transactions policy that will provide that such transactions must be approved by our audit committee. This policy will become effective on the date on which the registration statement of which this prospectus forms a part is 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20"/>
          </w:cols>
          <w:pgMar w:left="320" w:top="454" w:right="3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as of September 13, 2020, information regarding the beneficial ownership of our common stock by:</w:t>
      </w:r>
    </w:p>
    <w:p>
      <w:pPr>
        <w:spacing w:after="0" w:line="192" w:lineRule="exact"/>
        <w:rPr>
          <w:sz w:val="20"/>
          <w:szCs w:val="20"/>
          <w:color w:val="auto"/>
        </w:rPr>
      </w:pPr>
    </w:p>
    <w:p>
      <w:pPr>
        <w:ind w:left="880" w:right="20" w:hanging="432"/>
        <w:spacing w:after="0" w:line="255" w:lineRule="auto"/>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each person or group of affiliated persons, who is known by us to be the beneficial owner of 5% or more of our outstanding common stock (on an as-converted to common stock basis);</w:t>
      </w:r>
    </w:p>
    <w:p>
      <w:pPr>
        <w:spacing w:after="0" w:line="1" w:lineRule="exact"/>
        <w:rPr>
          <w:rFonts w:ascii="MS PGothic" w:cs="MS PGothic" w:eastAsia="MS PGothic" w:hAnsi="MS PGothic"/>
          <w:sz w:val="12"/>
          <w:szCs w:val="12"/>
          <w:color w:val="auto"/>
        </w:rPr>
      </w:pPr>
    </w:p>
    <w:p>
      <w:pPr>
        <w:ind w:left="880" w:hanging="432"/>
        <w:spacing w:after="0"/>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each of our directors;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each of our named executive officers; and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all of our current directors and executive officers as a group.</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information in the following table is calculated based on (i) 31,945,194 shares of common stock deemed to be outstanding as of September 13, 2020 and (ii) 40,769,194 shares of common stock outstanding after this offering, (assuming no exercise by the underwriters of their option to purchase additional shares of common stock). The number of shares of outstanding before this offering gives effect to the automatic conversion of all outstanding shares of our convertible preferred stock into 30,355,379 shares of common stock upon the completion of this offering and the reclassification of the warrant liability to additional paid-in capital upon the automatic conversion of preferred stock warrants into common stock warrants. The number of shares outstanding after this offering gives effect to the sale of 8,824,000 shares of common stock in this offering (assuming no exercise of the underwriters’ option to purchase additional shares).</w:t>
      </w:r>
    </w:p>
    <w:p>
      <w:pPr>
        <w:spacing w:after="0" w:line="20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September 13, 2020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w:t>
      </w:r>
    </w:p>
    <w:p>
      <w:pPr>
        <w:spacing w:after="0" w:line="120"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Each individual or entity shown on the table has furnished information with respect to beneficial ownership. Except as otherwise indicated below, the address of each officer, director and five percent stockholder listed below is c/o C4 Therapeutics, Inc., 490 Arsenal Way, Suite 200, Watertown, MA 02472.</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20"/>
          </w:cols>
          <w:pgMar w:left="320" w:top="454" w:right="3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SHARES OF</w:t>
            </w: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600" w:type="dxa"/>
            <w:vAlign w:val="bottom"/>
          </w:tcPr>
          <w:p>
            <w:pPr>
              <w:spacing w:after="0"/>
              <w:rPr>
                <w:sz w:val="13"/>
                <w:szCs w:val="13"/>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COMMON</w:t>
            </w:r>
          </w:p>
        </w:tc>
        <w:tc>
          <w:tcPr>
            <w:tcW w:w="38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PERCENTAGE OF SHARES OUTSTANDING</w:t>
            </w:r>
          </w:p>
        </w:tc>
        <w:tc>
          <w:tcPr>
            <w:tcW w:w="0" w:type="dxa"/>
            <w:vAlign w:val="bottom"/>
          </w:tcPr>
          <w:p>
            <w:pPr>
              <w:spacing w:after="0"/>
              <w:rPr>
                <w:sz w:val="1"/>
                <w:szCs w:val="1"/>
                <w:color w:val="auto"/>
              </w:rPr>
            </w:pPr>
          </w:p>
        </w:tc>
      </w:tr>
      <w:tr>
        <w:trPr>
          <w:trHeight w:val="69"/>
        </w:trPr>
        <w:tc>
          <w:tcPr>
            <w:tcW w:w="5600" w:type="dxa"/>
            <w:vAlign w:val="bottom"/>
          </w:tcPr>
          <w:p>
            <w:pPr>
              <w:spacing w:after="0"/>
              <w:rPr>
                <w:sz w:val="5"/>
                <w:szCs w:val="5"/>
                <w:color w:val="auto"/>
              </w:rPr>
            </w:pPr>
          </w:p>
        </w:tc>
        <w:tc>
          <w:tcPr>
            <w:tcW w:w="182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rPr>
              <w:t>STOCK</w:t>
            </w:r>
          </w:p>
        </w:tc>
        <w:tc>
          <w:tcPr>
            <w:tcW w:w="3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60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13"/>
                <w:szCs w:val="13"/>
                <w:color w:val="auto"/>
              </w:rPr>
            </w:pPr>
          </w:p>
        </w:tc>
        <w:tc>
          <w:tcPr>
            <w:tcW w:w="1820" w:type="dxa"/>
            <w:vAlign w:val="bottom"/>
            <w:gridSpan w:val="2"/>
          </w:tcPr>
          <w:p>
            <w:pPr>
              <w:jc w:val="center"/>
              <w:ind w:right="800"/>
              <w:spacing w:after="0" w:line="157" w:lineRule="exact"/>
              <w:rPr>
                <w:sz w:val="20"/>
                <w:szCs w:val="20"/>
                <w:color w:val="auto"/>
              </w:rPr>
            </w:pPr>
            <w:r>
              <w:rPr>
                <w:rFonts w:ascii="Arial" w:cs="Arial" w:eastAsia="Arial" w:hAnsi="Arial"/>
                <w:sz w:val="14"/>
                <w:szCs w:val="14"/>
                <w:b w:val="1"/>
                <w:bCs w:val="1"/>
                <w:color w:val="auto"/>
              </w:rPr>
              <w:t>BENEFICIALLY</w:t>
            </w:r>
          </w:p>
        </w:tc>
        <w:tc>
          <w:tcPr>
            <w:tcW w:w="23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BEFORE OFFERING</w:t>
            </w: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1820" w:type="dxa"/>
            <w:vAlign w:val="bottom"/>
            <w:gridSpan w:val="2"/>
          </w:tcPr>
          <w:p>
            <w:pPr>
              <w:jc w:val="center"/>
              <w:ind w:right="800"/>
              <w:spacing w:after="0" w:line="179" w:lineRule="exact"/>
              <w:rPr>
                <w:sz w:val="20"/>
                <w:szCs w:val="20"/>
                <w:color w:val="auto"/>
              </w:rPr>
            </w:pPr>
            <w:r>
              <w:rPr>
                <w:rFonts w:ascii="Arial" w:cs="Arial" w:eastAsia="Arial" w:hAnsi="Arial"/>
                <w:sz w:val="12"/>
                <w:szCs w:val="12"/>
                <w:b w:val="1"/>
                <w:bCs w:val="1"/>
                <w:color w:val="auto"/>
              </w:rPr>
              <w:t xml:space="preserve">OWNED </w:t>
            </w:r>
            <w:r>
              <w:rPr>
                <w:rFonts w:ascii="Arial" w:cs="Arial" w:eastAsia="Arial" w:hAnsi="Arial"/>
                <w:sz w:val="20"/>
                <w:szCs w:val="20"/>
                <w:b w:val="1"/>
                <w:bCs w:val="1"/>
                <w:color w:val="auto"/>
                <w:vertAlign w:val="superscript"/>
              </w:rPr>
              <w:t>(1)</w:t>
            </w:r>
          </w:p>
        </w:tc>
        <w:tc>
          <w:tcPr>
            <w:tcW w:w="23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0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5% or Greater Stockholders</w:t>
            </w:r>
          </w:p>
        </w:tc>
        <w:tc>
          <w:tcPr>
            <w:tcW w:w="10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600" w:type="dxa"/>
            <w:vAlign w:val="bottom"/>
          </w:tcPr>
          <w:p>
            <w:pPr>
              <w:spacing w:after="0" w:line="187" w:lineRule="exact"/>
              <w:rPr>
                <w:sz w:val="20"/>
                <w:szCs w:val="20"/>
                <w:color w:val="auto"/>
              </w:rPr>
            </w:pPr>
            <w:r>
              <w:rPr>
                <w:rFonts w:ascii="Arial" w:cs="Arial" w:eastAsia="Arial" w:hAnsi="Arial"/>
                <w:sz w:val="17"/>
                <w:szCs w:val="17"/>
                <w:color w:val="auto"/>
              </w:rPr>
              <w:t xml:space="preserve">Cobro Ventures and its affiliates </w:t>
            </w:r>
            <w:r>
              <w:rPr>
                <w:rFonts w:ascii="Arial" w:cs="Arial" w:eastAsia="Arial" w:hAnsi="Arial"/>
                <w:sz w:val="14"/>
                <w:szCs w:val="14"/>
                <w:color w:val="auto"/>
              </w:rPr>
              <w:t>(2)</w:t>
            </w:r>
          </w:p>
        </w:tc>
        <w:tc>
          <w:tcPr>
            <w:tcW w:w="1820" w:type="dxa"/>
            <w:vAlign w:val="bottom"/>
            <w:gridSpan w:val="2"/>
          </w:tcPr>
          <w:p>
            <w:pPr>
              <w:jc w:val="right"/>
              <w:ind w:right="800"/>
              <w:spacing w:after="0" w:line="187" w:lineRule="exact"/>
              <w:rPr>
                <w:sz w:val="20"/>
                <w:szCs w:val="20"/>
                <w:color w:val="auto"/>
              </w:rPr>
            </w:pPr>
            <w:r>
              <w:rPr>
                <w:rFonts w:ascii="Arial" w:cs="Arial" w:eastAsia="Arial" w:hAnsi="Arial"/>
                <w:sz w:val="17"/>
                <w:szCs w:val="17"/>
                <w:color w:val="auto"/>
              </w:rPr>
              <w:t>3,726,635</w:t>
            </w:r>
          </w:p>
        </w:tc>
        <w:tc>
          <w:tcPr>
            <w:tcW w:w="2340" w:type="dxa"/>
            <w:vAlign w:val="bottom"/>
            <w:gridSpan w:val="2"/>
          </w:tcPr>
          <w:p>
            <w:pPr>
              <w:jc w:val="right"/>
              <w:ind w:right="780"/>
              <w:spacing w:after="0" w:line="187" w:lineRule="exact"/>
              <w:rPr>
                <w:sz w:val="20"/>
                <w:szCs w:val="20"/>
                <w:color w:val="auto"/>
              </w:rPr>
            </w:pPr>
            <w:r>
              <w:rPr>
                <w:rFonts w:ascii="Arial" w:cs="Arial" w:eastAsia="Arial" w:hAnsi="Arial"/>
                <w:sz w:val="17"/>
                <w:szCs w:val="17"/>
                <w:color w:val="auto"/>
              </w:rPr>
              <w:t>11.7%</w:t>
            </w:r>
          </w:p>
        </w:tc>
        <w:tc>
          <w:tcPr>
            <w:tcW w:w="14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Perceptive Advisors </w:t>
            </w:r>
            <w:r>
              <w:rPr>
                <w:rFonts w:ascii="Arial" w:cs="Arial" w:eastAsia="Arial" w:hAnsi="Arial"/>
                <w:sz w:val="14"/>
                <w:szCs w:val="14"/>
                <w:color w:val="auto"/>
              </w:rPr>
              <w:t>(3)</w:t>
            </w:r>
          </w:p>
        </w:tc>
        <w:tc>
          <w:tcPr>
            <w:tcW w:w="182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2,597,350</w:t>
            </w:r>
          </w:p>
        </w:tc>
        <w:tc>
          <w:tcPr>
            <w:tcW w:w="2340" w:type="dxa"/>
            <w:vAlign w:val="bottom"/>
            <w:gridSpan w:val="2"/>
            <w:shd w:val="clear" w:color="auto" w:fill="CCEEFF"/>
          </w:tcPr>
          <w:p>
            <w:pPr>
              <w:jc w:val="right"/>
              <w:ind w:right="780"/>
              <w:spacing w:after="0" w:line="187" w:lineRule="exact"/>
              <w:rPr>
                <w:sz w:val="20"/>
                <w:szCs w:val="20"/>
                <w:color w:val="auto"/>
              </w:rPr>
            </w:pPr>
            <w:r>
              <w:rPr>
                <w:rFonts w:ascii="Arial" w:cs="Arial" w:eastAsia="Arial" w:hAnsi="Arial"/>
                <w:sz w:val="17"/>
                <w:szCs w:val="17"/>
                <w:color w:val="auto"/>
              </w:rPr>
              <w:t>8.0%</w:t>
            </w:r>
          </w:p>
        </w:tc>
        <w:tc>
          <w:tcPr>
            <w:tcW w:w="14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7"/>
        </w:trPr>
        <w:tc>
          <w:tcPr>
            <w:tcW w:w="5600" w:type="dxa"/>
            <w:vAlign w:val="bottom"/>
          </w:tcPr>
          <w:p>
            <w:pPr>
              <w:spacing w:after="0" w:line="187" w:lineRule="exact"/>
              <w:rPr>
                <w:sz w:val="20"/>
                <w:szCs w:val="20"/>
                <w:color w:val="auto"/>
              </w:rPr>
            </w:pPr>
            <w:r>
              <w:rPr>
                <w:rFonts w:ascii="Arial" w:cs="Arial" w:eastAsia="Arial" w:hAnsi="Arial"/>
                <w:sz w:val="17"/>
                <w:szCs w:val="17"/>
                <w:color w:val="auto"/>
              </w:rPr>
              <w:t xml:space="preserve">Cormorant Funds </w:t>
            </w:r>
            <w:r>
              <w:rPr>
                <w:rFonts w:ascii="Arial" w:cs="Arial" w:eastAsia="Arial" w:hAnsi="Arial"/>
                <w:sz w:val="14"/>
                <w:szCs w:val="14"/>
                <w:color w:val="auto"/>
              </w:rPr>
              <w:t>(4)</w:t>
            </w:r>
          </w:p>
        </w:tc>
        <w:tc>
          <w:tcPr>
            <w:tcW w:w="1820" w:type="dxa"/>
            <w:vAlign w:val="bottom"/>
            <w:gridSpan w:val="2"/>
          </w:tcPr>
          <w:p>
            <w:pPr>
              <w:jc w:val="right"/>
              <w:ind w:right="800"/>
              <w:spacing w:after="0" w:line="187" w:lineRule="exact"/>
              <w:rPr>
                <w:sz w:val="20"/>
                <w:szCs w:val="20"/>
                <w:color w:val="auto"/>
              </w:rPr>
            </w:pPr>
            <w:r>
              <w:rPr>
                <w:rFonts w:ascii="Arial" w:cs="Arial" w:eastAsia="Arial" w:hAnsi="Arial"/>
                <w:sz w:val="17"/>
                <w:szCs w:val="17"/>
                <w:color w:val="auto"/>
              </w:rPr>
              <w:t>2,495,147</w:t>
            </w:r>
          </w:p>
        </w:tc>
        <w:tc>
          <w:tcPr>
            <w:tcW w:w="2340" w:type="dxa"/>
            <w:vAlign w:val="bottom"/>
            <w:gridSpan w:val="2"/>
          </w:tcPr>
          <w:p>
            <w:pPr>
              <w:jc w:val="right"/>
              <w:ind w:right="780"/>
              <w:spacing w:after="0" w:line="187" w:lineRule="exact"/>
              <w:rPr>
                <w:sz w:val="20"/>
                <w:szCs w:val="20"/>
                <w:color w:val="auto"/>
              </w:rPr>
            </w:pPr>
            <w:r>
              <w:rPr>
                <w:rFonts w:ascii="Arial" w:cs="Arial" w:eastAsia="Arial" w:hAnsi="Arial"/>
                <w:sz w:val="17"/>
                <w:szCs w:val="17"/>
                <w:color w:val="auto"/>
              </w:rPr>
              <w:t>7.8%</w:t>
            </w:r>
          </w:p>
        </w:tc>
        <w:tc>
          <w:tcPr>
            <w:tcW w:w="14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RTW Funds </w:t>
            </w:r>
            <w:r>
              <w:rPr>
                <w:rFonts w:ascii="Arial" w:cs="Arial" w:eastAsia="Arial" w:hAnsi="Arial"/>
                <w:sz w:val="14"/>
                <w:szCs w:val="14"/>
                <w:color w:val="auto"/>
              </w:rPr>
              <w:t>(5)</w:t>
            </w:r>
          </w:p>
        </w:tc>
        <w:tc>
          <w:tcPr>
            <w:tcW w:w="182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1,693,923</w:t>
            </w:r>
          </w:p>
        </w:tc>
        <w:tc>
          <w:tcPr>
            <w:tcW w:w="2340" w:type="dxa"/>
            <w:vAlign w:val="bottom"/>
            <w:gridSpan w:val="2"/>
            <w:shd w:val="clear" w:color="auto" w:fill="CCEEFF"/>
          </w:tcPr>
          <w:p>
            <w:pPr>
              <w:jc w:val="right"/>
              <w:ind w:right="780"/>
              <w:spacing w:after="0" w:line="187" w:lineRule="exact"/>
              <w:rPr>
                <w:sz w:val="20"/>
                <w:szCs w:val="20"/>
                <w:color w:val="auto"/>
              </w:rPr>
            </w:pPr>
            <w:r>
              <w:rPr>
                <w:rFonts w:ascii="Arial" w:cs="Arial" w:eastAsia="Arial" w:hAnsi="Arial"/>
                <w:sz w:val="17"/>
                <w:szCs w:val="17"/>
                <w:color w:val="auto"/>
              </w:rPr>
              <w:t>5.3%</w:t>
            </w:r>
          </w:p>
        </w:tc>
        <w:tc>
          <w:tcPr>
            <w:tcW w:w="14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94"/>
        </w:trPr>
        <w:tc>
          <w:tcPr>
            <w:tcW w:w="5600" w:type="dxa"/>
            <w:vAlign w:val="bottom"/>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Marc A. Cohen </w:t>
            </w:r>
            <w:r>
              <w:rPr>
                <w:rFonts w:ascii="Arial" w:cs="Arial" w:eastAsia="Arial" w:hAnsi="Arial"/>
                <w:sz w:val="14"/>
                <w:szCs w:val="14"/>
                <w:color w:val="auto"/>
              </w:rPr>
              <w:t>(6)</w:t>
            </w:r>
          </w:p>
        </w:tc>
        <w:tc>
          <w:tcPr>
            <w:tcW w:w="182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5,579,110</w:t>
            </w:r>
          </w:p>
        </w:tc>
        <w:tc>
          <w:tcPr>
            <w:tcW w:w="2340" w:type="dxa"/>
            <w:vAlign w:val="bottom"/>
            <w:gridSpan w:val="2"/>
            <w:shd w:val="clear" w:color="auto" w:fill="CCEEFF"/>
          </w:tcPr>
          <w:p>
            <w:pPr>
              <w:jc w:val="right"/>
              <w:ind w:right="780"/>
              <w:spacing w:after="0" w:line="187" w:lineRule="exact"/>
              <w:rPr>
                <w:sz w:val="20"/>
                <w:szCs w:val="20"/>
                <w:color w:val="auto"/>
              </w:rPr>
            </w:pPr>
            <w:r>
              <w:rPr>
                <w:rFonts w:ascii="Arial" w:cs="Arial" w:eastAsia="Arial" w:hAnsi="Arial"/>
                <w:sz w:val="17"/>
                <w:szCs w:val="17"/>
                <w:color w:val="auto"/>
              </w:rPr>
              <w:t>17.5%</w:t>
            </w:r>
          </w:p>
        </w:tc>
        <w:tc>
          <w:tcPr>
            <w:tcW w:w="14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87"/>
        </w:trPr>
        <w:tc>
          <w:tcPr>
            <w:tcW w:w="5600" w:type="dxa"/>
            <w:vAlign w:val="bottom"/>
          </w:tcPr>
          <w:p>
            <w:pPr>
              <w:spacing w:after="0" w:line="187" w:lineRule="exact"/>
              <w:rPr>
                <w:sz w:val="20"/>
                <w:szCs w:val="20"/>
                <w:color w:val="auto"/>
              </w:rPr>
            </w:pPr>
            <w:r>
              <w:rPr>
                <w:rFonts w:ascii="Arial" w:cs="Arial" w:eastAsia="Arial" w:hAnsi="Arial"/>
                <w:sz w:val="17"/>
                <w:szCs w:val="17"/>
                <w:color w:val="auto"/>
              </w:rPr>
              <w:t>Andrew Hirsch</w:t>
            </w:r>
          </w:p>
        </w:tc>
        <w:tc>
          <w:tcPr>
            <w:tcW w:w="1820" w:type="dxa"/>
            <w:vAlign w:val="bottom"/>
            <w:gridSpan w:val="2"/>
          </w:tcPr>
          <w:p>
            <w:pPr>
              <w:jc w:val="right"/>
              <w:ind w:right="800"/>
              <w:spacing w:after="0" w:line="187" w:lineRule="exact"/>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940"/>
              <w:spacing w:after="0" w:line="187" w:lineRule="exact"/>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Andrew Phillips, Ph.D. </w:t>
            </w:r>
            <w:r>
              <w:rPr>
                <w:rFonts w:ascii="Arial" w:cs="Arial" w:eastAsia="Arial" w:hAnsi="Arial"/>
                <w:sz w:val="14"/>
                <w:szCs w:val="14"/>
                <w:color w:val="auto"/>
              </w:rPr>
              <w:t>(7)</w:t>
            </w:r>
          </w:p>
        </w:tc>
        <w:tc>
          <w:tcPr>
            <w:tcW w:w="182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w:t>
            </w:r>
          </w:p>
        </w:tc>
        <w:tc>
          <w:tcPr>
            <w:tcW w:w="2340" w:type="dxa"/>
            <w:vAlign w:val="bottom"/>
            <w:gridSpan w:val="2"/>
            <w:shd w:val="clear" w:color="auto" w:fill="CCEEFF"/>
          </w:tcPr>
          <w:p>
            <w:pPr>
              <w:jc w:val="right"/>
              <w:ind w:right="940"/>
              <w:spacing w:after="0" w:line="187"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600" w:type="dxa"/>
            <w:vAlign w:val="bottom"/>
          </w:tcPr>
          <w:p>
            <w:pPr>
              <w:spacing w:after="0" w:line="187" w:lineRule="exact"/>
              <w:rPr>
                <w:sz w:val="20"/>
                <w:szCs w:val="20"/>
                <w:color w:val="auto"/>
              </w:rPr>
            </w:pPr>
            <w:r>
              <w:rPr>
                <w:rFonts w:ascii="Arial" w:cs="Arial" w:eastAsia="Arial" w:hAnsi="Arial"/>
                <w:sz w:val="17"/>
                <w:szCs w:val="17"/>
                <w:color w:val="auto"/>
              </w:rPr>
              <w:t xml:space="preserve">Adam Crystal, M.D., Ph.D. </w:t>
            </w:r>
            <w:r>
              <w:rPr>
                <w:rFonts w:ascii="Arial" w:cs="Arial" w:eastAsia="Arial" w:hAnsi="Arial"/>
                <w:sz w:val="14"/>
                <w:szCs w:val="14"/>
                <w:color w:val="auto"/>
              </w:rPr>
              <w:t>(8)</w:t>
            </w:r>
          </w:p>
        </w:tc>
        <w:tc>
          <w:tcPr>
            <w:tcW w:w="1820" w:type="dxa"/>
            <w:vAlign w:val="bottom"/>
            <w:gridSpan w:val="2"/>
          </w:tcPr>
          <w:p>
            <w:pPr>
              <w:jc w:val="right"/>
              <w:ind w:right="800"/>
              <w:spacing w:after="0" w:line="187" w:lineRule="exact"/>
              <w:rPr>
                <w:sz w:val="20"/>
                <w:szCs w:val="20"/>
                <w:color w:val="auto"/>
              </w:rPr>
            </w:pPr>
            <w:r>
              <w:rPr>
                <w:rFonts w:ascii="Arial" w:cs="Arial" w:eastAsia="Arial" w:hAnsi="Arial"/>
                <w:sz w:val="17"/>
                <w:szCs w:val="17"/>
                <w:color w:val="auto"/>
              </w:rPr>
              <w:t>89,983</w:t>
            </w:r>
          </w:p>
        </w:tc>
        <w:tc>
          <w:tcPr>
            <w:tcW w:w="2340" w:type="dxa"/>
            <w:vAlign w:val="bottom"/>
            <w:gridSpan w:val="2"/>
          </w:tcPr>
          <w:p>
            <w:pPr>
              <w:jc w:val="right"/>
              <w:ind w:right="940"/>
              <w:spacing w:after="0" w:line="187" w:lineRule="exact"/>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Stewart Fisher, Ph.D. </w:t>
            </w:r>
            <w:r>
              <w:rPr>
                <w:rFonts w:ascii="Arial" w:cs="Arial" w:eastAsia="Arial" w:hAnsi="Arial"/>
                <w:sz w:val="14"/>
                <w:szCs w:val="14"/>
                <w:color w:val="auto"/>
              </w:rPr>
              <w:t>(9)</w:t>
            </w:r>
          </w:p>
        </w:tc>
        <w:tc>
          <w:tcPr>
            <w:tcW w:w="182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125,177</w:t>
            </w:r>
          </w:p>
        </w:tc>
        <w:tc>
          <w:tcPr>
            <w:tcW w:w="2340" w:type="dxa"/>
            <w:vAlign w:val="bottom"/>
            <w:gridSpan w:val="2"/>
            <w:shd w:val="clear" w:color="auto" w:fill="CCEEFF"/>
          </w:tcPr>
          <w:p>
            <w:pPr>
              <w:jc w:val="right"/>
              <w:ind w:right="940"/>
              <w:spacing w:after="0" w:line="187"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600" w:type="dxa"/>
            <w:vAlign w:val="bottom"/>
          </w:tcPr>
          <w:p>
            <w:pPr>
              <w:spacing w:after="0" w:line="187" w:lineRule="exact"/>
              <w:rPr>
                <w:sz w:val="20"/>
                <w:szCs w:val="20"/>
                <w:color w:val="auto"/>
              </w:rPr>
            </w:pPr>
            <w:r>
              <w:rPr>
                <w:rFonts w:ascii="Arial" w:cs="Arial" w:eastAsia="Arial" w:hAnsi="Arial"/>
                <w:sz w:val="17"/>
                <w:szCs w:val="17"/>
                <w:color w:val="auto"/>
              </w:rPr>
              <w:t xml:space="preserve">Kenneth C. Anderson, M.D. </w:t>
            </w:r>
            <w:r>
              <w:rPr>
                <w:rFonts w:ascii="Arial" w:cs="Arial" w:eastAsia="Arial" w:hAnsi="Arial"/>
                <w:sz w:val="14"/>
                <w:szCs w:val="14"/>
                <w:color w:val="auto"/>
              </w:rPr>
              <w:t>(10)</w:t>
            </w:r>
          </w:p>
        </w:tc>
        <w:tc>
          <w:tcPr>
            <w:tcW w:w="1820" w:type="dxa"/>
            <w:vAlign w:val="bottom"/>
            <w:gridSpan w:val="2"/>
          </w:tcPr>
          <w:p>
            <w:pPr>
              <w:jc w:val="right"/>
              <w:ind w:right="800"/>
              <w:spacing w:after="0" w:line="187" w:lineRule="exact"/>
              <w:rPr>
                <w:sz w:val="20"/>
                <w:szCs w:val="20"/>
                <w:color w:val="auto"/>
              </w:rPr>
            </w:pPr>
            <w:r>
              <w:rPr>
                <w:rFonts w:ascii="Arial" w:cs="Arial" w:eastAsia="Arial" w:hAnsi="Arial"/>
                <w:sz w:val="17"/>
                <w:szCs w:val="17"/>
                <w:color w:val="auto"/>
              </w:rPr>
              <w:t>287,148</w:t>
            </w:r>
          </w:p>
        </w:tc>
        <w:tc>
          <w:tcPr>
            <w:tcW w:w="2340" w:type="dxa"/>
            <w:vAlign w:val="bottom"/>
            <w:gridSpan w:val="2"/>
          </w:tcPr>
          <w:p>
            <w:pPr>
              <w:jc w:val="right"/>
              <w:ind w:right="940"/>
              <w:spacing w:after="0" w:line="187" w:lineRule="exact"/>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Bihua Chen </w:t>
            </w:r>
            <w:r>
              <w:rPr>
                <w:rFonts w:ascii="Arial" w:cs="Arial" w:eastAsia="Arial" w:hAnsi="Arial"/>
                <w:sz w:val="14"/>
                <w:szCs w:val="14"/>
                <w:color w:val="auto"/>
              </w:rPr>
              <w:t>(11)**</w:t>
            </w:r>
          </w:p>
        </w:tc>
        <w:tc>
          <w:tcPr>
            <w:tcW w:w="182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2,495,147</w:t>
            </w:r>
          </w:p>
        </w:tc>
        <w:tc>
          <w:tcPr>
            <w:tcW w:w="2340" w:type="dxa"/>
            <w:vAlign w:val="bottom"/>
            <w:gridSpan w:val="2"/>
            <w:shd w:val="clear" w:color="auto" w:fill="CCEEFF"/>
          </w:tcPr>
          <w:p>
            <w:pPr>
              <w:jc w:val="right"/>
              <w:ind w:right="780"/>
              <w:spacing w:after="0" w:line="187" w:lineRule="exact"/>
              <w:rPr>
                <w:sz w:val="20"/>
                <w:szCs w:val="20"/>
                <w:color w:val="auto"/>
              </w:rPr>
            </w:pPr>
            <w:r>
              <w:rPr>
                <w:rFonts w:ascii="Arial" w:cs="Arial" w:eastAsia="Arial" w:hAnsi="Arial"/>
                <w:sz w:val="17"/>
                <w:szCs w:val="17"/>
                <w:color w:val="auto"/>
              </w:rPr>
              <w:t>7.8%</w:t>
            </w:r>
          </w:p>
        </w:tc>
        <w:tc>
          <w:tcPr>
            <w:tcW w:w="14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87"/>
        </w:trPr>
        <w:tc>
          <w:tcPr>
            <w:tcW w:w="5600" w:type="dxa"/>
            <w:vAlign w:val="bottom"/>
          </w:tcPr>
          <w:p>
            <w:pPr>
              <w:spacing w:after="0" w:line="187" w:lineRule="exact"/>
              <w:rPr>
                <w:sz w:val="20"/>
                <w:szCs w:val="20"/>
                <w:color w:val="auto"/>
              </w:rPr>
            </w:pPr>
            <w:r>
              <w:rPr>
                <w:rFonts w:ascii="Arial" w:cs="Arial" w:eastAsia="Arial" w:hAnsi="Arial"/>
                <w:sz w:val="17"/>
                <w:szCs w:val="17"/>
                <w:color w:val="auto"/>
              </w:rPr>
              <w:t xml:space="preserve">Alain J. Cohen </w:t>
            </w:r>
            <w:r>
              <w:rPr>
                <w:rFonts w:ascii="Arial" w:cs="Arial" w:eastAsia="Arial" w:hAnsi="Arial"/>
                <w:sz w:val="14"/>
                <w:szCs w:val="14"/>
                <w:color w:val="auto"/>
              </w:rPr>
              <w:t>(12)</w:t>
            </w:r>
          </w:p>
        </w:tc>
        <w:tc>
          <w:tcPr>
            <w:tcW w:w="1820" w:type="dxa"/>
            <w:vAlign w:val="bottom"/>
            <w:gridSpan w:val="2"/>
          </w:tcPr>
          <w:p>
            <w:pPr>
              <w:jc w:val="right"/>
              <w:ind w:right="800"/>
              <w:spacing w:after="0" w:line="187" w:lineRule="exact"/>
              <w:rPr>
                <w:sz w:val="20"/>
                <w:szCs w:val="20"/>
                <w:color w:val="auto"/>
              </w:rPr>
            </w:pPr>
            <w:r>
              <w:rPr>
                <w:rFonts w:ascii="Arial" w:cs="Arial" w:eastAsia="Arial" w:hAnsi="Arial"/>
                <w:sz w:val="17"/>
                <w:szCs w:val="17"/>
                <w:color w:val="auto"/>
              </w:rPr>
              <w:t>5,451,050</w:t>
            </w:r>
          </w:p>
        </w:tc>
        <w:tc>
          <w:tcPr>
            <w:tcW w:w="2340" w:type="dxa"/>
            <w:vAlign w:val="bottom"/>
            <w:gridSpan w:val="2"/>
          </w:tcPr>
          <w:p>
            <w:pPr>
              <w:jc w:val="right"/>
              <w:ind w:right="780"/>
              <w:spacing w:after="0" w:line="187" w:lineRule="exact"/>
              <w:rPr>
                <w:sz w:val="20"/>
                <w:szCs w:val="20"/>
                <w:color w:val="auto"/>
              </w:rPr>
            </w:pPr>
            <w:r>
              <w:rPr>
                <w:rFonts w:ascii="Arial" w:cs="Arial" w:eastAsia="Arial" w:hAnsi="Arial"/>
                <w:sz w:val="17"/>
                <w:szCs w:val="17"/>
                <w:color w:val="auto"/>
              </w:rPr>
              <w:t>17.1%</w:t>
            </w:r>
          </w:p>
        </w:tc>
        <w:tc>
          <w:tcPr>
            <w:tcW w:w="14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Bruce Downey </w:t>
            </w:r>
            <w:r>
              <w:rPr>
                <w:rFonts w:ascii="Arial" w:cs="Arial" w:eastAsia="Arial" w:hAnsi="Arial"/>
                <w:sz w:val="14"/>
                <w:szCs w:val="14"/>
                <w:color w:val="auto"/>
              </w:rPr>
              <w:t>(13)</w:t>
            </w:r>
          </w:p>
        </w:tc>
        <w:tc>
          <w:tcPr>
            <w:tcW w:w="182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494,625</w:t>
            </w:r>
          </w:p>
        </w:tc>
        <w:tc>
          <w:tcPr>
            <w:tcW w:w="2340" w:type="dxa"/>
            <w:vAlign w:val="bottom"/>
            <w:gridSpan w:val="2"/>
            <w:shd w:val="clear" w:color="auto" w:fill="CCEEFF"/>
          </w:tcPr>
          <w:p>
            <w:pPr>
              <w:jc w:val="right"/>
              <w:ind w:right="780"/>
              <w:spacing w:after="0" w:line="187" w:lineRule="exact"/>
              <w:rPr>
                <w:sz w:val="20"/>
                <w:szCs w:val="20"/>
                <w:color w:val="auto"/>
              </w:rPr>
            </w:pPr>
            <w:r>
              <w:rPr>
                <w:rFonts w:ascii="Arial" w:cs="Arial" w:eastAsia="Arial" w:hAnsi="Arial"/>
                <w:sz w:val="17"/>
                <w:szCs w:val="17"/>
                <w:color w:val="auto"/>
              </w:rPr>
              <w:t>1.5%</w:t>
            </w:r>
          </w:p>
        </w:tc>
        <w:tc>
          <w:tcPr>
            <w:tcW w:w="14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7"/>
        </w:trPr>
        <w:tc>
          <w:tcPr>
            <w:tcW w:w="5600" w:type="dxa"/>
            <w:vAlign w:val="bottom"/>
          </w:tcPr>
          <w:p>
            <w:pPr>
              <w:spacing w:after="0" w:line="187" w:lineRule="exact"/>
              <w:rPr>
                <w:sz w:val="20"/>
                <w:szCs w:val="20"/>
                <w:color w:val="auto"/>
              </w:rPr>
            </w:pPr>
            <w:r>
              <w:rPr>
                <w:rFonts w:ascii="Arial" w:cs="Arial" w:eastAsia="Arial" w:hAnsi="Arial"/>
                <w:sz w:val="17"/>
                <w:szCs w:val="17"/>
                <w:color w:val="auto"/>
              </w:rPr>
              <w:t xml:space="preserve">Elena Prokupets, Ph.D. </w:t>
            </w:r>
            <w:r>
              <w:rPr>
                <w:rFonts w:ascii="Arial" w:cs="Arial" w:eastAsia="Arial" w:hAnsi="Arial"/>
                <w:sz w:val="14"/>
                <w:szCs w:val="14"/>
                <w:color w:val="auto"/>
              </w:rPr>
              <w:t>(14)</w:t>
            </w:r>
          </w:p>
        </w:tc>
        <w:tc>
          <w:tcPr>
            <w:tcW w:w="1820" w:type="dxa"/>
            <w:vAlign w:val="bottom"/>
            <w:gridSpan w:val="2"/>
          </w:tcPr>
          <w:p>
            <w:pPr>
              <w:jc w:val="right"/>
              <w:ind w:right="800"/>
              <w:spacing w:after="0" w:line="187" w:lineRule="exact"/>
              <w:rPr>
                <w:sz w:val="20"/>
                <w:szCs w:val="20"/>
                <w:color w:val="auto"/>
              </w:rPr>
            </w:pPr>
            <w:r>
              <w:rPr>
                <w:rFonts w:ascii="Arial" w:cs="Arial" w:eastAsia="Arial" w:hAnsi="Arial"/>
                <w:sz w:val="17"/>
                <w:szCs w:val="17"/>
                <w:color w:val="auto"/>
              </w:rPr>
              <w:t>716,530</w:t>
            </w:r>
          </w:p>
        </w:tc>
        <w:tc>
          <w:tcPr>
            <w:tcW w:w="2340" w:type="dxa"/>
            <w:vAlign w:val="bottom"/>
            <w:gridSpan w:val="2"/>
          </w:tcPr>
          <w:p>
            <w:pPr>
              <w:jc w:val="right"/>
              <w:ind w:right="780"/>
              <w:spacing w:after="0" w:line="187" w:lineRule="exact"/>
              <w:rPr>
                <w:sz w:val="20"/>
                <w:szCs w:val="20"/>
                <w:color w:val="auto"/>
              </w:rPr>
            </w:pPr>
            <w:r>
              <w:rPr>
                <w:rFonts w:ascii="Arial" w:cs="Arial" w:eastAsia="Arial" w:hAnsi="Arial"/>
                <w:sz w:val="17"/>
                <w:szCs w:val="17"/>
                <w:color w:val="auto"/>
              </w:rPr>
              <w:t>2.2%</w:t>
            </w:r>
          </w:p>
        </w:tc>
        <w:tc>
          <w:tcPr>
            <w:tcW w:w="14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Malcolm Salter </w:t>
            </w:r>
            <w:r>
              <w:rPr>
                <w:rFonts w:ascii="Arial" w:cs="Arial" w:eastAsia="Arial" w:hAnsi="Arial"/>
                <w:sz w:val="14"/>
                <w:szCs w:val="14"/>
                <w:color w:val="auto"/>
              </w:rPr>
              <w:t>(15)</w:t>
            </w:r>
          </w:p>
        </w:tc>
        <w:tc>
          <w:tcPr>
            <w:tcW w:w="182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19,762</w:t>
            </w:r>
          </w:p>
        </w:tc>
        <w:tc>
          <w:tcPr>
            <w:tcW w:w="2340" w:type="dxa"/>
            <w:vAlign w:val="bottom"/>
            <w:gridSpan w:val="2"/>
            <w:shd w:val="clear" w:color="auto" w:fill="CCEEFF"/>
          </w:tcPr>
          <w:p>
            <w:pPr>
              <w:jc w:val="right"/>
              <w:ind w:right="940"/>
              <w:spacing w:after="0" w:line="187"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7"/>
                <w:szCs w:val="17"/>
                <w:color w:val="auto"/>
              </w:rPr>
              <w:t xml:space="preserve">All executive officers and directors as a group (13 persons) </w:t>
            </w:r>
            <w:r>
              <w:rPr>
                <w:rFonts w:ascii="Arial" w:cs="Arial" w:eastAsia="Arial" w:hAnsi="Arial"/>
                <w:sz w:val="14"/>
                <w:szCs w:val="14"/>
                <w:color w:val="auto"/>
              </w:rPr>
              <w:t>(16)</w:t>
            </w:r>
          </w:p>
        </w:tc>
        <w:tc>
          <w:tcPr>
            <w:tcW w:w="1820" w:type="dxa"/>
            <w:vAlign w:val="bottom"/>
            <w:gridSpan w:val="2"/>
          </w:tcPr>
          <w:p>
            <w:pPr>
              <w:jc w:val="right"/>
              <w:ind w:right="800"/>
              <w:spacing w:after="0"/>
              <w:rPr>
                <w:sz w:val="20"/>
                <w:szCs w:val="20"/>
                <w:color w:val="auto"/>
              </w:rPr>
            </w:pPr>
            <w:r>
              <w:rPr>
                <w:rFonts w:ascii="Arial" w:cs="Arial" w:eastAsia="Arial" w:hAnsi="Arial"/>
                <w:sz w:val="17"/>
                <w:szCs w:val="17"/>
                <w:color w:val="auto"/>
              </w:rPr>
              <w:t>11,551,651</w:t>
            </w:r>
          </w:p>
        </w:tc>
        <w:tc>
          <w:tcPr>
            <w:tcW w:w="2340" w:type="dxa"/>
            <w:vAlign w:val="bottom"/>
            <w:gridSpan w:val="2"/>
          </w:tcPr>
          <w:p>
            <w:pPr>
              <w:jc w:val="right"/>
              <w:ind w:right="780"/>
              <w:spacing w:after="0"/>
              <w:rPr>
                <w:sz w:val="20"/>
                <w:szCs w:val="20"/>
                <w:color w:val="auto"/>
              </w:rPr>
            </w:pPr>
            <w:r>
              <w:rPr>
                <w:rFonts w:ascii="Arial" w:cs="Arial" w:eastAsia="Arial" w:hAnsi="Arial"/>
                <w:sz w:val="17"/>
                <w:szCs w:val="17"/>
                <w:color w:val="auto"/>
              </w:rPr>
              <w:t>36.1%</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1335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92" w:lineRule="exact"/>
        <w:rPr>
          <w:sz w:val="20"/>
          <w:szCs w:val="20"/>
          <w:color w:val="auto"/>
        </w:rPr>
      </w:pPr>
    </w:p>
    <w:p>
      <w:pPr>
        <w:ind w:left="440" w:hanging="154"/>
        <w:spacing w:after="0"/>
        <w:tabs>
          <w:tab w:leader="none" w:pos="440" w:val="left"/>
        </w:tabs>
        <w:numPr>
          <w:ilvl w:val="1"/>
          <w:numId w:val="86"/>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39" w:lineRule="exact"/>
        <w:rPr>
          <w:rFonts w:ascii="Arial" w:cs="Arial" w:eastAsia="Arial" w:hAnsi="Arial"/>
          <w:sz w:val="14"/>
          <w:szCs w:val="14"/>
          <w:color w:val="auto"/>
        </w:rPr>
      </w:pPr>
    </w:p>
    <w:p>
      <w:pPr>
        <w:ind w:left="440" w:right="340" w:hanging="286"/>
        <w:spacing w:after="0" w:line="194"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All share numbers give effect to the conversion of our outstanding convertible preferred stock into shares of common stock upon the closing of this offering. The share numbers do not include any shares of common stock that may be acquired under the directed share program in this offering.</w:t>
      </w:r>
    </w:p>
    <w:p>
      <w:pPr>
        <w:spacing w:after="0" w:line="7" w:lineRule="exact"/>
        <w:rPr>
          <w:rFonts w:ascii="Arial" w:cs="Arial" w:eastAsia="Arial" w:hAnsi="Arial"/>
          <w:sz w:val="24"/>
          <w:szCs w:val="24"/>
          <w:color w:val="auto"/>
          <w:vertAlign w:val="superscript"/>
        </w:rPr>
      </w:pPr>
    </w:p>
    <w:p>
      <w:pPr>
        <w:ind w:left="440" w:hanging="286"/>
        <w:spacing w:after="0" w:line="229"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Consists of (i) 2,484,425 shares of common stock held by Cobro Ventures Opportunity Fund, L.P., or Cobro Ventures; (ii) 677,569 shares of common stock held by BC DynamoPharm Limited, or 3E Bio; (iii) 508,177 shares of common stock held by Yongli (Cayman) Limited, or Yongli; and (vi) 56,464 shares of common stock held by Yonjin Venture LLC, or Yonjin. Marc Cohen and Alain Cohen are managers of Cobro Opportunity Fund GP, LLC, the general partner of Cobro Ventures, and may be deemed to exercise shared voting and investment power over the shares held by Cobro Ventures. They disclaim beneficial ownership of the shares held by Cobro Ventures except to the extent of their respective pecuniary interest in such shares. Each of 3E Bio, Yongli and Yonjin has granted a voting proxy over its shares of our common stock to Cobro Ventures, Inc., subject to termination upon the completion of this offering. Marc Cohen and Alain Cohen are co-chief executive officers of Cobro Ventures, Inc. and may be deemed to have shared voting power over the shares subject to each such proxy. They disclaim beneficial ownership of the shares subject to each such proxy. For the avoidance of doubt, the shares subject to each such proxy are included in determining the percentage of shares outstanding before this offering for Marc Cohen, Alain Cohen and Cobro Ventures, and such shares are excluded in determining the percentage of shares outstanding after this offering owing to the termination of each such proxy upon the completion of this offering. Cobro Ventures and Cobro Ventures, Inc. may be deemed affiliated with each other due to their common control by Marc Cohen and Alain Cohen. Marc Cohen is our director, Co-Founder, Executive Chairman and Chief Executive Officer, and Alain Cohen is our director. The address for each of Cobro Ventures and Cobro Ventures, Inc. is 1000 Wilson Blvd. #1800, Arlington, VA 22209.</w:t>
      </w:r>
    </w:p>
    <w:p>
      <w:pPr>
        <w:spacing w:after="0" w:line="12" w:lineRule="exact"/>
        <w:rPr>
          <w:rFonts w:ascii="Arial" w:cs="Arial" w:eastAsia="Arial" w:hAnsi="Arial"/>
          <w:sz w:val="24"/>
          <w:szCs w:val="24"/>
          <w:color w:val="auto"/>
          <w:vertAlign w:val="superscript"/>
        </w:rPr>
      </w:pPr>
    </w:p>
    <w:p>
      <w:pPr>
        <w:ind w:left="440" w:right="40" w:hanging="286"/>
        <w:spacing w:after="0" w:line="206"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Consists of 2,258,566 shares of common stock held by Perceptive Life Sciences Master Fund LTD. and warrants to purchase an aggregate of 338,784 shares of common stock held by Perceptive Credit Holdings III, LP. Perceptive Life Sciences Master Fund LTD. and Perceptive Credit Holdings III, LP are referred to collectively as Perceptive Advisors. The address for Perceptive Advisors is 51 Astor Place, 10th Floor, New York, NY 10003.</w:t>
      </w:r>
    </w:p>
    <w:p>
      <w:pPr>
        <w:spacing w:after="0" w:line="8" w:lineRule="exact"/>
        <w:rPr>
          <w:rFonts w:ascii="Arial" w:cs="Arial" w:eastAsia="Arial" w:hAnsi="Arial"/>
          <w:sz w:val="24"/>
          <w:szCs w:val="24"/>
          <w:color w:val="auto"/>
          <w:vertAlign w:val="superscript"/>
        </w:rPr>
      </w:pPr>
    </w:p>
    <w:p>
      <w:pPr>
        <w:ind w:left="440" w:right="60" w:hanging="286"/>
        <w:spacing w:after="0"/>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Consists of (i) 1,867,550 shares of common stock held by Cormorant Private Healthcare Fund I, LP, or Cormorant Private Fund; (ii) 522,040 shares of common stock held by Cormorant Global Healthcare Master Fund, LP or Cormorant Master Fund; (iii) 100,474 shares of common stock held by CRMA SPV, L.P. or CRMA; and (iv) 5,083 shares of common stock exercisable within 60 days of September 13, 2020 underlying options held by Bihua Chen. Cormorant Private Fund, Cormorant Master Fund and CRMA are referred to collectively as the Cormorant Funds. The shares issuable upon the exercise of such options shall be transferred to the Cormorant Funds on a pro rata basis. The sole general partner of each of the Cormorant Private Fund and the Cormorant Master Fund is Cormorant Private Healthcare GP, LLC or the GP. Ms. Chen is the sole managing member of the GP and may be deemed to have sole voting and investment power of the securities held by the Cormorant Private Fund and the Cormorant Master Fund. She disclaims beneficial ownership of the shares held by the Cormorant Funds, except to the extent of her pecuniary interest in such shares. The sole investment manager of CRMA is Cormorant Asset Management, LLC, or the Manager. Ms. Chen is the sole managing member of the Manager and may be deemed to have sole voting and investment power of the shares held by CRMA. The address for each of the Cormorant Funds is 200 Clarendon Street, 52nd Floor, Boston, MA 02116.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40"/>
          </w:cols>
          <w:pgMar w:left="320" w:top="454" w:right="3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40" w:hanging="286"/>
        <w:spacing w:after="0" w:line="213" w:lineRule="auto"/>
        <w:tabs>
          <w:tab w:leader="none" w:pos="4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(i) 1,074,512 shares of common stock held by RTW Master Fund, Ltd. or the RTW Master Fund; (ii) 337,091 shares of common stock held by RTW Innovation Master Fund, Ltd or the RTW Innovation Fund; and (iii) 282,320 shares of common stock held by RTW Venture Fund Limited or the RTW Venture Fund. RTW Master Fund, RTW Innovation Fund and RTW Venture Fund are referred to collectively as the RTW Funds. The address for each of the RTW Funds is 412 West 15th Street, Floor 9, New York, NY 10011.</w:t>
      </w:r>
    </w:p>
    <w:p>
      <w:pPr>
        <w:spacing w:after="0" w:line="8" w:lineRule="exact"/>
        <w:rPr>
          <w:rFonts w:ascii="Arial" w:cs="Arial" w:eastAsia="Arial" w:hAnsi="Arial"/>
          <w:sz w:val="24"/>
          <w:szCs w:val="24"/>
          <w:color w:val="auto"/>
          <w:vertAlign w:val="superscript"/>
        </w:rPr>
      </w:pPr>
    </w:p>
    <w:p>
      <w:pPr>
        <w:ind w:left="440" w:right="260" w:hanging="286"/>
        <w:spacing w:after="0" w:line="186" w:lineRule="auto"/>
        <w:tabs>
          <w:tab w:leader="none" w:pos="4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(i) 1,847,392 shares of common stock held by Mr. Cohen as trustee of Marc Andrew Cohen Revocable Trust; (ii) 5,083 shares of common stock exercisable within 60 days of September 13, 2020 underlying options held by Mr. Cohen; and (iii) the shares of common stock described in note (2) above.</w:t>
      </w:r>
    </w:p>
    <w:p>
      <w:pPr>
        <w:ind w:left="440" w:hanging="286"/>
        <w:spacing w:after="0" w:line="182" w:lineRule="auto"/>
        <w:tabs>
          <w:tab w:leader="none" w:pos="440" w:val="left"/>
        </w:tabs>
        <w:numPr>
          <w:ilvl w:val="0"/>
          <w:numId w:val="87"/>
        </w:numPr>
        <w:rPr>
          <w:rFonts w:ascii="Arial" w:cs="Arial" w:eastAsia="Arial" w:hAnsi="Arial"/>
          <w:sz w:val="20"/>
          <w:szCs w:val="20"/>
          <w:color w:val="auto"/>
          <w:vertAlign w:val="superscript"/>
        </w:rPr>
      </w:pPr>
      <w:r>
        <w:rPr>
          <w:rFonts w:ascii="Arial" w:cs="Arial" w:eastAsia="Arial" w:hAnsi="Arial"/>
          <w:sz w:val="12"/>
          <w:szCs w:val="12"/>
          <w:color w:val="auto"/>
        </w:rPr>
        <w:t>Dr. Phillips’ employment terminated on March 3, 2020.</w:t>
      </w:r>
    </w:p>
    <w:p>
      <w:pPr>
        <w:spacing w:after="0" w:line="26" w:lineRule="exact"/>
        <w:rPr>
          <w:rFonts w:ascii="Arial" w:cs="Arial" w:eastAsia="Arial" w:hAnsi="Arial"/>
          <w:sz w:val="20"/>
          <w:szCs w:val="20"/>
          <w:color w:val="auto"/>
          <w:vertAlign w:val="superscript"/>
        </w:rPr>
      </w:pPr>
    </w:p>
    <w:p>
      <w:pPr>
        <w:ind w:left="440" w:hanging="286"/>
        <w:spacing w:after="0" w:line="182" w:lineRule="auto"/>
        <w:tabs>
          <w:tab w:leader="none" w:pos="440" w:val="left"/>
        </w:tabs>
        <w:numPr>
          <w:ilvl w:val="0"/>
          <w:numId w:val="87"/>
        </w:numPr>
        <w:rPr>
          <w:rFonts w:ascii="Arial" w:cs="Arial" w:eastAsia="Arial" w:hAnsi="Arial"/>
          <w:sz w:val="20"/>
          <w:szCs w:val="20"/>
          <w:color w:val="auto"/>
          <w:vertAlign w:val="superscript"/>
        </w:rPr>
      </w:pPr>
      <w:r>
        <w:rPr>
          <w:rFonts w:ascii="Arial" w:cs="Arial" w:eastAsia="Arial" w:hAnsi="Arial"/>
          <w:sz w:val="12"/>
          <w:szCs w:val="12"/>
          <w:color w:val="auto"/>
        </w:rPr>
        <w:t>Consists of 89,983 shares of common stock exercisable within 60 days of September 13, 2020 underlying options held by Dr. Crystal.</w:t>
      </w:r>
    </w:p>
    <w:p>
      <w:pPr>
        <w:spacing w:after="0" w:line="26" w:lineRule="exact"/>
        <w:rPr>
          <w:rFonts w:ascii="Arial" w:cs="Arial" w:eastAsia="Arial" w:hAnsi="Arial"/>
          <w:sz w:val="20"/>
          <w:szCs w:val="20"/>
          <w:color w:val="auto"/>
          <w:vertAlign w:val="superscript"/>
        </w:rPr>
      </w:pPr>
    </w:p>
    <w:p>
      <w:pPr>
        <w:ind w:left="440" w:right="140" w:hanging="286"/>
        <w:spacing w:after="0" w:line="184" w:lineRule="auto"/>
        <w:tabs>
          <w:tab w:leader="none" w:pos="4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85,372 shares of common stock held by Dr. Fisher and 39,805 shares of common stock exercisable within 60 days of September 13, 2020 underlying options held by Dr. Fisher.</w:t>
      </w:r>
    </w:p>
    <w:p>
      <w:pPr>
        <w:spacing w:after="0" w:line="8" w:lineRule="exact"/>
        <w:rPr>
          <w:rFonts w:ascii="Arial" w:cs="Arial" w:eastAsia="Arial" w:hAnsi="Arial"/>
          <w:sz w:val="24"/>
          <w:szCs w:val="24"/>
          <w:color w:val="auto"/>
          <w:vertAlign w:val="superscript"/>
        </w:rPr>
      </w:pPr>
    </w:p>
    <w:p>
      <w:pPr>
        <w:ind w:left="440" w:hanging="353"/>
        <w:spacing w:after="0" w:line="213" w:lineRule="auto"/>
        <w:tabs>
          <w:tab w:leader="none" w:pos="4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(i) 16,939 shares of common stock held by Kenneth C. Anderson 2015 Irrevocable Trust; (ii) 16,939 shares of common stock held by Cynthia E. Anderson 2015 Irrevocable Trust; (iii) 63,543 shares of common stock held by Kenneth C. Anderson 2016 Grantor Retained Annuity Trust; (iv) 63,543 shares of common stock held by Cynthia E. Anderson 2016 Grantor Retained Annuity Trust; (v) 80,376 shares of common stock held by Dr. Anderson; (vi) 45,038 shares of common stock held by Cynthia Anderson; and (vii) 770 shares of common stock exercisable within 60 days of September 13, 2020 underlying options held by Dr. Anderson.</w:t>
      </w:r>
    </w:p>
    <w:p>
      <w:pPr>
        <w:ind w:left="440" w:hanging="344"/>
        <w:spacing w:after="0" w:line="182" w:lineRule="auto"/>
        <w:tabs>
          <w:tab w:leader="none" w:pos="440" w:val="left"/>
        </w:tabs>
        <w:numPr>
          <w:ilvl w:val="0"/>
          <w:numId w:val="87"/>
        </w:numPr>
        <w:rPr>
          <w:rFonts w:ascii="Arial" w:cs="Arial" w:eastAsia="Arial" w:hAnsi="Arial"/>
          <w:sz w:val="23"/>
          <w:szCs w:val="23"/>
          <w:color w:val="auto"/>
          <w:vertAlign w:val="superscript"/>
        </w:rPr>
      </w:pPr>
      <w:r>
        <w:rPr>
          <w:rFonts w:ascii="Arial" w:cs="Arial" w:eastAsia="Arial" w:hAnsi="Arial"/>
          <w:sz w:val="14"/>
          <w:szCs w:val="14"/>
          <w:color w:val="auto"/>
        </w:rPr>
        <w:t>Consists of the shares described in note (4) above.</w:t>
      </w:r>
    </w:p>
    <w:p>
      <w:pPr>
        <w:spacing w:after="0" w:line="25" w:lineRule="exact"/>
        <w:rPr>
          <w:rFonts w:ascii="Arial" w:cs="Arial" w:eastAsia="Arial" w:hAnsi="Arial"/>
          <w:sz w:val="23"/>
          <w:szCs w:val="23"/>
          <w:color w:val="auto"/>
          <w:vertAlign w:val="superscript"/>
        </w:rPr>
      </w:pPr>
    </w:p>
    <w:p>
      <w:pPr>
        <w:ind w:left="440" w:right="20" w:hanging="353"/>
        <w:spacing w:after="0" w:line="184" w:lineRule="auto"/>
        <w:tabs>
          <w:tab w:leader="none" w:pos="4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(i) 1,719,332 shares of common stock held by Mr. Cohen as trustee of Alain J. Cohen Revocable Trust; (ii) 5,083 shares of common stock exercisable within 60 days of September 13, 2020 underlying options held by Mr. Cohen; and (iii) the shares of common stock described in note (2) above.</w:t>
      </w:r>
    </w:p>
    <w:p>
      <w:pPr>
        <w:spacing w:after="0" w:line="8" w:lineRule="exact"/>
        <w:rPr>
          <w:rFonts w:ascii="Arial" w:cs="Arial" w:eastAsia="Arial" w:hAnsi="Arial"/>
          <w:sz w:val="24"/>
          <w:szCs w:val="24"/>
          <w:color w:val="auto"/>
          <w:vertAlign w:val="superscript"/>
        </w:rPr>
      </w:pPr>
    </w:p>
    <w:p>
      <w:pPr>
        <w:ind w:left="440" w:hanging="353"/>
        <w:spacing w:after="0" w:line="194" w:lineRule="auto"/>
        <w:tabs>
          <w:tab w:leader="none" w:pos="4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489,542 shares of common stock held by Mr. Downey and 5,083 shares of common stock exercisable within 60 days of September 13, 2020 underlying options held by Mr. Downey.</w:t>
      </w:r>
    </w:p>
    <w:p>
      <w:pPr>
        <w:spacing w:after="0" w:line="7" w:lineRule="exact"/>
        <w:rPr>
          <w:rFonts w:ascii="Arial" w:cs="Arial" w:eastAsia="Arial" w:hAnsi="Arial"/>
          <w:sz w:val="24"/>
          <w:szCs w:val="24"/>
          <w:color w:val="auto"/>
          <w:vertAlign w:val="superscript"/>
        </w:rPr>
      </w:pPr>
    </w:p>
    <w:p>
      <w:pPr>
        <w:ind w:left="440" w:right="180" w:hanging="353"/>
        <w:spacing w:after="0" w:line="194" w:lineRule="auto"/>
        <w:tabs>
          <w:tab w:leader="none" w:pos="4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(i) 592,873 shares of common stock held by ERP Business Holdings, L.P., an entity affiliated with Dr. Prokupets; (ii) 118,574 shares of common stock held by her spouse Marc Grenouilleau; and 5,083 shares of common stock exercisable within 60 days of September 13, 2020 underlying options held by Dr. Prokupets.</w:t>
      </w:r>
    </w:p>
    <w:p>
      <w:pPr>
        <w:spacing w:after="0" w:line="7" w:lineRule="exact"/>
        <w:rPr>
          <w:rFonts w:ascii="Arial" w:cs="Arial" w:eastAsia="Arial" w:hAnsi="Arial"/>
          <w:sz w:val="24"/>
          <w:szCs w:val="24"/>
          <w:color w:val="auto"/>
          <w:vertAlign w:val="superscript"/>
        </w:rPr>
      </w:pPr>
    </w:p>
    <w:p>
      <w:pPr>
        <w:ind w:left="440" w:right="240" w:hanging="353"/>
        <w:spacing w:after="0" w:line="194" w:lineRule="auto"/>
        <w:tabs>
          <w:tab w:leader="none" w:pos="4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14,679 shares of common stock held by Mr. Salter and 5,083 shares of common stock exercisable within 60 days of September 13, 2020 underlying options held by Mr. Salter.</w:t>
      </w:r>
    </w:p>
    <w:p>
      <w:pPr>
        <w:spacing w:after="0" w:line="7" w:lineRule="exact"/>
        <w:rPr>
          <w:rFonts w:ascii="Arial" w:cs="Arial" w:eastAsia="Arial" w:hAnsi="Arial"/>
          <w:sz w:val="24"/>
          <w:szCs w:val="24"/>
          <w:color w:val="auto"/>
          <w:vertAlign w:val="superscript"/>
        </w:rPr>
      </w:pPr>
    </w:p>
    <w:p>
      <w:pPr>
        <w:ind w:left="440" w:right="180" w:hanging="353"/>
        <w:spacing w:after="0" w:line="186" w:lineRule="auto"/>
        <w:tabs>
          <w:tab w:leader="none" w:pos="4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the shares of common stock in notes (6) through (15) without double counting the shares held by Cobro Ventures and the shares subject to the voting proxy held by Cobro Ventures, Inc. included in notes (6) and (12); and includes William McKee and Jolie M. Siegel who are executive officers but not named executive officers.</w:t>
      </w:r>
    </w:p>
    <w:p>
      <w:pPr>
        <w:ind w:left="440" w:right="40" w:hanging="209"/>
        <w:spacing w:after="0" w:line="260" w:lineRule="auto"/>
        <w:tabs>
          <w:tab w:leader="none" w:pos="440" w:val="left"/>
        </w:tabs>
        <w:numPr>
          <w:ilvl w:val="1"/>
          <w:numId w:val="87"/>
        </w:numPr>
        <w:rPr>
          <w:rFonts w:ascii="Arial" w:cs="Arial" w:eastAsia="Arial" w:hAnsi="Arial"/>
          <w:sz w:val="14"/>
          <w:szCs w:val="14"/>
          <w:color w:val="auto"/>
        </w:rPr>
      </w:pPr>
      <w:r>
        <w:rPr>
          <w:rFonts w:ascii="Arial" w:cs="Arial" w:eastAsia="Arial" w:hAnsi="Arial"/>
          <w:sz w:val="14"/>
          <w:szCs w:val="14"/>
          <w:color w:val="auto"/>
        </w:rPr>
        <w:t>Ms. Chen has notified us that she will resign from our board of directors contingent upon and effective immediately prior to the effectiveness of the registration statement of which this prospectus forms a part.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240"/>
          </w:cols>
          <w:pgMar w:left="320" w:top="454"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31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The following descriptions are summaries of the material terms of our amended and restated certificate of incorporation and amended and restated bylaws, which will be effective immediately upon the closing of this offering. The descriptions of the common stock and preferred stock give effect to changes to our capital structure that will occur immediately upon the closing of this offering. We refer in this section to our amended and restated certificate of incorporation as our certificate of incorporation and we refer to our amended and restated bylaws as our bylaws. Copies of these documents will be filed with the SEC as exhibits to our registration statement, of which this prospectus forms a part.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Upon completion of this offering, our authorized capital stock will consist of 150,000,000 shares of common stock, par value $0.0001 per share, and 10,000,000 shares of preferred stock, par value $0.0001 per share, all of which shares of preferred stock will be undesignated.</w:t>
      </w:r>
    </w:p>
    <w:p>
      <w:pPr>
        <w:spacing w:after="0" w:line="9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As of June 30, 2020, 1,490,336 shares of our common stock were outstanding and held of record by 28 stockholders and 4,000,000 shares of Series Seed preferred stock, 109,145,900 shares of Series A preferred stock and 142,857,142 shares of Series B preferred stock were outstanding and held of record by 116 stockholders. This amount does not take into account the conversion of all outstanding shares of our preferred stock into common stock upon the closing of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7"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18" w:lineRule="exact"/>
        <w:rPr>
          <w:sz w:val="20"/>
          <w:szCs w:val="20"/>
          <w:color w:val="auto"/>
        </w:rPr>
      </w:pPr>
    </w:p>
    <w:p>
      <w:pPr>
        <w:jc w:val="both"/>
        <w:ind w:right="400"/>
        <w:spacing w:after="0" w:line="250"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Upon the completion of this offering, all outstanding shares of our preferred stock will be converted into shares of our common stock. Upon the closing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closing of this offering, no shares of preferred stock will be outstanding, and we have no present plan to issue any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7" w:lineRule="exact"/>
        <w:rPr>
          <w:sz w:val="20"/>
          <w:szCs w:val="20"/>
          <w:color w:val="auto"/>
        </w:rPr>
      </w:pPr>
    </w:p>
    <w:p>
      <w:pPr>
        <w:ind w:right="580"/>
        <w:spacing w:after="0" w:line="250" w:lineRule="auto"/>
        <w:rPr>
          <w:sz w:val="20"/>
          <w:szCs w:val="20"/>
          <w:color w:val="auto"/>
        </w:rPr>
      </w:pPr>
      <w:r>
        <w:rPr>
          <w:rFonts w:ascii="Arial" w:cs="Arial" w:eastAsia="Arial" w:hAnsi="Arial"/>
          <w:sz w:val="17"/>
          <w:szCs w:val="17"/>
          <w:color w:val="auto"/>
        </w:rPr>
        <w:t>As of June 30, 2020, options to purchase 1,052,531 shares of common stock at a weighted-average exercise price of $4.37 per share were outstanding under our 2015 Plan and outside our 2015 Plan. For additional information regarding terms of the 2015 Plan, see the section titled “Employee Benefit Plans.”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20"/>
          </w:cols>
          <w:pgMar w:left="320" w:top="454" w:right="3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7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June 2020, we issued a warrant to purchase 2,857,142 shares of our Series B preferred stock to our lender, Perceptive Credit Holdings III, LP, at an exercise price of $1.05 per share, which will become exercisable for our common stock on an as-converted basis upon the closing of this offering. If unexercised as of June 5, 2030, this warrant will automatically net exercise if its exercise price per share is greater than the fair market value per share or otherwise expire.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Upon the completion of this offering, the holders of 30,694,163 shares of our common stock, including those issuable upon the conversion of preferred stock upon closing of this offering and those issuable upon the exercise of the warrant described above, will be entitled to rights with respect to the registration of these securities under the Securities Act. These rights are provided under the terms of an amended and restated investors’ rights agreement between us, certain holders of our common stock and holders of our preferred stock. The amended and restated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4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Beginning 180 days after the effective date of this registration statement, the holders of 30,694,163 shares of our common stock, including those issuable upon the conversion of shares of our preferred stock upon closing of this offering and those issuable upon the exercise of the warrant described above, are entitled to demand registration rights. Under the terms of the investors’ rights agreement, we will be required, upon the written request of holders of at least 40% of the securities eligible for registration then outstanding, to file a registration statement with respect to at least 25% of the securities eligible for registration then outstanding, we will be required to file a registration statement covering all securities eligible for registration that our stockholders request to be included in such registration. We are required to effect only two registrations pursuant to this provision of the investors’ rights agreement in any twelve-month period.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4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Pursuant to the amended and restated investors’ rights agreement, if we are eligible to file a registration statement on Form S-3, upon the written request of stockholders holding at least 20% of the securities eligible for registration then outstanding we will be required to file a Form S-3 registration restatement with respect to outstanding securities of such stockholders having an anticipated aggregate offering, net of related fees and expenses, of at least $3.0 million. We are required to effect only two registrations in any twelve month period pursuant to this provision of the amended and restated investors’ rights agreement. The right to have such shares registered on Form S-3 is further subject to other specified conditions and limitations.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Pursuant to the amended and restated investors’ rights agreement, if we register any of our securities either for our own account or for the account of other security holders, the holders of our common stock, including those issuable upon the conversion of our preferred stock, are entitled to include their shares in the registration. Subject to certain exceptions contained in the amended and restated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4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40"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The demand registration rights and short form registration rights granted under the amended and restated investors’ rights agreement will terminate on the fifth anniversary of the completion of this offering or at such time after this offering when the holders’ shares may be sold without restriction pursuant to Rule 144 within a three month period.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40"/>
          </w:cols>
          <w:pgMar w:left="320" w:top="454"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4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Ordinarily, other than underwriting discounts and commissions, we are generally required to pay all expenses incurred by us related to any registration effected pursuant to the exercise of these registration rights. These</w:t>
      </w:r>
    </w:p>
    <w:p>
      <w:pPr>
        <w:spacing w:after="0" w:line="1" w:lineRule="exact"/>
        <w:rPr>
          <w:sz w:val="20"/>
          <w:szCs w:val="20"/>
          <w:color w:val="auto"/>
        </w:rPr>
      </w:pPr>
    </w:p>
    <w:p>
      <w:pPr>
        <w:ind w:right="780"/>
        <w:spacing w:after="0" w:line="244" w:lineRule="auto"/>
        <w:rPr>
          <w:sz w:val="20"/>
          <w:szCs w:val="20"/>
          <w:color w:val="auto"/>
        </w:rPr>
      </w:pPr>
      <w:r>
        <w:rPr>
          <w:rFonts w:ascii="Arial" w:cs="Arial" w:eastAsia="Arial" w:hAnsi="Arial"/>
          <w:sz w:val="18"/>
          <w:szCs w:val="18"/>
          <w:color w:val="auto"/>
        </w:rPr>
        <w:t>expenses may include all registration and filing fees, printing expenses, fees and disbursements of our counsel, reasonable fees and disbursements of a counsel for the selling security holders and blue-sky fees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Certain Provisions of our Certificate of Incorporation and Amended and Restated Bylaws</w:t>
      </w:r>
    </w:p>
    <w:p>
      <w:pPr>
        <w:spacing w:after="0" w:line="69"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39"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Written Consent of Stockholders</w:t>
      </w:r>
    </w:p>
    <w:p>
      <w:pPr>
        <w:spacing w:after="0" w:line="3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Meetings of Stockholders</w:t>
      </w:r>
    </w:p>
    <w:p>
      <w:pPr>
        <w:spacing w:after="0" w:line="3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w:t>
      </w:r>
    </w:p>
    <w:p>
      <w:pPr>
        <w:spacing w:after="0" w:line="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to Certificate of Incorporation and Bylaws</w:t>
      </w:r>
    </w:p>
    <w:p>
      <w:pPr>
        <w:spacing w:after="0" w:line="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40"/>
          </w:cols>
          <w:pgMar w:left="320" w:top="454" w:right="3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3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9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59" w:lineRule="exact"/>
        <w:rPr>
          <w:sz w:val="20"/>
          <w:szCs w:val="20"/>
          <w:color w:val="auto"/>
        </w:rPr>
      </w:pPr>
    </w:p>
    <w:p>
      <w:pPr>
        <w:ind w:left="880" w:right="520" w:hanging="432"/>
        <w:spacing w:after="0" w:line="255" w:lineRule="auto"/>
        <w:tabs>
          <w:tab w:leader="none" w:pos="88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before the stockholder became interested, our board of directors approved either the business combination or the transaction which resulted in the stockholder becoming an interested stockholder;</w:t>
      </w:r>
    </w:p>
    <w:p>
      <w:pPr>
        <w:spacing w:after="0" w:line="1" w:lineRule="exact"/>
        <w:rPr>
          <w:rFonts w:ascii="MS PGothic" w:cs="MS PGothic" w:eastAsia="MS PGothic" w:hAnsi="MS PGothic"/>
          <w:sz w:val="12"/>
          <w:szCs w:val="12"/>
          <w:color w:val="auto"/>
        </w:rPr>
      </w:pPr>
    </w:p>
    <w:p>
      <w:pPr>
        <w:ind w:left="880" w:right="220" w:hanging="432"/>
        <w:spacing w:after="0" w:line="242" w:lineRule="auto"/>
        <w:tabs>
          <w:tab w:leader="none" w:pos="88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ind w:left="880" w:hanging="432"/>
        <w:spacing w:after="0" w:line="249" w:lineRule="auto"/>
        <w:tabs>
          <w:tab w:leader="none" w:pos="88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Section 203 defines a business combination to include:</w:t>
      </w:r>
    </w:p>
    <w:p>
      <w:pPr>
        <w:spacing w:after="0" w:line="192" w:lineRule="exact"/>
        <w:rPr>
          <w:sz w:val="20"/>
          <w:szCs w:val="20"/>
          <w:color w:val="auto"/>
        </w:rPr>
      </w:pPr>
    </w:p>
    <w:p>
      <w:pPr>
        <w:ind w:left="880" w:hanging="432"/>
        <w:spacing w:after="0"/>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any merger or consolidation involving the corporation and the interested stockholder;</w:t>
      </w:r>
    </w:p>
    <w:p>
      <w:pPr>
        <w:spacing w:after="0" w:line="33" w:lineRule="exact"/>
        <w:rPr>
          <w:rFonts w:ascii="MS PGothic" w:cs="MS PGothic" w:eastAsia="MS PGothic" w:hAnsi="MS PGothic"/>
          <w:sz w:val="12"/>
          <w:szCs w:val="12"/>
          <w:color w:val="auto"/>
        </w:rPr>
      </w:pPr>
    </w:p>
    <w:p>
      <w:pPr>
        <w:ind w:left="880" w:right="480" w:hanging="432"/>
        <w:spacing w:after="0" w:line="254" w:lineRule="auto"/>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any sale, transfer, lease, pledge, exchange, mortgage or other disposition involving the interested stockholder of 10% or more of the assets of the corporation;</w:t>
      </w:r>
    </w:p>
    <w:p>
      <w:pPr>
        <w:ind w:left="880" w:right="480" w:hanging="432"/>
        <w:spacing w:after="0" w:line="254" w:lineRule="auto"/>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subject to exceptions, any transaction that results in the issuance or transfer by the corporation of any stock of the corporation to the interested stockholder; or</w:t>
      </w:r>
    </w:p>
    <w:p>
      <w:pPr>
        <w:ind w:left="880" w:right="60" w:hanging="432"/>
        <w:spacing w:after="0" w:line="269" w:lineRule="auto"/>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9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bylaws provide that, unless we consent in writing to the selection of an alternative form, the Court of Chancery of the State of Delaware will be the sole and exclusive forum for state law claims for (i) any derivative action 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240"/>
          </w:cols>
          <w:pgMar w:left="320" w:top="454"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proceeding brought on our behalf; (ii) any action asserting a claim of breach of a fiduciary duty or other wrongdoing by any of our directors, officers, employees or agents to us or our stockholders; (iii) any action asserting a claim arising out of or pursuant to any provision of the General Corporation Law of the State of Delaware or our certificate of incorporation or bylaws; and (iv) any action asserting a claim governed by the internal affairs doctrine; provided, however, that this choice of forum provision does not apply to any causes of action arising under the Securities Act or the Exchange Act. Our bylaws further provide that, unless we consent in writing to an alternative forum, the United States District Court for the District of Massachusetts will be the exclusive forum for resolving any complaint asserting a cause of action arising under the Securities Act. Our bylaws also provide that any person or entity purchasing or otherwise acquiring any interest in shares of our capital stock will be deemed to have notice of and to have consented to this choice of forum provision. We recognize that the forum selection clause in our bylaws may impose additional litigation costs on stockholders in pursuing any such claims, particularly if the stockholders do not reside in or near the State of Delaware or the Commonwealth of Massachusetts, as applicable.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We expect to list our common stock on The Nasdaq Global Market under the proposed trading symbol “CCCC.”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5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Transfer Agent and Registrar for our common stock will be Computershare Trust Company, N.A. The Transfer Agent and Registrar’s address is 250 Royall Street, Canton, Massachusetts 02021, and its telephone number is (800) 962-4284.</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200"/>
          </w:cols>
          <w:pgMar w:left="320" w:top="454" w:right="3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31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Prior to this offering, there has been no public market for our shares, and although we expect that our common stock will be approved for listing on Nasdaq, we cannot assure investors that there will be an active public market for our common stock following this offering.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shares of our common stock in the public market after such restrictions lapse, or the perception that those sales may occur, could adversely affect the prevailing market price at such time and our ability to raise equity capital in the future.</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Upon completion of this offering, based on the number of shares outstanding as of June 30, 2020, upon the completion of this offering, 40,669,715 shares of our common stock will be outstanding, assuming the issuance of 8,824,000 shares offered by us in this offering, no exercise of the underwriters’ option to purchase additional shares and no exercise of outstanding options or warrants. Of the outstanding shares, all of the shares sold in this offering will be freely tradable, except that any shares held by our affiliates, as that term is defined in Rule 144 under the Securities Act, may only be sold in compliance with the limitations described below, and restricted shares of common stock are subject to time-based vesting terms. All remaining shares of common stock held by existing stockholders immediately prior to the completion of this offering will be “restricted securities” as such term is defined in Rule 144 under the Securities Act.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123"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ectPr>
          <w:pgSz w:w="11900" w:h="16838" w:orient="portrait"/>
          <w:cols w:equalWidth="0" w:num="1">
            <w:col w:w="11220"/>
          </w:cols>
          <w:pgMar w:left="320" w:top="454" w:right="359" w:bottom="1440" w:gutter="0" w:footer="0" w:header="0"/>
        </w:sectPr>
      </w:pPr>
    </w:p>
    <w:p>
      <w:pPr>
        <w:spacing w:after="0" w:line="156" w:lineRule="exact"/>
        <w:rPr>
          <w:sz w:val="20"/>
          <w:szCs w:val="20"/>
          <w:color w:val="auto"/>
        </w:rPr>
      </w:pPr>
    </w:p>
    <w:p>
      <w:pPr>
        <w:ind w:left="440"/>
        <w:spacing w:after="0" w:line="121" w:lineRule="exact"/>
        <w:rPr>
          <w:sz w:val="20"/>
          <w:szCs w:val="20"/>
          <w:color w:val="auto"/>
        </w:rPr>
      </w:pPr>
      <w:r>
        <w:rPr>
          <w:rFonts w:ascii="MS PGothic" w:cs="MS PGothic" w:eastAsia="MS PGothic" w:hAnsi="MS PGothic"/>
          <w:sz w:val="12"/>
          <w:szCs w:val="12"/>
          <w:color w:val="auto"/>
        </w:rPr>
        <w:t>∎</w:t>
      </w:r>
    </w:p>
    <w:p>
      <w:pPr>
        <w:spacing w:after="0" w:line="107" w:lineRule="exact"/>
        <w:rPr>
          <w:sz w:val="20"/>
          <w:szCs w:val="20"/>
          <w:color w:val="auto"/>
        </w:rPr>
      </w:pPr>
    </w:p>
    <w:p>
      <w:pPr>
        <w:ind w:left="440"/>
        <w:spacing w:after="0" w:line="121" w:lineRule="exact"/>
        <w:rPr>
          <w:sz w:val="20"/>
          <w:szCs w:val="20"/>
          <w:color w:val="auto"/>
        </w:rPr>
      </w:pP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8,824,000 shares will be eligible for sale on the date of this prospectus; and</w:t>
      </w:r>
    </w:p>
    <w:p>
      <w:pPr>
        <w:spacing w:after="0" w:line="34"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31,845,715 shares will be eligible for sale upon expiration of the lock-up agreements and market stand-off provisions described below, beginning more than 180 days after the date of this prospectus.</w:t>
      </w:r>
    </w:p>
    <w:p>
      <w:pPr>
        <w:spacing w:after="0" w:line="429" w:lineRule="exact"/>
        <w:rPr>
          <w:sz w:val="20"/>
          <w:szCs w:val="20"/>
          <w:color w:val="auto"/>
        </w:rPr>
      </w:pPr>
    </w:p>
    <w:p>
      <w:pPr>
        <w:sectPr>
          <w:pgSz w:w="11900" w:h="16838" w:orient="portrait"/>
          <w:cols w:equalWidth="0" w:num="2">
            <w:col w:w="740" w:space="140"/>
            <w:col w:w="10340"/>
          </w:cols>
          <w:pgMar w:left="320" w:top="454" w:right="359" w:bottom="1440" w:gutter="0" w:footer="0" w:header="0"/>
          <w:type w:val="continuous"/>
        </w:sectPr>
      </w:pPr>
    </w:p>
    <w:p>
      <w:pPr>
        <w:spacing w:after="0" w:line="238" w:lineRule="auto"/>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 (i) such person is not deemed to have been one of our affiliates at the time of, or at any time during the 90 days preceding, a sale and (ii) we are subject to the periodic reporting requirements of the Exchange Act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61" w:lineRule="exact"/>
        <w:rPr>
          <w:sz w:val="20"/>
          <w:szCs w:val="20"/>
          <w:color w:val="auto"/>
        </w:rPr>
      </w:pPr>
    </w:p>
    <w:p>
      <w:pPr>
        <w:ind w:left="880" w:right="60" w:hanging="432"/>
        <w:spacing w:after="0" w:line="271" w:lineRule="auto"/>
        <w:tabs>
          <w:tab w:leader="none" w:pos="880" w:val="left"/>
        </w:tabs>
        <w:numPr>
          <w:ilvl w:val="0"/>
          <w:numId w:val="90"/>
        </w:numPr>
        <w:rPr>
          <w:rFonts w:ascii="MS PGothic" w:cs="MS PGothic" w:eastAsia="MS PGothic" w:hAnsi="MS PGothic"/>
          <w:sz w:val="12"/>
          <w:szCs w:val="12"/>
          <w:color w:val="auto"/>
        </w:rPr>
      </w:pPr>
      <w:r>
        <w:rPr>
          <w:rFonts w:ascii="Arial" w:cs="Arial" w:eastAsia="Arial" w:hAnsi="Arial"/>
          <w:sz w:val="16"/>
          <w:szCs w:val="16"/>
          <w:color w:val="auto"/>
        </w:rPr>
        <w:t>1% of the number of shares then outstanding, which will equal approximately 406,697 shares immediately after this offering, assuming no exercise of the underwriters’ option to purchase additional shares, based on the number of shares outstanding as of June 30, 2020; or</w:t>
      </w:r>
    </w:p>
    <w:p>
      <w:pPr>
        <w:ind w:left="880" w:right="360" w:hanging="432"/>
        <w:spacing w:after="0" w:line="269" w:lineRule="auto"/>
        <w:tabs>
          <w:tab w:leader="none" w:pos="880" w:val="left"/>
        </w:tabs>
        <w:numPr>
          <w:ilvl w:val="0"/>
          <w:numId w:val="90"/>
        </w:numPr>
        <w:rPr>
          <w:rFonts w:ascii="MS PGothic" w:cs="MS PGothic" w:eastAsia="MS PGothic" w:hAnsi="MS PGothic"/>
          <w:sz w:val="12"/>
          <w:szCs w:val="12"/>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the sale;</w:t>
      </w:r>
    </w:p>
    <w:p>
      <w:pPr>
        <w:spacing w:after="0" w:line="9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provided, in each case, that we are subject to the periodic reporting requirements of the Exchange Act for at least 90 days before the sale. Such sales both by affiliates and by non-affiliates must also comply with the manner of sale, current public information and notice provisions of Rule 144.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57" w:lineRule="exact"/>
        <w:rPr>
          <w:sz w:val="20"/>
          <w:szCs w:val="20"/>
          <w:color w:val="auto"/>
        </w:rPr>
      </w:pPr>
    </w:p>
    <w:p>
      <w:pPr>
        <w:ind w:right="700"/>
        <w:spacing w:after="0" w:line="271"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20"/>
          </w:cols>
          <w:pgMar w:left="320" w:top="454" w:right="359" w:bottom="1440" w:gutter="0" w:footer="0" w:header="0"/>
          <w:type w:val="continuous"/>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color w:val="auto"/>
        </w:rPr>
        <w:t>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However, substantially all Rule 701 shares are subject to lock-up agreements as described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7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All of our directors and officers and the holders of substantially all of our capital stock, options and warrants have entered into lock-up agreements with us and have entered into or will enter into lock-up agreements with the underwriters and have agreed not to dispose of or hedge any of their common stock or securities convertible into or exchangeable for shares of common stock during the period from the date of this prospectus continuing through the date 180 days thereafter, subject to certain exceptions. The representatives of the underwriters in this offering may, in their sole discretion, permit early release of shares subject to the lock-up agreements. See the section titled “Underwriting,” appearing elsewhere in this prospectus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57"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titled “Description of Capital Stock—Registration Rights” appearing elsewhere in this prospectus for more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57"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intend to file with the SEC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As of the date of this prospectus, we estimate that such registration statement on Form S-8 will cover approximately 9,405,125 shares. See the section titled “Executive Compensation—Employee Benefit Plans” appearing elsewhere in this prospectus for a description of our equity compensation plans.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40"/>
          </w:cols>
          <w:pgMar w:left="320" w:top="454"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311"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The following discussion is a summary of the material U.S. federal income tax considerations applicable to non-U.S. holders (as defined below) with respect to the ownership and disposition of shares of our common stock issued pursuant to this offering. For purposes of this discussion, a non-U.S. holder means a beneficial owner of our common stock (other than a partnership or an entity or arrangement treated as a partnership for U.S. federal income tax purposes) that is not, for U.S. federal income tax purposes:</w:t>
      </w:r>
    </w:p>
    <w:p>
      <w:pPr>
        <w:spacing w:after="0" w:line="158" w:lineRule="exact"/>
        <w:rPr>
          <w:sz w:val="20"/>
          <w:szCs w:val="20"/>
          <w:color w:val="auto"/>
        </w:rPr>
      </w:pPr>
    </w:p>
    <w:p>
      <w:pPr>
        <w:ind w:left="880" w:hanging="432"/>
        <w:spacing w:after="0"/>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an individual who is a citizen or resident of the United States;</w:t>
      </w:r>
    </w:p>
    <w:p>
      <w:pPr>
        <w:spacing w:after="0" w:line="33" w:lineRule="exact"/>
        <w:rPr>
          <w:rFonts w:ascii="MS PGothic" w:cs="MS PGothic" w:eastAsia="MS PGothic" w:hAnsi="MS PGothic"/>
          <w:sz w:val="12"/>
          <w:szCs w:val="12"/>
          <w:color w:val="auto"/>
        </w:rPr>
      </w:pPr>
    </w:p>
    <w:p>
      <w:pPr>
        <w:ind w:left="880" w:right="140" w:hanging="432"/>
        <w:spacing w:after="0" w:line="254" w:lineRule="auto"/>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a corporation or other organization taxable as a corporation for U.S. federal income tax purposes that is created or organized in or under laws of the United States, any state thereof or the District of Columbia;</w:t>
      </w:r>
    </w:p>
    <w:p>
      <w:pPr>
        <w:ind w:left="880" w:hanging="432"/>
        <w:spacing w:after="0"/>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an estate, the income of which is subject to U.S. federal income tax regardless of its source; or</w:t>
      </w:r>
    </w:p>
    <w:p>
      <w:pPr>
        <w:spacing w:after="0" w:line="31" w:lineRule="exact"/>
        <w:rPr>
          <w:rFonts w:ascii="MS PGothic" w:cs="MS PGothic" w:eastAsia="MS PGothic" w:hAnsi="MS PGothic"/>
          <w:sz w:val="12"/>
          <w:szCs w:val="12"/>
          <w:color w:val="auto"/>
        </w:rPr>
      </w:pPr>
    </w:p>
    <w:p>
      <w:pPr>
        <w:ind w:left="880" w:hanging="432"/>
        <w:spacing w:after="0" w:line="249" w:lineRule="auto"/>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a trust if it (1) is subject to the primary supervision of a court within the United States and one or more U.S. persons (within the meaning of Section 7701(a)(30) of the Code) have authority to control all substantial decisions of the trust and (2) has made an election to be treated as a U.S. person under applicable U.S. Treasury Regulations.</w:t>
      </w:r>
    </w:p>
    <w:p>
      <w:pPr>
        <w:spacing w:after="0" w:line="11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This discussion does not address the tax treatment of partnerships or other entities or arrangements that are pass-through or disregarded entities for U.S. federal income tax purposes or persons that hold their common stock through such partnerships or other entities or arrangements.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considerations to non-U.S. holders described in this prospectus. There can be no assurance that the Internal Revenue Service, which we refer to as the IRS, will not challenge one or more of the tax considerations described herein. We have not obtained, nor do we intend to obtain, a ruling with respect to the U.S. federal income tax consequences with respect to the matters discussed below. We assume in this discussion that a non-U.S. holder holds shares of our common stock as a capital asset within the meaning of Section 1221 of the Code, generally property held for investment.</w:t>
      </w:r>
    </w:p>
    <w:p>
      <w:pPr>
        <w:spacing w:after="0" w:line="120"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any U.S. state, local or non-U.S. taxes, the alternative minimum tax, the Medicare contribution tax on net investment income, the rules regarding qualified small business stock within the meaning of Section 1202 of the Code or any other aspect of any U.S. federal tax other than income and estate taxes. This discussion also does not consider any specific facts or circumstances that may apply to a non-U.S. holder and does not address the special tax rules applicable to particular non-U.S. holders, such as:</w:t>
      </w:r>
    </w:p>
    <w:p>
      <w:pPr>
        <w:spacing w:after="0" w:line="159" w:lineRule="exact"/>
        <w:rPr>
          <w:sz w:val="20"/>
          <w:szCs w:val="20"/>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insurance companies;</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tax-exempt or governmental organizations;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financial institutions;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brokers or dealers in securities;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regulated investment companies;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pension plans;</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persons that own, or are deemed to own, during the applicable testing period, more than 5% of our outstanding capital stock;</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persons who are accrual method taxpayers subject to special tax accounting rules under Section 451(b) of the Code;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220"/>
          </w:cols>
          <w:pgMar w:left="320" w:top="454" w:right="3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hanging="432"/>
        <w:spacing w:after="0"/>
        <w:tabs>
          <w:tab w:leader="none" w:pos="880" w:val="left"/>
        </w:tabs>
        <w:numPr>
          <w:ilvl w:val="0"/>
          <w:numId w:val="93"/>
        </w:numPr>
        <w:rPr>
          <w:rFonts w:ascii="MS PGothic" w:cs="MS PGothic" w:eastAsia="MS PGothic" w:hAnsi="MS PGothic"/>
          <w:sz w:val="12"/>
          <w:szCs w:val="12"/>
          <w:color w:val="auto"/>
        </w:rPr>
      </w:pPr>
      <w:r>
        <w:rPr>
          <w:rFonts w:ascii="Arial" w:cs="Arial" w:eastAsia="Arial" w:hAnsi="Arial"/>
          <w:sz w:val="17"/>
          <w:szCs w:val="17"/>
          <w:color w:val="auto"/>
        </w:rPr>
        <w:t>persons who hold or receive our common stock pursuant to the exercise of employee stock options or otherwise as compensation;</w:t>
      </w:r>
    </w:p>
    <w:p>
      <w:pPr>
        <w:spacing w:after="0" w:line="33" w:lineRule="exact"/>
        <w:rPr>
          <w:rFonts w:ascii="MS PGothic" w:cs="MS PGothic" w:eastAsia="MS PGothic" w:hAnsi="MS PGothic"/>
          <w:sz w:val="12"/>
          <w:szCs w:val="12"/>
          <w:color w:val="auto"/>
        </w:rPr>
      </w:pPr>
    </w:p>
    <w:p>
      <w:pPr>
        <w:ind w:left="880" w:hanging="432"/>
        <w:spacing w:after="0" w:line="254" w:lineRule="auto"/>
        <w:tabs>
          <w:tab w:leader="none" w:pos="880" w:val="left"/>
        </w:tabs>
        <w:numPr>
          <w:ilvl w:val="0"/>
          <w:numId w:val="93"/>
        </w:numPr>
        <w:rPr>
          <w:rFonts w:ascii="MS PGothic" w:cs="MS PGothic" w:eastAsia="MS PGothic" w:hAnsi="MS PGothic"/>
          <w:sz w:val="12"/>
          <w:szCs w:val="12"/>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ind w:left="880" w:hanging="432"/>
        <w:spacing w:after="0"/>
        <w:tabs>
          <w:tab w:leader="none" w:pos="880" w:val="left"/>
        </w:tabs>
        <w:numPr>
          <w:ilvl w:val="0"/>
          <w:numId w:val="93"/>
        </w:numPr>
        <w:rPr>
          <w:rFonts w:ascii="MS PGothic" w:cs="MS PGothic" w:eastAsia="MS PGothic" w:hAnsi="MS PGothic"/>
          <w:sz w:val="12"/>
          <w:szCs w:val="12"/>
          <w:color w:val="auto"/>
        </w:rPr>
      </w:pPr>
      <w:r>
        <w:rPr>
          <w:rFonts w:ascii="Arial" w:cs="Arial" w:eastAsia="Arial" w:hAnsi="Arial"/>
          <w:sz w:val="17"/>
          <w:szCs w:val="17"/>
          <w:color w:val="auto"/>
        </w:rPr>
        <w:t>“qualified foreign pension funds,” or entities wholly owned by a “qualified foreign pension fund”;</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93"/>
        </w:numPr>
        <w:rPr>
          <w:rFonts w:ascii="MS PGothic" w:cs="MS PGothic" w:eastAsia="MS PGothic" w:hAnsi="MS PGothic"/>
          <w:sz w:val="12"/>
          <w:szCs w:val="12"/>
          <w:color w:val="auto"/>
        </w:rPr>
      </w:pPr>
      <w:r>
        <w:rPr>
          <w:rFonts w:ascii="Arial" w:cs="Arial" w:eastAsia="Arial" w:hAnsi="Arial"/>
          <w:sz w:val="17"/>
          <w:szCs w:val="17"/>
          <w:color w:val="auto"/>
        </w:rPr>
        <w:t>persons deemed to sell our common stock under the constructive sale provisions of the Code;</w:t>
      </w:r>
    </w:p>
    <w:p>
      <w:pPr>
        <w:spacing w:after="0" w:line="31" w:lineRule="exact"/>
        <w:rPr>
          <w:rFonts w:ascii="MS PGothic" w:cs="MS PGothic" w:eastAsia="MS PGothic" w:hAnsi="MS PGothic"/>
          <w:sz w:val="12"/>
          <w:szCs w:val="12"/>
          <w:color w:val="auto"/>
        </w:rPr>
      </w:pPr>
    </w:p>
    <w:p>
      <w:pPr>
        <w:ind w:left="880" w:right="880" w:hanging="432"/>
        <w:spacing w:after="0" w:line="254" w:lineRule="auto"/>
        <w:tabs>
          <w:tab w:leader="none" w:pos="880" w:val="left"/>
        </w:tabs>
        <w:numPr>
          <w:ilvl w:val="0"/>
          <w:numId w:val="93"/>
        </w:numPr>
        <w:rPr>
          <w:rFonts w:ascii="MS PGothic" w:cs="MS PGothic" w:eastAsia="MS PGothic" w:hAnsi="MS PGothic"/>
          <w:sz w:val="12"/>
          <w:szCs w:val="12"/>
          <w:color w:val="auto"/>
        </w:rPr>
      </w:pPr>
      <w:r>
        <w:rPr>
          <w:rFonts w:ascii="Arial" w:cs="Arial" w:eastAsia="Arial" w:hAnsi="Arial"/>
          <w:sz w:val="17"/>
          <w:szCs w:val="17"/>
          <w:color w:val="auto"/>
        </w:rPr>
        <w:t>persons that hold our common stock as part of a straddle, hedge, conversion transaction, synthetic security or other integrated investment; and</w:t>
      </w:r>
    </w:p>
    <w:p>
      <w:pPr>
        <w:ind w:left="880" w:hanging="432"/>
        <w:spacing w:after="0"/>
        <w:tabs>
          <w:tab w:leader="none" w:pos="880" w:val="left"/>
        </w:tabs>
        <w:numPr>
          <w:ilvl w:val="0"/>
          <w:numId w:val="93"/>
        </w:numPr>
        <w:rPr>
          <w:rFonts w:ascii="MS PGothic" w:cs="MS PGothic" w:eastAsia="MS PGothic" w:hAnsi="MS PGothic"/>
          <w:sz w:val="12"/>
          <w:szCs w:val="12"/>
          <w:color w:val="auto"/>
        </w:rPr>
      </w:pPr>
      <w:r>
        <w:rPr>
          <w:rFonts w:ascii="Arial" w:cs="Arial" w:eastAsia="Arial" w:hAnsi="Arial"/>
          <w:sz w:val="17"/>
          <w:szCs w:val="17"/>
          <w:color w:val="auto"/>
        </w:rPr>
        <w:t>certain U.S. expatriates.</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109"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b w:val="1"/>
          <w:bCs w:val="1"/>
          <w:color w:val="auto"/>
        </w:rPr>
        <w:t>THIS SUMMARY IS NOT INTENDED TO BE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7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amount distributed in excess of basis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2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Subject to the discussion in the following two paragraphs in this section, dividends paid to a non-U.S. holder generally will be subject to withholding of U.S. federal income tax at a 30% rate or a reduced rate if specified by an applicable income tax treaty between the United States and such holder’s country of residence.</w:t>
      </w:r>
    </w:p>
    <w:p>
      <w:pPr>
        <w:spacing w:after="0" w:line="11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U.S. federal income tax rates applicable to United States persons (as defined in the Code), unless a specific treaty exemption applies. Any U.S. effectively connected income received by a non-U.S. holder that is a foreign corporation may also, under certain circumstances, be subject to an additional “branch profits tax” at a 30% rate or a reduced rate if specified by an applicable income tax treaty between the United States and such holder’s country of residence.</w:t>
      </w:r>
    </w:p>
    <w:p>
      <w:pPr>
        <w:spacing w:after="0" w:line="108"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a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5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Subject to the discussions below under “Backup Withholding and Information Reporting” and “Withholding and Information Reporting Requirements— FATCA,” a non-U.S. holder generally will not be subject to any U.S. federal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220"/>
          </w:cols>
          <w:pgMar w:left="320" w:top="454" w:right="3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income or withholding tax on any gain realized upon such holder’s sale or other taxable disposition of shares of our common stock unless:</w:t>
      </w:r>
    </w:p>
    <w:p>
      <w:pPr>
        <w:spacing w:after="0" w:line="192" w:lineRule="exact"/>
        <w:rPr>
          <w:sz w:val="20"/>
          <w:szCs w:val="20"/>
          <w:color w:val="auto"/>
        </w:rPr>
      </w:pPr>
    </w:p>
    <w:p>
      <w:pPr>
        <w:ind w:left="880" w:right="140" w:hanging="432"/>
        <w:spacing w:after="0"/>
        <w:tabs>
          <w:tab w:leader="none" w:pos="880" w:val="left"/>
        </w:tabs>
        <w:numPr>
          <w:ilvl w:val="0"/>
          <w:numId w:val="94"/>
        </w:numPr>
        <w:rPr>
          <w:rFonts w:ascii="MS PGothic" w:cs="MS PGothic" w:eastAsia="MS PGothic" w:hAnsi="MS PGothic"/>
          <w:sz w:val="12"/>
          <w:szCs w:val="12"/>
          <w:color w:val="auto"/>
        </w:rPr>
      </w:pPr>
      <w:r>
        <w:rPr>
          <w:rFonts w:ascii="Arial" w:cs="Arial" w:eastAsia="Arial" w:hAnsi="Arial"/>
          <w:sz w:val="17"/>
          <w:szCs w:val="17"/>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Common Stock” also may apply;</w:t>
      </w:r>
    </w:p>
    <w:p>
      <w:pPr>
        <w:ind w:left="880" w:hanging="432"/>
        <w:spacing w:after="0" w:line="238" w:lineRule="auto"/>
        <w:tabs>
          <w:tab w:leader="none" w:pos="880" w:val="left"/>
        </w:tabs>
        <w:numPr>
          <w:ilvl w:val="0"/>
          <w:numId w:val="94"/>
        </w:numPr>
        <w:rPr>
          <w:rFonts w:ascii="MS PGothic" w:cs="MS PGothic" w:eastAsia="MS PGothic" w:hAnsi="MS PGothic"/>
          <w:sz w:val="12"/>
          <w:szCs w:val="12"/>
          <w:color w:val="auto"/>
        </w:rPr>
      </w:pPr>
      <w:r>
        <w:rPr>
          <w:rFonts w:ascii="Arial" w:cs="Arial" w:eastAsia="Arial" w:hAnsi="Arial"/>
          <w:sz w:val="17"/>
          <w:szCs w:val="17"/>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ind w:left="880" w:right="120" w:hanging="432"/>
        <w:spacing w:after="0" w:line="234" w:lineRule="auto"/>
        <w:tabs>
          <w:tab w:leader="none" w:pos="880" w:val="left"/>
        </w:tabs>
        <w:numPr>
          <w:ilvl w:val="0"/>
          <w:numId w:val="94"/>
        </w:numPr>
        <w:rPr>
          <w:rFonts w:ascii="MS PGothic" w:cs="MS PGothic" w:eastAsia="MS PGothic" w:hAnsi="MS PGothic"/>
          <w:sz w:val="12"/>
          <w:szCs w:val="12"/>
          <w:color w:val="auto"/>
        </w:rPr>
      </w:pPr>
      <w:r>
        <w:rPr>
          <w:rFonts w:ascii="Arial" w:cs="Arial" w:eastAsia="Arial" w:hAnsi="Arial"/>
          <w:sz w:val="17"/>
          <w:szCs w:val="17"/>
          <w:color w:val="auto"/>
        </w:rPr>
        <w:t>we are, or have been, at any time during the five-year period preceding such sale of other taxable disposition (or the non-U.S. holder’s holding period, if shorter), a “U.S. real property holding corporation,” as described below,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In such case, such non-U.S. holder generally will be taxed on its net gain derived from the disposition at the U.S. federal income tax rates applicable to United States persons (as defined in the Code). Generally, a corporation is a U.S. real property holding corporation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7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We must report annually to the IRS and to each non-U.S. holder the gross amount of the dividends on our common stock paid to such holder and the tax withheld, if any, with respect to such dividends.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 U.S. backup withholding generally will not apply to a non-U.S. holder who provides a properly executed IRS Form W-8BEN, W-8BEN-E or IRS Form W-8ECI or otherwise establishes an exemption; provided the applicable withholding agent does not have actual knowledge or reason to know that the non-U.S. holder is a United States person (as defined in the Code).</w:t>
      </w:r>
    </w:p>
    <w:p>
      <w:pPr>
        <w:spacing w:after="0" w:line="10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220"/>
          </w:cols>
          <w:pgMar w:left="320" w:top="454" w:right="3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may be refunded or credited against the non-U.S. holder’s U.S. federal income tax liability, if any, provided that an appropriate claim is filed with the IRS in a timely manner.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7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Provisions of the Code commonly referred to as the Foreign Account Tax Compliance Act, or FATCA, generally impose a U.S. federal withholding tax at a rate of 30% on payments of dividends on or, subject to the discussion of certain proposed U.S. Treasury Regulations below,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However, the U.S. Treasury released proposed regulations which, if finalized in their present form, would eliminate the federal withholding tax of 30% applicable to the gross proceeds of a sale or other disposition of our common stock. In the preamble to such proposed regulations, the U.S. Treasury stated that taxpayers may generally rely on the proposed regulations until final regulations are issued.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1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b w:val="1"/>
          <w:bCs w:val="1"/>
          <w:color w:val="auto"/>
        </w:rPr>
        <w:t>EACH PROSPECTIVE INVESTOR SHOULD CONSULT ITS OWN TAX ADVISOR REGARDING THE TAX CONSEQUENCES OF ACQUIRING, HOLDING AND DISPOSING OF OUR COMMON STOCK, INCLUDING THE CONSEQUENCES OF ANY PROPOSED OR RECENT CHANGES IN APPLICABLE LAW, AS WELL AS TAX CONSEQUENCES ARISING UNDER ANY STATE, LOCAL, NON-U.S. OR U.S. FEDERAL NON-INCOME TAX LAWS OR UNDER ANY APPLICABLE TAX TREATY.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200"/>
          </w:cols>
          <w:pgMar w:left="320" w:top="454" w:right="3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Subject to the terms and conditions set forth in the underwriting agreement, dated , 2020, between us and Jefferies LLC and Evercore Group L.L.C., as the representatives of the underwriters in this offering named below,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35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86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SHARES</w:t>
            </w:r>
          </w:p>
        </w:tc>
      </w:tr>
      <w:tr>
        <w:trPr>
          <w:trHeight w:val="174"/>
        </w:trPr>
        <w:tc>
          <w:tcPr>
            <w:tcW w:w="9680" w:type="dxa"/>
            <w:vAlign w:val="bottom"/>
            <w:tcBorders>
              <w:top w:val="single" w:sz="8" w:color="CCEEFF"/>
            </w:tcBorders>
            <w:gridSpan w:val="2"/>
            <w:shd w:val="clear" w:color="auto" w:fill="CCEEFF"/>
          </w:tcPr>
          <w:p>
            <w:pPr>
              <w:spacing w:after="0" w:line="174" w:lineRule="exact"/>
              <w:rPr>
                <w:sz w:val="20"/>
                <w:szCs w:val="20"/>
                <w:color w:val="auto"/>
              </w:rPr>
            </w:pPr>
            <w:r>
              <w:rPr>
                <w:rFonts w:ascii="Arial" w:cs="Arial" w:eastAsia="Arial" w:hAnsi="Arial"/>
                <w:sz w:val="17"/>
                <w:szCs w:val="17"/>
                <w:color w:val="auto"/>
              </w:rPr>
              <w:t>Jefferies LLC</w:t>
            </w:r>
          </w:p>
        </w:tc>
        <w:tc>
          <w:tcPr>
            <w:tcW w:w="1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9680" w:type="dxa"/>
            <w:vAlign w:val="bottom"/>
            <w:gridSpan w:val="2"/>
          </w:tcPr>
          <w:p>
            <w:pPr>
              <w:spacing w:after="0" w:line="187" w:lineRule="exact"/>
              <w:rPr>
                <w:sz w:val="20"/>
                <w:szCs w:val="20"/>
                <w:color w:val="auto"/>
              </w:rPr>
            </w:pPr>
            <w:r>
              <w:rPr>
                <w:rFonts w:ascii="Arial" w:cs="Arial" w:eastAsia="Arial" w:hAnsi="Arial"/>
                <w:sz w:val="17"/>
                <w:szCs w:val="17"/>
                <w:color w:val="auto"/>
              </w:rPr>
              <w:t>Evercore Group L.L.C.</w:t>
            </w: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96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BMO Capital Markets Corp.</w:t>
            </w:r>
          </w:p>
        </w:tc>
        <w:tc>
          <w:tcPr>
            <w:tcW w:w="1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4"/>
        </w:trPr>
        <w:tc>
          <w:tcPr>
            <w:tcW w:w="9680" w:type="dxa"/>
            <w:vAlign w:val="bottom"/>
            <w:gridSpan w:val="2"/>
          </w:tcPr>
          <w:p>
            <w:pPr>
              <w:spacing w:after="0" w:line="187" w:lineRule="exact"/>
              <w:rPr>
                <w:sz w:val="20"/>
                <w:szCs w:val="20"/>
                <w:color w:val="auto"/>
              </w:rPr>
            </w:pPr>
            <w:r>
              <w:rPr>
                <w:rFonts w:ascii="Arial" w:cs="Arial" w:eastAsia="Arial" w:hAnsi="Arial"/>
                <w:sz w:val="17"/>
                <w:szCs w:val="17"/>
                <w:color w:val="auto"/>
              </w:rPr>
              <w:t>UBS Securities LLC</w:t>
            </w:r>
          </w:p>
        </w:tc>
        <w:tc>
          <w:tcPr>
            <w:tcW w:w="1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968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Total</w:t>
            </w:r>
          </w:p>
        </w:tc>
        <w:tc>
          <w:tcPr>
            <w:tcW w:w="15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8,824,000</w:t>
            </w:r>
          </w:p>
        </w:tc>
      </w:tr>
      <w:tr>
        <w:trPr>
          <w:trHeight w:val="20"/>
        </w:trPr>
        <w:tc>
          <w:tcPr>
            <w:tcW w:w="10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108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19"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 except sales to accounts over which they have discretionary authority to exceed 5% of the common stock being offered.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57"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w:t>
      </w:r>
    </w:p>
    <w:p>
      <w:pPr>
        <w:spacing w:after="0" w:line="1" w:lineRule="exact"/>
        <w:rPr>
          <w:sz w:val="20"/>
          <w:szCs w:val="20"/>
          <w:color w:val="auto"/>
        </w:rPr>
      </w:pPr>
    </w:p>
    <w:p>
      <w:pPr>
        <w:ind w:left="860" w:hanging="853"/>
        <w:spacing w:after="0"/>
        <w:tabs>
          <w:tab w:leader="none" w:pos="8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per share of common stock. The underwriters may allow, and certain dealers may reallow, a discount from the concession not in excess of</w:t>
      </w:r>
    </w:p>
    <w:p>
      <w:pPr>
        <w:spacing w:after="0" w:line="3" w:lineRule="exact"/>
        <w:rPr>
          <w:sz w:val="20"/>
          <w:szCs w:val="20"/>
          <w:color w:val="auto"/>
        </w:rPr>
      </w:pPr>
    </w:p>
    <w:p>
      <w:pPr>
        <w:ind w:right="40" w:firstLine="7"/>
        <w:spacing w:after="0" w:line="238" w:lineRule="auto"/>
        <w:tabs>
          <w:tab w:leader="none" w:pos="847"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240"/>
          </w:cols>
          <w:pgMar w:left="320" w:top="454"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35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60" w:type="dxa"/>
            <w:vAlign w:val="bottom"/>
          </w:tcPr>
          <w:p>
            <w:pPr>
              <w:spacing w:after="0"/>
              <w:rPr>
                <w:sz w:val="15"/>
                <w:szCs w:val="15"/>
                <w:color w:val="auto"/>
              </w:rPr>
            </w:pPr>
          </w:p>
        </w:tc>
        <w:tc>
          <w:tcPr>
            <w:tcW w:w="2500" w:type="dxa"/>
            <w:vAlign w:val="bottom"/>
            <w:gridSpan w:val="3"/>
          </w:tcPr>
          <w:p>
            <w:pPr>
              <w:jc w:val="right"/>
              <w:ind w:right="764"/>
              <w:spacing w:after="0"/>
              <w:rPr>
                <w:sz w:val="20"/>
                <w:szCs w:val="20"/>
                <w:color w:val="auto"/>
              </w:rPr>
            </w:pPr>
            <w:r>
              <w:rPr>
                <w:rFonts w:ascii="Arial" w:cs="Arial" w:eastAsia="Arial" w:hAnsi="Arial"/>
                <w:sz w:val="14"/>
                <w:szCs w:val="14"/>
                <w:b w:val="1"/>
                <w:bCs w:val="1"/>
                <w:color w:val="auto"/>
              </w:rPr>
              <w:t>PER SHARE</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r>
      <w:tr>
        <w:trPr>
          <w:trHeight w:val="139"/>
        </w:trPr>
        <w:tc>
          <w:tcPr>
            <w:tcW w:w="5460" w:type="dxa"/>
            <w:vAlign w:val="bottom"/>
          </w:tcPr>
          <w:p>
            <w:pPr>
              <w:spacing w:after="0"/>
              <w:rPr>
                <w:sz w:val="12"/>
                <w:szCs w:val="12"/>
                <w:color w:val="auto"/>
              </w:rPr>
            </w:pPr>
          </w:p>
        </w:tc>
        <w:tc>
          <w:tcPr>
            <w:tcW w:w="1600" w:type="dxa"/>
            <w:vAlign w:val="bottom"/>
            <w:tcBorders>
              <w:top w:val="single" w:sz="8" w:color="auto"/>
            </w:tcBorders>
            <w:gridSpan w:val="2"/>
          </w:tcPr>
          <w:p>
            <w:pPr>
              <w:jc w:val="center"/>
              <w:ind w:right="740"/>
              <w:spacing w:after="0" w:line="139" w:lineRule="exact"/>
              <w:rPr>
                <w:sz w:val="20"/>
                <w:szCs w:val="20"/>
                <w:color w:val="auto"/>
              </w:rPr>
            </w:pPr>
            <w:r>
              <w:rPr>
                <w:rFonts w:ascii="Arial" w:cs="Arial" w:eastAsia="Arial" w:hAnsi="Arial"/>
                <w:sz w:val="14"/>
                <w:szCs w:val="14"/>
                <w:b w:val="1"/>
                <w:bCs w:val="1"/>
                <w:color w:val="auto"/>
              </w:rPr>
              <w:t>WITHOUT</w:t>
            </w:r>
          </w:p>
        </w:tc>
        <w:tc>
          <w:tcPr>
            <w:tcW w:w="9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WITH</w:t>
            </w:r>
          </w:p>
        </w:tc>
        <w:tc>
          <w:tcPr>
            <w:tcW w:w="720" w:type="dxa"/>
            <w:vAlign w:val="bottom"/>
          </w:tcPr>
          <w:p>
            <w:pPr>
              <w:spacing w:after="0"/>
              <w:rPr>
                <w:sz w:val="12"/>
                <w:szCs w:val="12"/>
                <w:color w:val="auto"/>
              </w:rPr>
            </w:pPr>
          </w:p>
        </w:tc>
        <w:tc>
          <w:tcPr>
            <w:tcW w:w="8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WITHOUT</w:t>
            </w:r>
          </w:p>
        </w:tc>
        <w:tc>
          <w:tcPr>
            <w:tcW w:w="7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0"/>
        </w:trPr>
        <w:tc>
          <w:tcPr>
            <w:tcW w:w="5460" w:type="dxa"/>
            <w:vAlign w:val="bottom"/>
          </w:tcPr>
          <w:p>
            <w:pPr>
              <w:spacing w:after="0"/>
              <w:rPr>
                <w:sz w:val="13"/>
                <w:szCs w:val="13"/>
                <w:color w:val="auto"/>
              </w:rPr>
            </w:pPr>
          </w:p>
        </w:tc>
        <w:tc>
          <w:tcPr>
            <w:tcW w:w="1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OPTION TO</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7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74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 TO</w:t>
            </w:r>
          </w:p>
        </w:tc>
      </w:tr>
      <w:tr>
        <w:trPr>
          <w:trHeight w:val="160"/>
        </w:trPr>
        <w:tc>
          <w:tcPr>
            <w:tcW w:w="5460" w:type="dxa"/>
            <w:vAlign w:val="bottom"/>
          </w:tcPr>
          <w:p>
            <w:pPr>
              <w:spacing w:after="0"/>
              <w:rPr>
                <w:sz w:val="13"/>
                <w:szCs w:val="13"/>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PURCHASE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7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740" w:type="dxa"/>
            <w:vAlign w:val="bottom"/>
          </w:tcPr>
          <w:p>
            <w:pPr>
              <w:spacing w:after="0"/>
              <w:rPr>
                <w:sz w:val="13"/>
                <w:szCs w:val="13"/>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0"/>
        </w:trPr>
        <w:tc>
          <w:tcPr>
            <w:tcW w:w="5460" w:type="dxa"/>
            <w:vAlign w:val="bottom"/>
          </w:tcPr>
          <w:p>
            <w:pPr>
              <w:spacing w:after="0"/>
              <w:rPr>
                <w:sz w:val="13"/>
                <w:szCs w:val="13"/>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ADDITIONAL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ADDITIONAL</w:t>
            </w:r>
          </w:p>
        </w:tc>
        <w:tc>
          <w:tcPr>
            <w:tcW w:w="7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740" w:type="dxa"/>
            <w:vAlign w:val="bottom"/>
          </w:tcPr>
          <w:p>
            <w:pPr>
              <w:spacing w:after="0"/>
              <w:rPr>
                <w:sz w:val="13"/>
                <w:szCs w:val="13"/>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76"/>
        </w:trPr>
        <w:tc>
          <w:tcPr>
            <w:tcW w:w="5460" w:type="dxa"/>
            <w:vAlign w:val="bottom"/>
          </w:tcPr>
          <w:p>
            <w:pPr>
              <w:spacing w:after="0"/>
              <w:rPr>
                <w:sz w:val="15"/>
                <w:szCs w:val="15"/>
                <w:color w:val="auto"/>
              </w:rPr>
            </w:pPr>
          </w:p>
        </w:tc>
        <w:tc>
          <w:tcPr>
            <w:tcW w:w="1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9"/>
              </w:rPr>
              <w:t>SHARES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SHARES</w:t>
            </w:r>
          </w:p>
        </w:tc>
        <w:tc>
          <w:tcPr>
            <w:tcW w:w="7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SHARES</w:t>
            </w:r>
          </w:p>
        </w:tc>
        <w:tc>
          <w:tcPr>
            <w:tcW w:w="740" w:type="dxa"/>
            <w:vAlign w:val="bottom"/>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r>
      <w:tr>
        <w:trPr>
          <w:trHeight w:val="181"/>
        </w:trPr>
        <w:tc>
          <w:tcPr>
            <w:tcW w:w="54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4"/>
              <w:spacing w:after="0" w:line="180"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06"/>
              <w:spacing w:after="0" w:line="180"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06"/>
              <w:spacing w:after="0" w:line="180"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5460" w:type="dxa"/>
            <w:vAlign w:val="bottom"/>
          </w:tcPr>
          <w:p>
            <w:pPr>
              <w:spacing w:after="0" w:line="187" w:lineRule="exact"/>
              <w:rPr>
                <w:sz w:val="20"/>
                <w:szCs w:val="20"/>
                <w:color w:val="auto"/>
              </w:rPr>
            </w:pPr>
            <w:r>
              <w:rPr>
                <w:rFonts w:ascii="Arial" w:cs="Arial" w:eastAsia="Arial" w:hAnsi="Arial"/>
                <w:sz w:val="17"/>
                <w:szCs w:val="17"/>
                <w:color w:val="auto"/>
              </w:rPr>
              <w:t>Underwriting discounts and commissions paid by us</w:t>
            </w:r>
          </w:p>
        </w:tc>
        <w:tc>
          <w:tcPr>
            <w:tcW w:w="880" w:type="dxa"/>
            <w:vAlign w:val="bottom"/>
          </w:tcPr>
          <w:p>
            <w:pPr>
              <w:jc w:val="right"/>
              <w:ind w:right="728"/>
              <w:spacing w:after="0"/>
              <w:rPr>
                <w:sz w:val="20"/>
                <w:szCs w:val="20"/>
                <w:color w:val="auto"/>
              </w:rPr>
            </w:pPr>
            <w:r>
              <w:rPr>
                <w:rFonts w:ascii="Arial" w:cs="Arial" w:eastAsia="Arial" w:hAnsi="Arial"/>
                <w:sz w:val="15"/>
                <w:szCs w:val="15"/>
                <w:color w:val="auto"/>
                <w:w w:val="71"/>
              </w:rPr>
              <w:t>$</w:t>
            </w:r>
          </w:p>
        </w:tc>
        <w:tc>
          <w:tcPr>
            <w:tcW w:w="720" w:type="dxa"/>
            <w:vAlign w:val="bottom"/>
          </w:tcPr>
          <w:p>
            <w:pPr>
              <w:spacing w:after="0"/>
              <w:rPr>
                <w:sz w:val="16"/>
                <w:szCs w:val="16"/>
                <w:color w:val="auto"/>
              </w:rPr>
            </w:pPr>
          </w:p>
        </w:tc>
        <w:tc>
          <w:tcPr>
            <w:tcW w:w="900" w:type="dxa"/>
            <w:vAlign w:val="bottom"/>
          </w:tcPr>
          <w:p>
            <w:pPr>
              <w:jc w:val="right"/>
              <w:ind w:right="724"/>
              <w:spacing w:after="0" w:line="187" w:lineRule="exact"/>
              <w:rPr>
                <w:sz w:val="20"/>
                <w:szCs w:val="20"/>
                <w:color w:val="auto"/>
              </w:rPr>
            </w:pPr>
            <w:r>
              <w:rPr>
                <w:rFonts w:ascii="Arial" w:cs="Arial" w:eastAsia="Arial" w:hAnsi="Arial"/>
                <w:sz w:val="17"/>
                <w:szCs w:val="17"/>
                <w:color w:val="auto"/>
                <w:w w:val="84"/>
              </w:rPr>
              <w:t>$</w:t>
            </w:r>
          </w:p>
        </w:tc>
        <w:tc>
          <w:tcPr>
            <w:tcW w:w="1600" w:type="dxa"/>
            <w:vAlign w:val="bottom"/>
            <w:gridSpan w:val="2"/>
          </w:tcPr>
          <w:p>
            <w:pPr>
              <w:jc w:val="right"/>
              <w:ind w:right="706"/>
              <w:spacing w:after="0" w:line="187" w:lineRule="exact"/>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706"/>
              <w:spacing w:after="0" w:line="187"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7"/>
        </w:trPr>
        <w:tc>
          <w:tcPr>
            <w:tcW w:w="54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Proceeds to us, before expenses</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4"/>
              <w:spacing w:after="0" w:line="187" w:lineRule="exact"/>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CEEFF"/>
          </w:tcPr>
          <w:p>
            <w:pPr>
              <w:jc w:val="right"/>
              <w:ind w:right="706"/>
              <w:spacing w:after="0" w:line="187" w:lineRule="exact"/>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706"/>
              <w:spacing w:after="0" w:line="187"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40"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$4,000,000. We have also agreed to reimburse the underwriters for up to $40,000 for their expenses related to clearance of this offering with the Financial Industry Regulatory Authority, Inc., or FINRA, including the related fees and expenses of counsel for the underwriters. In accordance with FINRA Rule 5110, this reimbursed fee is deemed underwriting compensation for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5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38"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We expect to list our common stock on The Nasdaq Global Market under the trading symbol “CCCC.”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57" w:lineRule="exact"/>
        <w:rPr>
          <w:sz w:val="20"/>
          <w:szCs w:val="20"/>
          <w:color w:val="auto"/>
        </w:rPr>
      </w:pPr>
    </w:p>
    <w:p>
      <w:pPr>
        <w:ind w:right="8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1,323,600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71"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We, our officers, directors and holders of all or substantially all our outstanding capital stock and other securities have agreed, subject to specified exceptions, not to directly or indirectly:</w:t>
      </w:r>
    </w:p>
    <w:p>
      <w:pPr>
        <w:spacing w:after="0" w:line="134" w:lineRule="exact"/>
        <w:rPr>
          <w:sz w:val="20"/>
          <w:szCs w:val="20"/>
          <w:color w:val="auto"/>
        </w:rPr>
      </w:pPr>
    </w:p>
    <w:p>
      <w:pPr>
        <w:ind w:left="880" w:right="180" w:hanging="432"/>
        <w:spacing w:after="0" w:line="243" w:lineRule="auto"/>
        <w:tabs>
          <w:tab w:leader="none" w:pos="880" w:val="left"/>
        </w:tabs>
        <w:numPr>
          <w:ilvl w:val="0"/>
          <w:numId w:val="97"/>
        </w:numPr>
        <w:rPr>
          <w:rFonts w:ascii="MS PGothic" w:cs="MS PGothic" w:eastAsia="MS PGothic" w:hAnsi="MS PGothic"/>
          <w:sz w:val="12"/>
          <w:szCs w:val="12"/>
          <w:color w:val="auto"/>
        </w:rPr>
      </w:pPr>
      <w:r>
        <w:rPr>
          <w:rFonts w:ascii="Arial" w:cs="Arial" w:eastAsia="Arial" w:hAnsi="Arial"/>
          <w:sz w:val="17"/>
          <w:szCs w:val="17"/>
          <w:color w:val="auto"/>
        </w:rPr>
        <w:t>sell or offer to sell any shares of common stock, options, warrants or other rights to acquire shares of common stock or any securities exchangeable or exercisable for or convertible into shares of common stock, or to acquire other securities or rights ultimately exchangeable or exercisable for or convertible into shares of common stock, currently or hereafter owned either of record or beneficially, as defined in Rule 13d-3 under the Exchange Act by such individual or their family member;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240"/>
          </w:cols>
          <w:pgMar w:left="320" w:top="454"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hanging="432"/>
        <w:spacing w:after="0"/>
        <w:tabs>
          <w:tab w:leader="none" w:pos="880" w:val="left"/>
        </w:tabs>
        <w:numPr>
          <w:ilvl w:val="0"/>
          <w:numId w:val="98"/>
        </w:numPr>
        <w:rPr>
          <w:rFonts w:ascii="MS PGothic" w:cs="MS PGothic" w:eastAsia="MS PGothic" w:hAnsi="MS PGothic"/>
          <w:sz w:val="12"/>
          <w:szCs w:val="12"/>
          <w:color w:val="auto"/>
        </w:rPr>
      </w:pPr>
      <w:r>
        <w:rPr>
          <w:rFonts w:ascii="Arial" w:cs="Arial" w:eastAsia="Arial" w:hAnsi="Arial"/>
          <w:sz w:val="17"/>
          <w:szCs w:val="17"/>
          <w:color w:val="auto"/>
        </w:rPr>
        <w:t>enter into any swap;</w:t>
      </w:r>
    </w:p>
    <w:p>
      <w:pPr>
        <w:spacing w:after="0" w:line="33" w:lineRule="exact"/>
        <w:rPr>
          <w:rFonts w:ascii="MS PGothic" w:cs="MS PGothic" w:eastAsia="MS PGothic" w:hAnsi="MS PGothic"/>
          <w:sz w:val="12"/>
          <w:szCs w:val="12"/>
          <w:color w:val="auto"/>
        </w:rPr>
      </w:pPr>
    </w:p>
    <w:p>
      <w:pPr>
        <w:ind w:left="880" w:right="120" w:hanging="432"/>
        <w:spacing w:after="0" w:line="239" w:lineRule="auto"/>
        <w:tabs>
          <w:tab w:leader="none" w:pos="880" w:val="left"/>
        </w:tabs>
        <w:numPr>
          <w:ilvl w:val="0"/>
          <w:numId w:val="98"/>
        </w:numPr>
        <w:rPr>
          <w:rFonts w:ascii="MS PGothic" w:cs="MS PGothic" w:eastAsia="MS PGothic" w:hAnsi="MS PGothic"/>
          <w:sz w:val="12"/>
          <w:szCs w:val="12"/>
          <w:color w:val="auto"/>
        </w:rPr>
      </w:pPr>
      <w:r>
        <w:rPr>
          <w:rFonts w:ascii="Arial" w:cs="Arial" w:eastAsia="Arial" w:hAnsi="Arial"/>
          <w:sz w:val="17"/>
          <w:szCs w:val="17"/>
          <w:color w:val="auto"/>
        </w:rPr>
        <w:t>make any demand for, or exercise any right with respect to, the registration under the Securities Act of the offer and sale of any shares of common stock, options, warrants or other rights to acquire shares of common stock, or any securities exchangeable or exercisable for or convertible into shares of common stock, or to acquire other securities or rights ultimately exchangeable or exercisable for or convertible into shares of common stock, or cause to be filed a registration statement, prospectus or prospectus supplement (or an amendment or supplement thereto) with respect to any such registration; or</w:t>
      </w:r>
    </w:p>
    <w:p>
      <w:pPr>
        <w:spacing w:after="0" w:line="2" w:lineRule="exact"/>
        <w:rPr>
          <w:rFonts w:ascii="MS PGothic" w:cs="MS PGothic" w:eastAsia="MS PGothic" w:hAnsi="MS PGothic"/>
          <w:sz w:val="12"/>
          <w:szCs w:val="12"/>
          <w:color w:val="auto"/>
        </w:rPr>
      </w:pPr>
    </w:p>
    <w:p>
      <w:pPr>
        <w:ind w:left="880" w:right="60" w:hanging="432"/>
        <w:spacing w:after="0" w:line="269" w:lineRule="auto"/>
        <w:tabs>
          <w:tab w:leader="none" w:pos="880" w:val="left"/>
        </w:tabs>
        <w:numPr>
          <w:ilvl w:val="0"/>
          <w:numId w:val="98"/>
        </w:numPr>
        <w:rPr>
          <w:rFonts w:ascii="MS PGothic" w:cs="MS PGothic" w:eastAsia="MS PGothic" w:hAnsi="MS PGothic"/>
          <w:sz w:val="12"/>
          <w:szCs w:val="12"/>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and Evercore Group L.L.C.</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Jefferies LLC and Evercore Group L.L.C.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71"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1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1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2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240"/>
          </w:cols>
          <w:pgMar w:left="320" w:top="454"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7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 site maintained by any of the underwriters is not part of this prospectus, has not been approved and/or endorsed by us or the underwriters and should not be relied upon by investors.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5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 example, Jefferies LLC acted as a placement agent in connection with the private placement of our Series B Preferred Stock and received cash compensation in connection therewith.</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have engaged Locust Walk Securities LLC, or Locust Walk, a FINRA member, to serve as our financial advisor in connection with this offering. We expect to pay Locust Walk, upon the completion of this offering, aggregate fees of $1.0 million for its services. The services provided by Locust Walk included customary business and financial analysis, assistance in preparing information materials regarding the offering, coordinating diligence sessions and advising us with respect to the marketing and structuring of this offering. Locust Walk is not acting as an underwriter and will not sell or offer to sell any securities and will not identify, solicit or engage directly with potential investors. In addition, Locust Walk will not underwrite or purchase any of the offered securities or otherwise participate in any such undertaking.</w:t>
      </w:r>
    </w:p>
    <w:p>
      <w:pPr>
        <w:spacing w:after="0" w:line="12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At our request, the underwriters have reserved for sale, at the initial public offering price per share, up to 5% of the shares of common stock offered by this prospectus to certain individuals, including certain of our officers, directors, employees and other persons who do business with us, through a directed share program. Any shares of our common stock purchased in the directed share program will not be subject to a lock-up restriction, except in the case of shares purchased by any director or executive officer or member of their household. The number of shares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240"/>
          </w:cols>
          <w:pgMar w:left="320" w:top="454" w:right="3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common stock available for sale to the general public will be reduced by the number of reserved shares sold to these individuals. Any reserved shares not purchased by these individuals will be offered by the underwriters to the general public on the same basis as the other shares of common stock offered under this prospectus. We have agreed to indemnify the underwriters against certain liabilities and expenses, including liabilities under the Securities Act, in connection with sales of the reserved shares. The directed share program will be arranged through Jefferies LLC.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3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common stock may be made to the public in that Relevant State at any time under the following exemptions under the Prospectus Regulation:</w:t>
      </w:r>
    </w:p>
    <w:p>
      <w:pPr>
        <w:spacing w:after="0" w:line="162" w:lineRule="exact"/>
        <w:rPr>
          <w:sz w:val="20"/>
          <w:szCs w:val="20"/>
          <w:color w:val="auto"/>
        </w:rPr>
      </w:pPr>
    </w:p>
    <w:p>
      <w:pPr>
        <w:ind w:left="880" w:hanging="432"/>
        <w:spacing w:after="0"/>
        <w:tabs>
          <w:tab w:leader="none" w:pos="880" w:val="left"/>
        </w:tabs>
        <w:numPr>
          <w:ilvl w:val="0"/>
          <w:numId w:val="99"/>
        </w:numPr>
        <w:rPr>
          <w:rFonts w:ascii="MS PGothic" w:cs="MS PGothic" w:eastAsia="MS PGothic" w:hAnsi="MS PGothic"/>
          <w:sz w:val="12"/>
          <w:szCs w:val="12"/>
          <w:color w:val="auto"/>
        </w:rPr>
      </w:pPr>
      <w:r>
        <w:rPr>
          <w:rFonts w:ascii="Arial" w:cs="Arial" w:eastAsia="Arial" w:hAnsi="Arial"/>
          <w:sz w:val="17"/>
          <w:szCs w:val="17"/>
          <w:color w:val="auto"/>
        </w:rPr>
        <w:t>to any legal entity which is a “qualified investor” (as defined under the Prospectus Regulation);</w:t>
      </w:r>
    </w:p>
    <w:p>
      <w:pPr>
        <w:spacing w:after="0" w:line="33" w:lineRule="exact"/>
        <w:rPr>
          <w:rFonts w:ascii="MS PGothic" w:cs="MS PGothic" w:eastAsia="MS PGothic" w:hAnsi="MS PGothic"/>
          <w:sz w:val="12"/>
          <w:szCs w:val="12"/>
          <w:color w:val="auto"/>
        </w:rPr>
      </w:pPr>
    </w:p>
    <w:p>
      <w:pPr>
        <w:ind w:left="880" w:hanging="432"/>
        <w:spacing w:after="0" w:line="254" w:lineRule="auto"/>
        <w:tabs>
          <w:tab w:leader="none" w:pos="880" w:val="left"/>
        </w:tabs>
        <w:numPr>
          <w:ilvl w:val="0"/>
          <w:numId w:val="99"/>
        </w:numPr>
        <w:rPr>
          <w:rFonts w:ascii="MS PGothic" w:cs="MS PGothic" w:eastAsia="MS PGothic" w:hAnsi="MS PGothic"/>
          <w:sz w:val="12"/>
          <w:szCs w:val="12"/>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ind w:left="880" w:hanging="432"/>
        <w:spacing w:after="0"/>
        <w:tabs>
          <w:tab w:leader="none" w:pos="880" w:val="left"/>
        </w:tabs>
        <w:numPr>
          <w:ilvl w:val="0"/>
          <w:numId w:val="99"/>
        </w:numPr>
        <w:rPr>
          <w:rFonts w:ascii="MS PGothic" w:cs="MS PGothic" w:eastAsia="MS PGothic" w:hAnsi="MS PGothic"/>
          <w:sz w:val="12"/>
          <w:szCs w:val="12"/>
          <w:color w:val="auto"/>
        </w:rPr>
      </w:pPr>
      <w:r>
        <w:rPr>
          <w:rFonts w:ascii="Arial" w:cs="Arial" w:eastAsia="Arial" w:hAnsi="Arial"/>
          <w:sz w:val="17"/>
          <w:szCs w:val="17"/>
          <w:color w:val="auto"/>
        </w:rPr>
        <w:t>in any other circumstances falling within Article 1(4) of the Prospectus Regulation,</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provided that no such offer of common stock shall require us or any underwriter to publish a prospectus pursuant to Article 3 of the Prospectus Regulation or supplement a prospectus pursuant to Article 23 of the Prospectus Regulation and each person who initially acquires any common stock or to whom any offer is made will be deemed to have represented, acknowledged and agreed to and with us and each of the underwriters and that it is a “qualified investor” within the meaning of Article 2(e) of the Prospectus Regulation.</w:t>
      </w:r>
    </w:p>
    <w:p>
      <w:pPr>
        <w:spacing w:after="0" w:line="118"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 the case of any common stock being offered to a financial intermediary as that term is used in Prospectus Regulation, each such financial intermediary will be deemed to have represented, acknowledged and agreed that the common stock acquired by it in the offer have not been acquired on a non-discretionary basis on behalf of, nor have they been acquired with a view to their offer or resale to, persons in circumstances which may give rise to an offer or any common stock to the public other than their offer or resale in a Relevant State to qualified investors as so defined or in circumstances in which the prior consent of the underwriters have been obtained to each such proposed offer or resale.</w:t>
      </w:r>
    </w:p>
    <w:p>
      <w:pPr>
        <w:spacing w:after="0" w:line="119"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common stock to be offered so as to enable an investor to decide to purchase or subscribe for any common stock, and the expression “Prospectus Regulation” means Regulation (EU) 2017/1129.</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40"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the Prospectus Regulation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21"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 Resale Restrictions</w:t>
      </w:r>
    </w:p>
    <w:p>
      <w:pPr>
        <w:spacing w:after="0" w:line="31"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240"/>
          </w:cols>
          <w:pgMar w:left="320" w:top="454"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 Representations of Canadian Purchasers</w:t>
      </w:r>
    </w:p>
    <w:p>
      <w:pPr>
        <w:spacing w:after="0" w:line="3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56" w:lineRule="exact"/>
        <w:rPr>
          <w:sz w:val="20"/>
          <w:szCs w:val="20"/>
          <w:color w:val="auto"/>
        </w:rPr>
      </w:pPr>
    </w:p>
    <w:p>
      <w:pPr>
        <w:ind w:left="880" w:right="180" w:hanging="432"/>
        <w:spacing w:after="0" w:line="250" w:lineRule="auto"/>
        <w:tabs>
          <w:tab w:leader="none" w:pos="880" w:val="left"/>
        </w:tabs>
        <w:numPr>
          <w:ilvl w:val="0"/>
          <w:numId w:val="100"/>
        </w:numPr>
        <w:rPr>
          <w:rFonts w:ascii="MS PGothic" w:cs="MS PGothic" w:eastAsia="MS PGothic" w:hAnsi="MS PGothic"/>
          <w:sz w:val="12"/>
          <w:szCs w:val="12"/>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71" w:lineRule="exact"/>
        <w:rPr>
          <w:rFonts w:ascii="MS PGothic" w:cs="MS PGothic" w:eastAsia="MS PGothic" w:hAnsi="MS PGothic"/>
          <w:sz w:val="12"/>
          <w:szCs w:val="12"/>
          <w:color w:val="auto"/>
        </w:rPr>
      </w:pPr>
    </w:p>
    <w:p>
      <w:pPr>
        <w:ind w:left="880" w:right="400" w:hanging="432"/>
        <w:spacing w:after="0" w:line="271" w:lineRule="auto"/>
        <w:tabs>
          <w:tab w:leader="none" w:pos="880" w:val="left"/>
        </w:tabs>
        <w:numPr>
          <w:ilvl w:val="0"/>
          <w:numId w:val="100"/>
        </w:numPr>
        <w:rPr>
          <w:rFonts w:ascii="MS PGothic" w:cs="MS PGothic" w:eastAsia="MS PGothic" w:hAnsi="MS PGothic"/>
          <w:sz w:val="12"/>
          <w:szCs w:val="12"/>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53" w:lineRule="exact"/>
        <w:rPr>
          <w:rFonts w:ascii="MS PGothic" w:cs="MS PGothic" w:eastAsia="MS PGothic" w:hAnsi="MS PGothic"/>
          <w:sz w:val="12"/>
          <w:szCs w:val="12"/>
          <w:color w:val="auto"/>
        </w:rPr>
      </w:pPr>
    </w:p>
    <w:p>
      <w:pPr>
        <w:ind w:left="880" w:hanging="432"/>
        <w:spacing w:after="0"/>
        <w:tabs>
          <w:tab w:leader="none" w:pos="880" w:val="left"/>
        </w:tabs>
        <w:numPr>
          <w:ilvl w:val="0"/>
          <w:numId w:val="100"/>
        </w:numPr>
        <w:rPr>
          <w:rFonts w:ascii="MS PGothic" w:cs="MS PGothic" w:eastAsia="MS PGothic" w:hAnsi="MS PGothic"/>
          <w:sz w:val="12"/>
          <w:szCs w:val="12"/>
          <w:color w:val="auto"/>
        </w:rPr>
      </w:pPr>
      <w:r>
        <w:rPr>
          <w:rFonts w:ascii="Arial" w:cs="Arial" w:eastAsia="Arial" w:hAnsi="Arial"/>
          <w:sz w:val="17"/>
          <w:szCs w:val="17"/>
          <w:color w:val="auto"/>
        </w:rPr>
        <w:t>where required by law, the purchaser is purchasing as principal and not as agent and</w:t>
      </w:r>
    </w:p>
    <w:p>
      <w:pPr>
        <w:spacing w:after="0" w:line="112" w:lineRule="exact"/>
        <w:rPr>
          <w:rFonts w:ascii="MS PGothic" w:cs="MS PGothic" w:eastAsia="MS PGothic" w:hAnsi="MS PGothic"/>
          <w:sz w:val="12"/>
          <w:szCs w:val="12"/>
          <w:color w:val="auto"/>
        </w:rPr>
      </w:pPr>
    </w:p>
    <w:p>
      <w:pPr>
        <w:ind w:left="880" w:hanging="432"/>
        <w:spacing w:after="0"/>
        <w:tabs>
          <w:tab w:leader="none" w:pos="880" w:val="left"/>
        </w:tabs>
        <w:numPr>
          <w:ilvl w:val="0"/>
          <w:numId w:val="100"/>
        </w:numPr>
        <w:rPr>
          <w:rFonts w:ascii="MS PGothic" w:cs="MS PGothic" w:eastAsia="MS PGothic" w:hAnsi="MS PGothic"/>
          <w:sz w:val="12"/>
          <w:szCs w:val="12"/>
          <w:color w:val="auto"/>
        </w:rPr>
      </w:pPr>
      <w:r>
        <w:rPr>
          <w:rFonts w:ascii="Arial" w:cs="Arial" w:eastAsia="Arial" w:hAnsi="Arial"/>
          <w:sz w:val="17"/>
          <w:szCs w:val="17"/>
          <w:color w:val="auto"/>
        </w:rPr>
        <w:t>the purchaser has reviewed the text above under Resale Restrictions.</w:t>
      </w:r>
    </w:p>
    <w:p>
      <w:pPr>
        <w:spacing w:after="0" w:line="74" w:lineRule="exact"/>
        <w:rPr>
          <w:rFonts w:ascii="MS PGothic" w:cs="MS PGothic" w:eastAsia="MS PGothic" w:hAnsi="MS PGothic"/>
          <w:sz w:val="12"/>
          <w:szCs w:val="12"/>
          <w:color w:val="auto"/>
        </w:rPr>
      </w:pPr>
    </w:p>
    <w:p>
      <w:pPr>
        <w:ind w:left="740" w:hanging="284"/>
        <w:spacing w:after="0"/>
        <w:tabs>
          <w:tab w:leader="none" w:pos="740" w:val="left"/>
        </w:tabs>
        <w:numPr>
          <w:ilvl w:val="1"/>
          <w:numId w:val="10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Conflicts of Interest</w:t>
      </w:r>
    </w:p>
    <w:p>
      <w:pPr>
        <w:spacing w:after="0" w:line="39"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Canadian purchasers of shares of our common stock are hereby notified that each of the underwriters are relying on the exemption set out in section 3A.3 or 3A.4, if applicable, of National Instrument 33-105 – Underwriting Conflicts from having to provide certain conflict of interest disclosure in this document.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 Statutory Rights of Action</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shares of our common stock in Canada should refer to any applicable provisions of the securities legislation of the purchaser’s province or territory for particulars of these rights or consult with a legal advisor.</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 Enforcement of Legal Rights</w:t>
      </w:r>
    </w:p>
    <w:p>
      <w:pPr>
        <w:spacing w:after="0" w:line="3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All of our directors and officers as well as the experts named herein may be located outside of Canada and, as a result, it may not be possible for Canadian purchasers of shares of our common stock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 Taxation and Eligibility for Investment</w:t>
      </w:r>
    </w:p>
    <w:p>
      <w:pPr>
        <w:spacing w:after="0" w:line="39" w:lineRule="exact"/>
        <w:rPr>
          <w:sz w:val="20"/>
          <w:szCs w:val="20"/>
          <w:color w:val="auto"/>
        </w:rPr>
      </w:pPr>
    </w:p>
    <w:p>
      <w:pPr>
        <w:jc w:val="both"/>
        <w:ind w:right="660"/>
        <w:spacing w:after="0" w:line="238"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39"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12" w:lineRule="exact"/>
        <w:rPr>
          <w:sz w:val="20"/>
          <w:szCs w:val="20"/>
          <w:color w:val="auto"/>
        </w:rPr>
      </w:pPr>
    </w:p>
    <w:p>
      <w:pPr>
        <w:ind w:left="880" w:hanging="432"/>
        <w:spacing w:after="0"/>
        <w:tabs>
          <w:tab w:leader="none" w:pos="88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a “sophisticated investor” under section 708(8)(a) or (b) of the Corporations Act;</w:t>
      </w:r>
    </w:p>
    <w:p>
      <w:pPr>
        <w:spacing w:after="0" w:line="33" w:lineRule="exact"/>
        <w:rPr>
          <w:rFonts w:ascii="MS PGothic" w:cs="MS PGothic" w:eastAsia="MS PGothic" w:hAnsi="MS PGothic"/>
          <w:sz w:val="12"/>
          <w:szCs w:val="12"/>
          <w:color w:val="auto"/>
        </w:rPr>
      </w:pPr>
    </w:p>
    <w:p>
      <w:pPr>
        <w:ind w:left="880" w:right="40" w:hanging="432"/>
        <w:spacing w:after="0" w:line="249" w:lineRule="auto"/>
        <w:tabs>
          <w:tab w:leader="none" w:pos="88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200"/>
          </w:cols>
          <w:pgMar w:left="320" w:top="454" w:right="3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hanging="432"/>
        <w:spacing w:after="0"/>
        <w:tabs>
          <w:tab w:leader="none" w:pos="88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a person associated with the company under Section 708(12) of the Corporations Act; or</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a “professional investor” within the meaning of section 708(11)(a) or (b) of the Corporations Act.</w:t>
      </w:r>
    </w:p>
    <w:p>
      <w:pPr>
        <w:spacing w:after="0" w:line="150"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94"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You warrant and agree that you will not offer any of the shares of our common stock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3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1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Israel</w:t>
      </w:r>
    </w:p>
    <w:p>
      <w:pPr>
        <w:spacing w:after="0" w:line="39"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shares of our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3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shares of our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240"/>
          </w:cols>
          <w:pgMar w:left="320" w:top="454" w:right="3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4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2" w:lineRule="exact"/>
        <w:rPr>
          <w:sz w:val="20"/>
          <w:szCs w:val="20"/>
          <w:color w:val="auto"/>
        </w:rPr>
      </w:pPr>
    </w:p>
    <w:p>
      <w:pPr>
        <w:ind w:left="880" w:right="80" w:hanging="432"/>
        <w:spacing w:after="0" w:line="255" w:lineRule="auto"/>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MS PGothic" w:cs="MS PGothic" w:eastAsia="MS PGothic" w:hAnsi="MS PGothic"/>
          <w:sz w:val="12"/>
          <w:szCs w:val="12"/>
          <w:color w:val="auto"/>
        </w:rPr>
      </w:pPr>
    </w:p>
    <w:p>
      <w:pPr>
        <w:ind w:left="880" w:right="160" w:hanging="432"/>
        <w:spacing w:after="0" w:line="254" w:lineRule="auto"/>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ind w:left="880" w:right="260" w:hanging="432"/>
        <w:spacing w:after="0" w:line="246" w:lineRule="auto"/>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ind w:left="880" w:right="40" w:hanging="432"/>
        <w:spacing w:after="0" w:line="254" w:lineRule="auto"/>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ind w:left="880" w:hanging="432"/>
        <w:spacing w:after="0"/>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where no consideration is or will be given for the transfer;</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where the transfer is by operation of law;</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as specified in Section 276(7) of the SFA; or</w:t>
      </w:r>
    </w:p>
    <w:p>
      <w:pPr>
        <w:spacing w:after="0" w:line="31" w:lineRule="exact"/>
        <w:rPr>
          <w:rFonts w:ascii="MS PGothic" w:cs="MS PGothic" w:eastAsia="MS PGothic" w:hAnsi="MS PGothic"/>
          <w:sz w:val="12"/>
          <w:szCs w:val="12"/>
          <w:color w:val="auto"/>
        </w:rPr>
      </w:pPr>
    </w:p>
    <w:p>
      <w:pPr>
        <w:ind w:left="880" w:right="680" w:hanging="432"/>
        <w:spacing w:after="0" w:line="269" w:lineRule="auto"/>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4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22" w:lineRule="exact"/>
        <w:rPr>
          <w:sz w:val="20"/>
          <w:szCs w:val="20"/>
          <w:color w:val="auto"/>
        </w:rPr>
      </w:pPr>
    </w:p>
    <w:p>
      <w:pPr>
        <w:ind w:right="80"/>
        <w:spacing w:after="0"/>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220"/>
          </w:cols>
          <w:pgMar w:left="320" w:top="454" w:right="3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validity of the shares of common stock offered by this prospectus will be passed upon for us by Goodwin Procter LLP, 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Cooley LLP, Boston, Massachusetts is serving as counsel to the underwriters.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31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consolidated financial statements as of December 31, 2018 and 2019 and for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which constitutes part of the registration statement, does not contain all of the information included in the registration statement. For further information pertaining to us and the common stock offered by this prospectus,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2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https://www.c4therapeutics.com and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 The information contained in or that can be accessed through our website is not a part of and is not incorporated into this prospectus.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240"/>
          </w:cols>
          <w:pgMar w:left="320" w:top="454" w:right="3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249555</wp:posOffset>
            </wp:positionV>
            <wp:extent cx="71335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780" w:type="dxa"/>
            <w:vAlign w:val="bottom"/>
            <w:vMerge w:val="restart"/>
          </w:tcPr>
          <w:p>
            <w:pPr>
              <w:spacing w:after="0"/>
              <w:rPr>
                <w:rFonts w:ascii="Arial" w:cs="Arial" w:eastAsia="Arial" w:hAnsi="Arial"/>
                <w:sz w:val="17"/>
                <w:szCs w:val="17"/>
                <w:u w:val="single" w:color="auto"/>
                <w:color w:val="0000EE"/>
              </w:rPr>
            </w:pPr>
            <w:hyperlink w:anchor="page185">
              <w:r>
                <w:rPr>
                  <w:rFonts w:ascii="Arial" w:cs="Arial" w:eastAsia="Arial" w:hAnsi="Arial"/>
                  <w:sz w:val="17"/>
                  <w:szCs w:val="17"/>
                  <w:u w:val="single" w:color="auto"/>
                  <w:color w:val="0000EE"/>
                </w:rPr>
                <w:t>Report of Independent Registered Public Accounting Firm</w:t>
              </w:r>
            </w:hyperlink>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2"/>
        </w:trPr>
        <w:tc>
          <w:tcPr>
            <w:tcW w:w="10780" w:type="dxa"/>
            <w:vAlign w:val="bottom"/>
            <w:vMerge w:val="continue"/>
          </w:tcPr>
          <w:p>
            <w:pPr>
              <w:spacing w:after="0"/>
              <w:rPr>
                <w:sz w:val="13"/>
                <w:szCs w:val="13"/>
                <w:color w:val="auto"/>
              </w:rPr>
            </w:pPr>
          </w:p>
        </w:tc>
        <w:tc>
          <w:tcPr>
            <w:tcW w:w="4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color w:val="auto"/>
              </w:rPr>
              <w:t>F-1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780" w:type="dxa"/>
            <w:vAlign w:val="bottom"/>
          </w:tcPr>
          <w:p>
            <w:pPr>
              <w:spacing w:after="0" w:line="187" w:lineRule="exact"/>
              <w:rPr>
                <w:rFonts w:ascii="Arial" w:cs="Arial" w:eastAsia="Arial" w:hAnsi="Arial"/>
                <w:sz w:val="17"/>
                <w:szCs w:val="17"/>
                <w:u w:val="single" w:color="auto"/>
                <w:color w:val="0000EE"/>
              </w:rPr>
            </w:pPr>
            <w:hyperlink w:anchor="page186">
              <w:r>
                <w:rPr>
                  <w:rFonts w:ascii="Arial" w:cs="Arial" w:eastAsia="Arial" w:hAnsi="Arial"/>
                  <w:sz w:val="17"/>
                  <w:szCs w:val="17"/>
                  <w:u w:val="single" w:color="auto"/>
                  <w:color w:val="0000EE"/>
                </w:rPr>
                <w:t>Consolidated Balance Sheets</w:t>
              </w:r>
            </w:hyperlink>
          </w:p>
        </w:tc>
        <w:tc>
          <w:tcPr>
            <w:tcW w:w="4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87"/>
        </w:trPr>
        <w:tc>
          <w:tcPr>
            <w:tcW w:w="10780" w:type="dxa"/>
            <w:vAlign w:val="bottom"/>
          </w:tcPr>
          <w:p>
            <w:pPr>
              <w:spacing w:after="0" w:line="187" w:lineRule="exact"/>
              <w:rPr>
                <w:rFonts w:ascii="Arial" w:cs="Arial" w:eastAsia="Arial" w:hAnsi="Arial"/>
                <w:sz w:val="17"/>
                <w:szCs w:val="17"/>
                <w:u w:val="single" w:color="auto"/>
                <w:color w:val="0000EE"/>
              </w:rPr>
            </w:pPr>
            <w:hyperlink w:anchor="page187">
              <w:r>
                <w:rPr>
                  <w:rFonts w:ascii="Arial" w:cs="Arial" w:eastAsia="Arial" w:hAnsi="Arial"/>
                  <w:sz w:val="17"/>
                  <w:szCs w:val="17"/>
                  <w:u w:val="single" w:color="auto"/>
                  <w:color w:val="0000EE"/>
                </w:rPr>
                <w:t>Consolidated Statement of Operations and Comprehensive Loss</w:t>
              </w:r>
            </w:hyperlink>
          </w:p>
        </w:tc>
        <w:tc>
          <w:tcPr>
            <w:tcW w:w="4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7"/>
        </w:trPr>
        <w:tc>
          <w:tcPr>
            <w:tcW w:w="10780" w:type="dxa"/>
            <w:vAlign w:val="bottom"/>
          </w:tcPr>
          <w:p>
            <w:pPr>
              <w:spacing w:after="0" w:line="187" w:lineRule="exact"/>
              <w:rPr>
                <w:rFonts w:ascii="Arial" w:cs="Arial" w:eastAsia="Arial" w:hAnsi="Arial"/>
                <w:sz w:val="17"/>
                <w:szCs w:val="17"/>
                <w:u w:val="single" w:color="auto"/>
                <w:color w:val="0000EE"/>
              </w:rPr>
            </w:pPr>
            <w:hyperlink w:anchor="page188">
              <w:r>
                <w:rPr>
                  <w:rFonts w:ascii="Arial" w:cs="Arial" w:eastAsia="Arial" w:hAnsi="Arial"/>
                  <w:sz w:val="17"/>
                  <w:szCs w:val="17"/>
                  <w:u w:val="single" w:color="auto"/>
                  <w:color w:val="0000EE"/>
                </w:rPr>
                <w:t>Consolidated Statement of Redeemable Convertible Preferred Stock and Stockholders’ Deficit</w:t>
              </w:r>
            </w:hyperlink>
          </w:p>
        </w:tc>
        <w:tc>
          <w:tcPr>
            <w:tcW w:w="4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7"/>
        </w:trPr>
        <w:tc>
          <w:tcPr>
            <w:tcW w:w="10780" w:type="dxa"/>
            <w:vAlign w:val="bottom"/>
          </w:tcPr>
          <w:p>
            <w:pPr>
              <w:spacing w:after="0" w:line="187" w:lineRule="exact"/>
              <w:rPr>
                <w:rFonts w:ascii="Arial" w:cs="Arial" w:eastAsia="Arial" w:hAnsi="Arial"/>
                <w:sz w:val="17"/>
                <w:szCs w:val="17"/>
                <w:u w:val="single" w:color="auto"/>
                <w:color w:val="0000EE"/>
              </w:rPr>
            </w:pPr>
            <w:hyperlink w:anchor="page189">
              <w:r>
                <w:rPr>
                  <w:rFonts w:ascii="Arial" w:cs="Arial" w:eastAsia="Arial" w:hAnsi="Arial"/>
                  <w:sz w:val="17"/>
                  <w:szCs w:val="17"/>
                  <w:u w:val="single" w:color="auto"/>
                  <w:color w:val="0000EE"/>
                </w:rPr>
                <w:t>Consolidated Statement of Cash Flows</w:t>
              </w:r>
            </w:hyperlink>
          </w:p>
        </w:tc>
        <w:tc>
          <w:tcPr>
            <w:tcW w:w="4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29"/>
        </w:trPr>
        <w:tc>
          <w:tcPr>
            <w:tcW w:w="10780" w:type="dxa"/>
            <w:vAlign w:val="bottom"/>
          </w:tcPr>
          <w:p>
            <w:pPr>
              <w:spacing w:after="0"/>
              <w:rPr>
                <w:rFonts w:ascii="Arial" w:cs="Arial" w:eastAsia="Arial" w:hAnsi="Arial"/>
                <w:sz w:val="17"/>
                <w:szCs w:val="17"/>
                <w:u w:val="single" w:color="auto"/>
                <w:color w:val="0000EE"/>
              </w:rPr>
            </w:pPr>
            <w:hyperlink w:anchor="page190">
              <w:r>
                <w:rPr>
                  <w:rFonts w:ascii="Arial" w:cs="Arial" w:eastAsia="Arial" w:hAnsi="Arial"/>
                  <w:sz w:val="17"/>
                  <w:szCs w:val="17"/>
                  <w:u w:val="single" w:color="auto"/>
                  <w:color w:val="0000EE"/>
                </w:rPr>
                <w:t>Notes to Consolidated Financial Statements</w:t>
              </w:r>
            </w:hyperlink>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00"/>
        </w:trPr>
        <w:tc>
          <w:tcPr>
            <w:tcW w:w="10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0780" w:type="dxa"/>
            <w:vAlign w:val="bottom"/>
          </w:tcPr>
          <w:p>
            <w:pPr>
              <w:ind w:left="220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780" w:type="dxa"/>
            <w:vAlign w:val="bottom"/>
            <w:vMerge w:val="restart"/>
          </w:tcPr>
          <w:p>
            <w:pPr>
              <w:spacing w:after="0"/>
              <w:rPr>
                <w:rFonts w:ascii="Arial" w:cs="Arial" w:eastAsia="Arial" w:hAnsi="Arial"/>
                <w:sz w:val="17"/>
                <w:szCs w:val="17"/>
                <w:u w:val="single" w:color="auto"/>
                <w:color w:val="0000EE"/>
              </w:rPr>
            </w:pPr>
            <w:hyperlink w:anchor="page215">
              <w:r>
                <w:rPr>
                  <w:rFonts w:ascii="Arial" w:cs="Arial" w:eastAsia="Arial" w:hAnsi="Arial"/>
                  <w:sz w:val="17"/>
                  <w:szCs w:val="17"/>
                  <w:u w:val="single" w:color="auto"/>
                  <w:color w:val="0000EE"/>
                </w:rPr>
                <w:t>Condensed Consolidated Balance Sheets (Unaudited)</w:t>
              </w:r>
            </w:hyperlink>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2"/>
        </w:trPr>
        <w:tc>
          <w:tcPr>
            <w:tcW w:w="10780" w:type="dxa"/>
            <w:vAlign w:val="bottom"/>
            <w:vMerge w:val="continue"/>
          </w:tcPr>
          <w:p>
            <w:pPr>
              <w:spacing w:after="0"/>
              <w:rPr>
                <w:sz w:val="13"/>
                <w:szCs w:val="13"/>
                <w:color w:val="auto"/>
              </w:rPr>
            </w:pPr>
          </w:p>
        </w:tc>
        <w:tc>
          <w:tcPr>
            <w:tcW w:w="4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color w:val="auto"/>
              </w:rPr>
              <w:t>F-31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780" w:type="dxa"/>
            <w:vAlign w:val="bottom"/>
          </w:tcPr>
          <w:p>
            <w:pPr>
              <w:spacing w:after="0" w:line="187" w:lineRule="exact"/>
              <w:rPr>
                <w:rFonts w:ascii="Arial" w:cs="Arial" w:eastAsia="Arial" w:hAnsi="Arial"/>
                <w:sz w:val="17"/>
                <w:szCs w:val="17"/>
                <w:u w:val="single" w:color="auto"/>
                <w:color w:val="0000EE"/>
              </w:rPr>
            </w:pPr>
            <w:hyperlink w:anchor="page216">
              <w:r>
                <w:rPr>
                  <w:rFonts w:ascii="Arial" w:cs="Arial" w:eastAsia="Arial" w:hAnsi="Arial"/>
                  <w:sz w:val="17"/>
                  <w:szCs w:val="17"/>
                  <w:u w:val="single" w:color="auto"/>
                  <w:color w:val="0000EE"/>
                </w:rPr>
                <w:t>Condensed Consolidated Statement of Operations and Comprehensive Loss (Unaudited)</w:t>
              </w:r>
            </w:hyperlink>
          </w:p>
        </w:tc>
        <w:tc>
          <w:tcPr>
            <w:tcW w:w="4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F-32</w:t>
            </w:r>
          </w:p>
        </w:tc>
        <w:tc>
          <w:tcPr>
            <w:tcW w:w="0" w:type="dxa"/>
            <w:vAlign w:val="bottom"/>
          </w:tcPr>
          <w:p>
            <w:pPr>
              <w:spacing w:after="0"/>
              <w:rPr>
                <w:sz w:val="1"/>
                <w:szCs w:val="1"/>
                <w:color w:val="auto"/>
              </w:rPr>
            </w:pPr>
          </w:p>
        </w:tc>
      </w:tr>
      <w:tr>
        <w:trPr>
          <w:trHeight w:val="187"/>
        </w:trPr>
        <w:tc>
          <w:tcPr>
            <w:tcW w:w="10780" w:type="dxa"/>
            <w:vAlign w:val="bottom"/>
          </w:tcPr>
          <w:p>
            <w:pPr>
              <w:spacing w:after="0" w:line="187" w:lineRule="exact"/>
              <w:rPr>
                <w:rFonts w:ascii="Arial" w:cs="Arial" w:eastAsia="Arial" w:hAnsi="Arial"/>
                <w:sz w:val="17"/>
                <w:szCs w:val="17"/>
                <w:u w:val="single" w:color="auto"/>
                <w:color w:val="0000EE"/>
              </w:rPr>
            </w:pPr>
            <w:hyperlink w:anchor="page217">
              <w:r>
                <w:rPr>
                  <w:rFonts w:ascii="Arial" w:cs="Arial" w:eastAsia="Arial" w:hAnsi="Arial"/>
                  <w:sz w:val="17"/>
                  <w:szCs w:val="17"/>
                  <w:u w:val="single" w:color="auto"/>
                  <w:color w:val="0000EE"/>
                </w:rPr>
                <w:t>Condensed Consolidated Statement of Redeemable Convertible Preferred Stock and Stockholders’ Deficit (Unaudited)</w:t>
              </w:r>
            </w:hyperlink>
          </w:p>
        </w:tc>
        <w:tc>
          <w:tcPr>
            <w:tcW w:w="4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F-33</w:t>
            </w:r>
          </w:p>
        </w:tc>
        <w:tc>
          <w:tcPr>
            <w:tcW w:w="0" w:type="dxa"/>
            <w:vAlign w:val="bottom"/>
          </w:tcPr>
          <w:p>
            <w:pPr>
              <w:spacing w:after="0"/>
              <w:rPr>
                <w:sz w:val="1"/>
                <w:szCs w:val="1"/>
                <w:color w:val="auto"/>
              </w:rPr>
            </w:pPr>
          </w:p>
        </w:tc>
      </w:tr>
      <w:tr>
        <w:trPr>
          <w:trHeight w:val="187"/>
        </w:trPr>
        <w:tc>
          <w:tcPr>
            <w:tcW w:w="10780" w:type="dxa"/>
            <w:vAlign w:val="bottom"/>
          </w:tcPr>
          <w:p>
            <w:pPr>
              <w:spacing w:after="0" w:line="187" w:lineRule="exact"/>
              <w:rPr>
                <w:rFonts w:ascii="Arial" w:cs="Arial" w:eastAsia="Arial" w:hAnsi="Arial"/>
                <w:sz w:val="17"/>
                <w:szCs w:val="17"/>
                <w:u w:val="single" w:color="auto"/>
                <w:color w:val="0000EE"/>
              </w:rPr>
            </w:pPr>
            <w:hyperlink w:anchor="page218">
              <w:r>
                <w:rPr>
                  <w:rFonts w:ascii="Arial" w:cs="Arial" w:eastAsia="Arial" w:hAnsi="Arial"/>
                  <w:sz w:val="17"/>
                  <w:szCs w:val="17"/>
                  <w:u w:val="single" w:color="auto"/>
                  <w:color w:val="0000EE"/>
                </w:rPr>
                <w:t>Condensed Consolidated Statement of Cash Flows (Unaudited)</w:t>
              </w:r>
            </w:hyperlink>
          </w:p>
        </w:tc>
        <w:tc>
          <w:tcPr>
            <w:tcW w:w="4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F-34</w:t>
            </w:r>
          </w:p>
        </w:tc>
        <w:tc>
          <w:tcPr>
            <w:tcW w:w="0" w:type="dxa"/>
            <w:vAlign w:val="bottom"/>
          </w:tcPr>
          <w:p>
            <w:pPr>
              <w:spacing w:after="0"/>
              <w:rPr>
                <w:sz w:val="1"/>
                <w:szCs w:val="1"/>
                <w:color w:val="auto"/>
              </w:rPr>
            </w:pPr>
          </w:p>
        </w:tc>
      </w:tr>
      <w:tr>
        <w:trPr>
          <w:trHeight w:val="229"/>
        </w:trPr>
        <w:tc>
          <w:tcPr>
            <w:tcW w:w="10780" w:type="dxa"/>
            <w:vAlign w:val="bottom"/>
          </w:tcPr>
          <w:p>
            <w:pPr>
              <w:spacing w:after="0"/>
              <w:rPr>
                <w:rFonts w:ascii="Arial" w:cs="Arial" w:eastAsia="Arial" w:hAnsi="Arial"/>
                <w:sz w:val="17"/>
                <w:szCs w:val="17"/>
                <w:u w:val="single" w:color="auto"/>
                <w:color w:val="0000EE"/>
              </w:rPr>
            </w:pPr>
            <w:hyperlink w:anchor="page219">
              <w:r>
                <w:rPr>
                  <w:rFonts w:ascii="Arial" w:cs="Arial" w:eastAsia="Arial" w:hAnsi="Arial"/>
                  <w:sz w:val="17"/>
                  <w:szCs w:val="17"/>
                  <w:u w:val="single" w:color="auto"/>
                  <w:color w:val="0000EE"/>
                </w:rPr>
                <w:t>Notes to Condensed Consolidated Financial Statements (Unaudited)</w:t>
              </w:r>
            </w:hyperlink>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F-35</w:t>
            </w:r>
          </w:p>
        </w:tc>
        <w:tc>
          <w:tcPr>
            <w:tcW w:w="0" w:type="dxa"/>
            <w:vAlign w:val="bottom"/>
          </w:tcPr>
          <w:p>
            <w:pPr>
              <w:spacing w:after="0"/>
              <w:rPr>
                <w:sz w:val="1"/>
                <w:szCs w:val="1"/>
                <w:color w:val="auto"/>
              </w:rPr>
            </w:pPr>
          </w:p>
        </w:tc>
      </w:tr>
      <w:tr>
        <w:trPr>
          <w:trHeight w:val="200"/>
        </w:trPr>
        <w:tc>
          <w:tcPr>
            <w:tcW w:w="10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C4 Therapeutics,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7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have audited the accompanying consolidated balance sheets of C4 Therapeutics, Inc. and its subsidiary, (the Company) as of December 31, 2018 and 2019, the related consolidated statements of operations and comprehensive loss, redeemable convertible preferred stock and stockholders’ deficit, and cash flows for each of the years then ended,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then ended, in conformity with U.S. generally accepted accounting principles.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57"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KPMG</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August 5, 2020, except for Note 13, as to which the date is September 28, 2020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w:t>
      </w:r>
    </w:p>
    <w:p>
      <w:pPr>
        <w:sectPr>
          <w:pgSz w:w="11900" w:h="16838" w:orient="portrait"/>
          <w:cols w:equalWidth="0" w:num="1">
            <w:col w:w="11220"/>
          </w:cols>
          <w:pgMar w:left="320" w:top="454" w:right="3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2018 and 2019</w:t>
      </w: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9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6"/>
              <w:spacing w:after="0" w:line="154"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6"/>
              <w:spacing w:after="0" w:line="154"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r>
      <w:tr>
        <w:trPr>
          <w:trHeight w:val="167"/>
        </w:trPr>
        <w:tc>
          <w:tcPr>
            <w:tcW w:w="898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8980" w:type="dxa"/>
            <w:vAlign w:val="bottom"/>
          </w:tcPr>
          <w:p>
            <w:pPr>
              <w:spacing w:after="0" w:line="187"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89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36,311</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90,549</w:t>
            </w:r>
          </w:p>
        </w:tc>
      </w:tr>
      <w:tr>
        <w:trPr>
          <w:trHeight w:val="187"/>
        </w:trPr>
        <w:tc>
          <w:tcPr>
            <w:tcW w:w="8980" w:type="dxa"/>
            <w:vAlign w:val="bottom"/>
          </w:tcPr>
          <w:p>
            <w:pPr>
              <w:ind w:left="260"/>
              <w:spacing w:after="0" w:line="187" w:lineRule="exact"/>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40"/>
              <w:spacing w:after="0" w:line="187" w:lineRule="exact"/>
              <w:rPr>
                <w:sz w:val="20"/>
                <w:szCs w:val="20"/>
                <w:color w:val="auto"/>
              </w:rPr>
            </w:pPr>
            <w:r>
              <w:rPr>
                <w:rFonts w:ascii="Arial" w:cs="Arial" w:eastAsia="Arial" w:hAnsi="Arial"/>
                <w:sz w:val="17"/>
                <w:szCs w:val="17"/>
                <w:color w:val="auto"/>
              </w:rPr>
              <w:t>86,438</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4,623</w:t>
            </w:r>
          </w:p>
        </w:tc>
      </w:tr>
      <w:tr>
        <w:trPr>
          <w:trHeight w:val="187"/>
        </w:trPr>
        <w:tc>
          <w:tcPr>
            <w:tcW w:w="89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781</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1,595</w:t>
            </w:r>
          </w:p>
        </w:tc>
      </w:tr>
      <w:tr>
        <w:trPr>
          <w:trHeight w:val="194"/>
        </w:trPr>
        <w:tc>
          <w:tcPr>
            <w:tcW w:w="8980" w:type="dxa"/>
            <w:vAlign w:val="bottom"/>
          </w:tcPr>
          <w:p>
            <w:pPr>
              <w:ind w:left="760"/>
              <w:spacing w:after="0" w:line="194" w:lineRule="exact"/>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123,530</w:t>
            </w: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96,767</w:t>
            </w:r>
          </w:p>
        </w:tc>
        <w:tc>
          <w:tcPr>
            <w:tcW w:w="140" w:type="dxa"/>
            <w:vAlign w:val="bottom"/>
          </w:tcPr>
          <w:p>
            <w:pPr>
              <w:spacing w:after="0"/>
              <w:rPr>
                <w:sz w:val="16"/>
                <w:szCs w:val="16"/>
                <w:color w:val="auto"/>
              </w:rPr>
            </w:pPr>
          </w:p>
        </w:tc>
      </w:tr>
      <w:tr>
        <w:trPr>
          <w:trHeight w:val="187"/>
        </w:trPr>
        <w:tc>
          <w:tcPr>
            <w:tcW w:w="89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4,788</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4,463</w:t>
            </w:r>
          </w:p>
        </w:tc>
      </w:tr>
      <w:tr>
        <w:trPr>
          <w:trHeight w:val="187"/>
        </w:trPr>
        <w:tc>
          <w:tcPr>
            <w:tcW w:w="8980" w:type="dxa"/>
            <w:vAlign w:val="bottom"/>
          </w:tcPr>
          <w:p>
            <w:pPr>
              <w:spacing w:after="0" w:line="187" w:lineRule="exact"/>
              <w:rPr>
                <w:sz w:val="20"/>
                <w:szCs w:val="20"/>
                <w:color w:val="auto"/>
              </w:rPr>
            </w:pPr>
            <w:r>
              <w:rPr>
                <w:rFonts w:ascii="Arial" w:cs="Arial" w:eastAsia="Arial" w:hAnsi="Arial"/>
                <w:sz w:val="17"/>
                <w:szCs w:val="17"/>
                <w:color w:val="auto"/>
              </w:rPr>
              <w:t>Right-of-use asset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40"/>
              <w:spacing w:after="0" w:line="187" w:lineRule="exact"/>
              <w:rPr>
                <w:sz w:val="20"/>
                <w:szCs w:val="20"/>
                <w:color w:val="auto"/>
              </w:rPr>
            </w:pPr>
            <w:r>
              <w:rPr>
                <w:rFonts w:ascii="Arial" w:cs="Arial" w:eastAsia="Arial" w:hAnsi="Arial"/>
                <w:sz w:val="17"/>
                <w:szCs w:val="17"/>
                <w:color w:val="auto"/>
              </w:rPr>
              <w:t>15,596</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14,453</w:t>
            </w:r>
          </w:p>
        </w:tc>
      </w:tr>
      <w:tr>
        <w:trPr>
          <w:trHeight w:val="187"/>
        </w:trPr>
        <w:tc>
          <w:tcPr>
            <w:tcW w:w="89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Restricted cash</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2,577</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2,577</w:t>
            </w:r>
          </w:p>
        </w:tc>
      </w:tr>
      <w:tr>
        <w:trPr>
          <w:trHeight w:val="194"/>
        </w:trPr>
        <w:tc>
          <w:tcPr>
            <w:tcW w:w="8980" w:type="dxa"/>
            <w:vAlign w:val="bottom"/>
          </w:tcPr>
          <w:p>
            <w:pPr>
              <w:ind w:left="760"/>
              <w:spacing w:after="0" w:line="194" w:lineRule="exact"/>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146,491</w:t>
            </w:r>
          </w:p>
        </w:tc>
        <w:tc>
          <w:tcPr>
            <w:tcW w:w="3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118,260</w:t>
            </w:r>
          </w:p>
        </w:tc>
        <w:tc>
          <w:tcPr>
            <w:tcW w:w="140" w:type="dxa"/>
            <w:vAlign w:val="bottom"/>
          </w:tcPr>
          <w:p>
            <w:pPr>
              <w:spacing w:after="0"/>
              <w:rPr>
                <w:sz w:val="16"/>
                <w:szCs w:val="16"/>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1"/>
        </w:trPr>
        <w:tc>
          <w:tcPr>
            <w:tcW w:w="898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Total Liabilities, Redeemable Convertible Preferred Stock and Stockholders’ Deficit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8980" w:type="dxa"/>
            <w:vAlign w:val="bottom"/>
          </w:tcPr>
          <w:p>
            <w:pPr>
              <w:spacing w:after="0" w:line="187" w:lineRule="exact"/>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89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Accounts payable</w:t>
            </w:r>
          </w:p>
        </w:tc>
        <w:tc>
          <w:tcPr>
            <w:tcW w:w="26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1,154</w:t>
            </w:r>
          </w:p>
        </w:tc>
        <w:tc>
          <w:tcPr>
            <w:tcW w:w="1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5,385</w:t>
            </w:r>
          </w:p>
        </w:tc>
      </w:tr>
      <w:tr>
        <w:trPr>
          <w:trHeight w:val="187"/>
        </w:trPr>
        <w:tc>
          <w:tcPr>
            <w:tcW w:w="8980" w:type="dxa"/>
            <w:vAlign w:val="bottom"/>
          </w:tcPr>
          <w:p>
            <w:pPr>
              <w:ind w:left="260"/>
              <w:spacing w:after="0" w:line="187"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40"/>
              <w:spacing w:after="0" w:line="187" w:lineRule="exact"/>
              <w:rPr>
                <w:sz w:val="20"/>
                <w:szCs w:val="20"/>
                <w:color w:val="auto"/>
              </w:rPr>
            </w:pPr>
            <w:r>
              <w:rPr>
                <w:rFonts w:ascii="Arial" w:cs="Arial" w:eastAsia="Arial" w:hAnsi="Arial"/>
                <w:sz w:val="17"/>
                <w:szCs w:val="17"/>
                <w:color w:val="auto"/>
              </w:rPr>
              <w:t>2,952</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6,671</w:t>
            </w:r>
          </w:p>
        </w:tc>
      </w:tr>
      <w:tr>
        <w:trPr>
          <w:trHeight w:val="187"/>
        </w:trPr>
        <w:tc>
          <w:tcPr>
            <w:tcW w:w="89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Deferred revenue, current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19,109</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20,705</w:t>
            </w:r>
          </w:p>
        </w:tc>
      </w:tr>
      <w:tr>
        <w:trPr>
          <w:trHeight w:val="187"/>
        </w:trPr>
        <w:tc>
          <w:tcPr>
            <w:tcW w:w="8980" w:type="dxa"/>
            <w:vAlign w:val="bottom"/>
          </w:tcPr>
          <w:p>
            <w:pPr>
              <w:ind w:left="260"/>
              <w:spacing w:after="0" w:line="187" w:lineRule="exact"/>
              <w:rPr>
                <w:sz w:val="20"/>
                <w:szCs w:val="20"/>
                <w:color w:val="auto"/>
              </w:rPr>
            </w:pPr>
            <w:r>
              <w:rPr>
                <w:rFonts w:ascii="Arial" w:cs="Arial" w:eastAsia="Arial" w:hAnsi="Arial"/>
                <w:sz w:val="17"/>
                <w:szCs w:val="17"/>
                <w:color w:val="auto"/>
              </w:rPr>
              <w:t>Operating lease liability, current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40"/>
              <w:spacing w:after="0" w:line="187" w:lineRule="exact"/>
              <w:rPr>
                <w:sz w:val="20"/>
                <w:szCs w:val="20"/>
                <w:color w:val="auto"/>
              </w:rPr>
            </w:pPr>
            <w:r>
              <w:rPr>
                <w:rFonts w:ascii="Arial" w:cs="Arial" w:eastAsia="Arial" w:hAnsi="Arial"/>
                <w:sz w:val="17"/>
                <w:szCs w:val="17"/>
                <w:color w:val="auto"/>
              </w:rPr>
              <w:t>734</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880</w:t>
            </w:r>
          </w:p>
        </w:tc>
      </w:tr>
      <w:tr>
        <w:trPr>
          <w:trHeight w:val="27"/>
        </w:trPr>
        <w:tc>
          <w:tcPr>
            <w:tcW w:w="8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7"/>
        </w:trPr>
        <w:tc>
          <w:tcPr>
            <w:tcW w:w="898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23,949</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33,641</w:t>
            </w:r>
          </w:p>
        </w:tc>
      </w:tr>
      <w:tr>
        <w:trPr>
          <w:trHeight w:val="187"/>
        </w:trPr>
        <w:tc>
          <w:tcPr>
            <w:tcW w:w="8980" w:type="dxa"/>
            <w:vAlign w:val="bottom"/>
          </w:tcPr>
          <w:p>
            <w:pPr>
              <w:spacing w:after="0" w:line="187" w:lineRule="exact"/>
              <w:rPr>
                <w:sz w:val="20"/>
                <w:szCs w:val="20"/>
                <w:color w:val="auto"/>
              </w:rPr>
            </w:pPr>
            <w:r>
              <w:rPr>
                <w:rFonts w:ascii="Arial" w:cs="Arial" w:eastAsia="Arial" w:hAnsi="Arial"/>
                <w:sz w:val="17"/>
                <w:szCs w:val="17"/>
                <w:color w:val="auto"/>
              </w:rPr>
              <w:t>Deferred revenue, net of current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40"/>
              <w:spacing w:after="0" w:line="187" w:lineRule="exact"/>
              <w:rPr>
                <w:sz w:val="20"/>
                <w:szCs w:val="20"/>
                <w:color w:val="auto"/>
              </w:rPr>
            </w:pPr>
            <w:r>
              <w:rPr>
                <w:rFonts w:ascii="Arial" w:cs="Arial" w:eastAsia="Arial" w:hAnsi="Arial"/>
                <w:sz w:val="17"/>
                <w:szCs w:val="17"/>
                <w:color w:val="auto"/>
              </w:rPr>
              <w:t>77,549</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72,718</w:t>
            </w:r>
          </w:p>
        </w:tc>
      </w:tr>
      <w:tr>
        <w:trPr>
          <w:trHeight w:val="187"/>
        </w:trPr>
        <w:tc>
          <w:tcPr>
            <w:tcW w:w="89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Operating lease liability, net of current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13,748</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12,869</w:t>
            </w:r>
          </w:p>
        </w:tc>
      </w:tr>
      <w:tr>
        <w:trPr>
          <w:trHeight w:val="201"/>
        </w:trPr>
        <w:tc>
          <w:tcPr>
            <w:tcW w:w="8980" w:type="dxa"/>
            <w:vAlign w:val="bottom"/>
          </w:tcPr>
          <w:p>
            <w:pPr>
              <w:ind w:left="760"/>
              <w:spacing w:after="0" w:line="194" w:lineRule="exact"/>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115,246</w:t>
            </w:r>
          </w:p>
        </w:tc>
        <w:tc>
          <w:tcPr>
            <w:tcW w:w="3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119,228</w:t>
            </w:r>
          </w:p>
        </w:tc>
        <w:tc>
          <w:tcPr>
            <w:tcW w:w="140" w:type="dxa"/>
            <w:vAlign w:val="bottom"/>
          </w:tcPr>
          <w:p>
            <w:pPr>
              <w:spacing w:after="0"/>
              <w:rPr>
                <w:sz w:val="17"/>
                <w:szCs w:val="17"/>
                <w:color w:val="auto"/>
              </w:rPr>
            </w:pPr>
          </w:p>
        </w:tc>
      </w:tr>
      <w:tr>
        <w:trPr>
          <w:trHeight w:val="187"/>
        </w:trPr>
        <w:tc>
          <w:tcPr>
            <w:tcW w:w="89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Commitments and Contingencies (see Note 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59"/>
        </w:trPr>
        <w:tc>
          <w:tcPr>
            <w:tcW w:w="8980" w:type="dxa"/>
            <w:vAlign w:val="bottom"/>
          </w:tcPr>
          <w:p>
            <w:pPr>
              <w:spacing w:after="0" w:line="159" w:lineRule="exact"/>
              <w:rPr>
                <w:sz w:val="20"/>
                <w:szCs w:val="20"/>
                <w:color w:val="auto"/>
              </w:rPr>
            </w:pPr>
            <w:r>
              <w:rPr>
                <w:rFonts w:ascii="Arial" w:cs="Arial" w:eastAsia="Arial" w:hAnsi="Arial"/>
                <w:sz w:val="17"/>
                <w:szCs w:val="17"/>
                <w:color w:val="auto"/>
              </w:rPr>
              <w:t>Series Seed redeemable convertible preferred stock, par value of $0.0005 per share; 4,000,000 shares authorized as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7"/>
        </w:trPr>
        <w:tc>
          <w:tcPr>
            <w:tcW w:w="8980" w:type="dxa"/>
            <w:vAlign w:val="bottom"/>
          </w:tcPr>
          <w:p>
            <w:pPr>
              <w:ind w:left="260"/>
              <w:spacing w:after="0" w:line="187" w:lineRule="exact"/>
              <w:rPr>
                <w:sz w:val="20"/>
                <w:szCs w:val="20"/>
                <w:color w:val="auto"/>
              </w:rPr>
            </w:pPr>
            <w:r>
              <w:rPr>
                <w:rFonts w:ascii="Arial" w:cs="Arial" w:eastAsia="Arial" w:hAnsi="Arial"/>
                <w:sz w:val="17"/>
                <w:szCs w:val="17"/>
                <w:color w:val="auto"/>
              </w:rPr>
              <w:t>of December 31, 2018 and 2019; 4,000,000 shares issued and outstanding at December 31, 2018 and 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8980" w:type="dxa"/>
            <w:vAlign w:val="bottom"/>
          </w:tcPr>
          <w:p>
            <w:pPr>
              <w:ind w:left="260"/>
              <w:spacing w:after="0"/>
              <w:rPr>
                <w:sz w:val="20"/>
                <w:szCs w:val="20"/>
                <w:color w:val="auto"/>
              </w:rPr>
            </w:pPr>
            <w:r>
              <w:rPr>
                <w:rFonts w:ascii="Arial" w:cs="Arial" w:eastAsia="Arial" w:hAnsi="Arial"/>
                <w:sz w:val="17"/>
                <w:szCs w:val="17"/>
                <w:color w:val="auto"/>
              </w:rPr>
              <w:t>liquidation and redemption value of $1,000 as of December 31, 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1,000</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r>
      <w:tr>
        <w:trPr>
          <w:trHeight w:val="159"/>
        </w:trPr>
        <w:tc>
          <w:tcPr>
            <w:tcW w:w="898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Series A redeemable convertible preferred stock, par value of $0.0005 per share; 110,000,000 shares authorized as of</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7"/>
        </w:trPr>
        <w:tc>
          <w:tcPr>
            <w:tcW w:w="89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December 31, 2018 and 2019; 109,145,900 shares issued and outstanding at December 31, 2018 and 2019;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5"/>
        </w:trPr>
        <w:tc>
          <w:tcPr>
            <w:tcW w:w="89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liquidation and redemption value of $109,995 as of December 31, 2019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109,995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109,995</w:t>
            </w:r>
          </w:p>
        </w:tc>
      </w:tr>
      <w:tr>
        <w:trPr>
          <w:trHeight w:val="187"/>
        </w:trPr>
        <w:tc>
          <w:tcPr>
            <w:tcW w:w="8980" w:type="dxa"/>
            <w:vAlign w:val="bottom"/>
          </w:tcPr>
          <w:p>
            <w:pPr>
              <w:spacing w:after="0" w:line="187" w:lineRule="exact"/>
              <w:rPr>
                <w:sz w:val="20"/>
                <w:szCs w:val="20"/>
                <w:color w:val="auto"/>
              </w:rPr>
            </w:pPr>
            <w:r>
              <w:rPr>
                <w:rFonts w:ascii="Arial" w:cs="Arial" w:eastAsia="Arial" w:hAnsi="Arial"/>
                <w:sz w:val="17"/>
                <w:szCs w:val="17"/>
                <w:color w:val="auto"/>
              </w:rPr>
              <w:t>Stockholders’ deficit: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59"/>
        </w:trPr>
        <w:tc>
          <w:tcPr>
            <w:tcW w:w="8980" w:type="dxa"/>
            <w:vAlign w:val="bottom"/>
            <w:shd w:val="clear" w:color="auto" w:fill="CCEEFF"/>
          </w:tcPr>
          <w:p>
            <w:pPr>
              <w:ind w:left="260"/>
              <w:spacing w:after="0" w:line="159" w:lineRule="exact"/>
              <w:rPr>
                <w:sz w:val="20"/>
                <w:szCs w:val="20"/>
                <w:color w:val="auto"/>
              </w:rPr>
            </w:pPr>
            <w:r>
              <w:rPr>
                <w:rFonts w:ascii="Arial" w:cs="Arial" w:eastAsia="Arial" w:hAnsi="Arial"/>
                <w:sz w:val="17"/>
                <w:szCs w:val="17"/>
                <w:color w:val="auto"/>
              </w:rPr>
              <w:t>Common stock, par value of $0.0001 per share; 180,000,000 shares authorized as of December 2018 and 2019;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15"/>
        </w:trPr>
        <w:tc>
          <w:tcPr>
            <w:tcW w:w="89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1,338,956 and 1,426,641 shares issued and outstanding at December 31, 2018 and 2019, respectively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187"/>
        </w:trPr>
        <w:tc>
          <w:tcPr>
            <w:tcW w:w="8980" w:type="dxa"/>
            <w:vAlign w:val="bottom"/>
          </w:tcPr>
          <w:p>
            <w:pPr>
              <w:ind w:left="260"/>
              <w:spacing w:after="0" w:line="187"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40"/>
              <w:spacing w:after="0" w:line="187" w:lineRule="exact"/>
              <w:rPr>
                <w:sz w:val="20"/>
                <w:szCs w:val="20"/>
                <w:color w:val="auto"/>
              </w:rPr>
            </w:pPr>
            <w:r>
              <w:rPr>
                <w:rFonts w:ascii="Arial" w:cs="Arial" w:eastAsia="Arial" w:hAnsi="Arial"/>
                <w:sz w:val="17"/>
                <w:szCs w:val="17"/>
                <w:color w:val="auto"/>
              </w:rPr>
              <w:t>3,639</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5,525</w:t>
            </w:r>
          </w:p>
        </w:tc>
      </w:tr>
      <w:tr>
        <w:trPr>
          <w:trHeight w:val="187"/>
        </w:trPr>
        <w:tc>
          <w:tcPr>
            <w:tcW w:w="89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(83,389)</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(117,488)</w:t>
            </w:r>
          </w:p>
        </w:tc>
      </w:tr>
      <w:tr>
        <w:trPr>
          <w:trHeight w:val="201"/>
        </w:trPr>
        <w:tc>
          <w:tcPr>
            <w:tcW w:w="8980" w:type="dxa"/>
            <w:vAlign w:val="bottom"/>
          </w:tcPr>
          <w:p>
            <w:pPr>
              <w:ind w:left="500"/>
              <w:spacing w:after="0" w:line="194" w:lineRule="exact"/>
              <w:rPr>
                <w:sz w:val="20"/>
                <w:szCs w:val="20"/>
                <w:color w:val="auto"/>
              </w:rPr>
            </w:pPr>
            <w:r>
              <w:rPr>
                <w:rFonts w:ascii="Arial" w:cs="Arial" w:eastAsia="Arial" w:hAnsi="Arial"/>
                <w:sz w:val="17"/>
                <w:szCs w:val="17"/>
                <w:color w:val="auto"/>
              </w:rPr>
              <w:t>Total stockholders’ deficit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(79,750)</w:t>
            </w:r>
          </w:p>
        </w:tc>
        <w:tc>
          <w:tcPr>
            <w:tcW w:w="3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3"/>
              </w:rPr>
              <w:t>(111,963)</w:t>
            </w:r>
          </w:p>
        </w:tc>
        <w:tc>
          <w:tcPr>
            <w:tcW w:w="140" w:type="dxa"/>
            <w:vAlign w:val="bottom"/>
          </w:tcPr>
          <w:p>
            <w:pPr>
              <w:spacing w:after="0"/>
              <w:rPr>
                <w:sz w:val="17"/>
                <w:szCs w:val="17"/>
                <w:color w:val="auto"/>
              </w:rPr>
            </w:pPr>
          </w:p>
        </w:tc>
      </w:tr>
      <w:tr>
        <w:trPr>
          <w:trHeight w:val="187"/>
        </w:trPr>
        <w:tc>
          <w:tcPr>
            <w:tcW w:w="898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Total liabilities, redeemable convertible preferred stock and stockholders’ deficit</w:t>
            </w:r>
          </w:p>
        </w:tc>
        <w:tc>
          <w:tcPr>
            <w:tcW w:w="26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146,491</w:t>
            </w:r>
          </w:p>
        </w:tc>
        <w:tc>
          <w:tcPr>
            <w:tcW w:w="1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118,260</w:t>
            </w:r>
          </w:p>
        </w:tc>
      </w:tr>
      <w:tr>
        <w:trPr>
          <w:trHeight w:val="20"/>
        </w:trPr>
        <w:tc>
          <w:tcPr>
            <w:tcW w:w="8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8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40"/>
          </w:cols>
          <w:pgMar w:left="320" w:top="454" w:right="3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and Comprehensive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2018 and 2019</w:t>
      </w: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7"/>
              <w:spacing w:after="0" w:line="154"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6"/>
              <w:spacing w:after="0" w:line="154"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Revenue from collaboration agreements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19,364</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21,381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960" w:type="dxa"/>
            <w:vAlign w:val="bottom"/>
          </w:tcPr>
          <w:p>
            <w:pPr>
              <w:spacing w:after="0" w:line="187" w:lineRule="exact"/>
              <w:rPr>
                <w:sz w:val="20"/>
                <w:szCs w:val="20"/>
                <w:color w:val="auto"/>
              </w:rPr>
            </w:pPr>
            <w:r>
              <w:rPr>
                <w:rFonts w:ascii="Arial" w:cs="Arial" w:eastAsia="Arial" w:hAnsi="Arial"/>
                <w:sz w:val="17"/>
                <w:szCs w:val="17"/>
                <w:color w:val="auto"/>
              </w:rPr>
              <w:t>Operating expenses: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General and administrative</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1"/>
              <w:spacing w:after="0" w:line="187" w:lineRule="exact"/>
              <w:rPr>
                <w:sz w:val="20"/>
                <w:szCs w:val="20"/>
                <w:color w:val="auto"/>
              </w:rPr>
            </w:pPr>
            <w:r>
              <w:rPr>
                <w:rFonts w:ascii="Arial" w:cs="Arial" w:eastAsia="Arial" w:hAnsi="Arial"/>
                <w:sz w:val="17"/>
                <w:szCs w:val="17"/>
                <w:color w:val="auto"/>
              </w:rPr>
              <w:t>7,161</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8,774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tcPr>
          <w:p>
            <w:pPr>
              <w:ind w:left="260"/>
              <w:spacing w:after="0" w:line="187" w:lineRule="exact"/>
              <w:rPr>
                <w:sz w:val="20"/>
                <w:szCs w:val="20"/>
                <w:color w:val="auto"/>
              </w:rPr>
            </w:pPr>
            <w:r>
              <w:rPr>
                <w:rFonts w:ascii="Arial" w:cs="Arial" w:eastAsia="Arial" w:hAnsi="Arial"/>
                <w:sz w:val="17"/>
                <w:szCs w:val="17"/>
                <w:color w:val="auto"/>
              </w:rPr>
              <w:t>Research and development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81"/>
              <w:spacing w:after="0" w:line="187" w:lineRule="exact"/>
              <w:rPr>
                <w:sz w:val="20"/>
                <w:szCs w:val="20"/>
                <w:color w:val="auto"/>
              </w:rPr>
            </w:pPr>
            <w:r>
              <w:rPr>
                <w:rFonts w:ascii="Arial" w:cs="Arial" w:eastAsia="Arial" w:hAnsi="Arial"/>
                <w:sz w:val="17"/>
                <w:szCs w:val="17"/>
                <w:color w:val="auto"/>
              </w:rPr>
              <w:t>28,592</w:t>
            </w:r>
          </w:p>
        </w:tc>
        <w:tc>
          <w:tcPr>
            <w:tcW w:w="100" w:type="dxa"/>
            <w:vAlign w:val="bottom"/>
          </w:tcPr>
          <w:p>
            <w:pPr>
              <w:spacing w:after="0"/>
              <w:rPr>
                <w:sz w:val="16"/>
                <w:szCs w:val="16"/>
                <w:color w:val="auto"/>
              </w:rPr>
            </w:pPr>
          </w:p>
        </w:tc>
        <w:tc>
          <w:tcPr>
            <w:tcW w:w="88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48,059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96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Total operating expenses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1"/>
              <w:spacing w:after="0" w:line="187" w:lineRule="exact"/>
              <w:rPr>
                <w:sz w:val="20"/>
                <w:szCs w:val="20"/>
                <w:color w:val="auto"/>
              </w:rPr>
            </w:pPr>
            <w:r>
              <w:rPr>
                <w:rFonts w:ascii="Arial" w:cs="Arial" w:eastAsia="Arial" w:hAnsi="Arial"/>
                <w:sz w:val="17"/>
                <w:szCs w:val="17"/>
                <w:color w:val="auto"/>
              </w:rPr>
              <w:t>35,753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56,833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960" w:type="dxa"/>
            <w:vAlign w:val="bottom"/>
          </w:tcPr>
          <w:p>
            <w:pPr>
              <w:ind w:left="500"/>
              <w:spacing w:after="0" w:line="194" w:lineRule="exact"/>
              <w:rPr>
                <w:sz w:val="20"/>
                <w:szCs w:val="20"/>
                <w:color w:val="auto"/>
              </w:rPr>
            </w:pPr>
            <w:r>
              <w:rPr>
                <w:rFonts w:ascii="Arial" w:cs="Arial" w:eastAsia="Arial" w:hAnsi="Arial"/>
                <w:sz w:val="17"/>
                <w:szCs w:val="17"/>
                <w:color w:val="auto"/>
              </w:rPr>
              <w:t>Operating loss</w:t>
            </w:r>
          </w:p>
        </w:tc>
        <w:tc>
          <w:tcPr>
            <w:tcW w:w="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(16,389)</w:t>
            </w:r>
          </w:p>
        </w:tc>
        <w:tc>
          <w:tcPr>
            <w:tcW w:w="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(35,452)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income, net: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tcPr>
          <w:p>
            <w:pPr>
              <w:ind w:left="260"/>
              <w:spacing w:after="0" w:line="187" w:lineRule="exact"/>
              <w:rPr>
                <w:sz w:val="20"/>
                <w:szCs w:val="20"/>
                <w:color w:val="auto"/>
              </w:rPr>
            </w:pPr>
            <w:r>
              <w:rPr>
                <w:rFonts w:ascii="Arial" w:cs="Arial" w:eastAsia="Arial" w:hAnsi="Arial"/>
                <w:sz w:val="17"/>
                <w:szCs w:val="17"/>
                <w:color w:val="auto"/>
              </w:rPr>
              <w:t>Interest income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81"/>
              <w:spacing w:after="0" w:line="187" w:lineRule="exact"/>
              <w:rPr>
                <w:sz w:val="20"/>
                <w:szCs w:val="20"/>
                <w:color w:val="auto"/>
              </w:rPr>
            </w:pPr>
            <w:r>
              <w:rPr>
                <w:rFonts w:ascii="Arial" w:cs="Arial" w:eastAsia="Arial" w:hAnsi="Arial"/>
                <w:sz w:val="17"/>
                <w:szCs w:val="17"/>
                <w:color w:val="auto"/>
              </w:rPr>
              <w:t>685</w:t>
            </w:r>
          </w:p>
        </w:tc>
        <w:tc>
          <w:tcPr>
            <w:tcW w:w="100" w:type="dxa"/>
            <w:vAlign w:val="bottom"/>
          </w:tcPr>
          <w:p>
            <w:pPr>
              <w:spacing w:after="0"/>
              <w:rPr>
                <w:sz w:val="16"/>
                <w:szCs w:val="16"/>
                <w:color w:val="auto"/>
              </w:rPr>
            </w:pPr>
          </w:p>
        </w:tc>
        <w:tc>
          <w:tcPr>
            <w:tcW w:w="88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1,832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Other (expense) income, net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21"/>
              <w:spacing w:after="0" w:line="187"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325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960" w:type="dxa"/>
            <w:vAlign w:val="bottom"/>
          </w:tcPr>
          <w:p>
            <w:pPr>
              <w:ind w:left="760"/>
              <w:spacing w:after="0" w:line="194" w:lineRule="exact"/>
              <w:rPr>
                <w:sz w:val="20"/>
                <w:szCs w:val="20"/>
                <w:color w:val="auto"/>
              </w:rPr>
            </w:pPr>
            <w:r>
              <w:rPr>
                <w:rFonts w:ascii="Arial" w:cs="Arial" w:eastAsia="Arial" w:hAnsi="Arial"/>
                <w:sz w:val="17"/>
                <w:szCs w:val="17"/>
                <w:color w:val="auto"/>
              </w:rPr>
              <w:t>Total other income, net</w:t>
            </w:r>
          </w:p>
        </w:tc>
        <w:tc>
          <w:tcPr>
            <w:tcW w:w="7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678</w:t>
            </w:r>
          </w:p>
        </w:tc>
        <w:tc>
          <w:tcPr>
            <w:tcW w:w="6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before income taxes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21"/>
              <w:spacing w:after="0" w:line="187" w:lineRule="exact"/>
              <w:rPr>
                <w:sz w:val="20"/>
                <w:szCs w:val="20"/>
                <w:color w:val="auto"/>
              </w:rPr>
            </w:pPr>
            <w:r>
              <w:rPr>
                <w:rFonts w:ascii="Arial" w:cs="Arial" w:eastAsia="Arial" w:hAnsi="Arial"/>
                <w:sz w:val="17"/>
                <w:szCs w:val="17"/>
                <w:color w:val="auto"/>
              </w:rPr>
              <w:t>(15,711)</w:t>
            </w: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(33,295)</w:t>
            </w:r>
          </w:p>
        </w:tc>
        <w:tc>
          <w:tcPr>
            <w:tcW w:w="0" w:type="dxa"/>
            <w:vAlign w:val="bottom"/>
          </w:tcPr>
          <w:p>
            <w:pPr>
              <w:spacing w:after="0"/>
              <w:rPr>
                <w:sz w:val="1"/>
                <w:szCs w:val="1"/>
                <w:color w:val="auto"/>
              </w:rPr>
            </w:pPr>
          </w:p>
        </w:tc>
      </w:tr>
      <w:tr>
        <w:trPr>
          <w:trHeight w:val="187"/>
        </w:trPr>
        <w:tc>
          <w:tcPr>
            <w:tcW w:w="7960" w:type="dxa"/>
            <w:vAlign w:val="bottom"/>
          </w:tcPr>
          <w:p>
            <w:pPr>
              <w:spacing w:after="0" w:line="187" w:lineRule="exact"/>
              <w:rPr>
                <w:sz w:val="20"/>
                <w:szCs w:val="20"/>
                <w:color w:val="auto"/>
              </w:rPr>
            </w:pPr>
            <w:r>
              <w:rPr>
                <w:rFonts w:ascii="Arial" w:cs="Arial" w:eastAsia="Arial" w:hAnsi="Arial"/>
                <w:sz w:val="17"/>
                <w:szCs w:val="17"/>
                <w:color w:val="auto"/>
              </w:rPr>
              <w:t>Income taxes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81"/>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960" w:type="dxa"/>
            <w:vAlign w:val="bottom"/>
            <w:gridSpan w:val="3"/>
          </w:tcPr>
          <w:p>
            <w:pPr>
              <w:jc w:val="right"/>
              <w:ind w:right="40"/>
              <w:spacing w:after="0" w:line="187" w:lineRule="exact"/>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9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loss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21"/>
              <w:spacing w:after="0" w:line="187" w:lineRule="exact"/>
              <w:rPr>
                <w:sz w:val="20"/>
                <w:szCs w:val="20"/>
                <w:color w:val="auto"/>
              </w:rPr>
            </w:pPr>
            <w:r>
              <w:rPr>
                <w:rFonts w:ascii="Arial" w:cs="Arial" w:eastAsia="Arial" w:hAnsi="Arial"/>
                <w:sz w:val="17"/>
                <w:szCs w:val="17"/>
                <w:color w:val="auto"/>
              </w:rPr>
              <w:t>(15,711)</w:t>
            </w: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(34,099)</w:t>
            </w:r>
          </w:p>
        </w:tc>
        <w:tc>
          <w:tcPr>
            <w:tcW w:w="0" w:type="dxa"/>
            <w:vAlign w:val="bottom"/>
          </w:tcPr>
          <w:p>
            <w:pPr>
              <w:spacing w:after="0"/>
              <w:rPr>
                <w:sz w:val="1"/>
                <w:szCs w:val="1"/>
                <w:color w:val="auto"/>
              </w:rPr>
            </w:pPr>
          </w:p>
        </w:tc>
      </w:tr>
      <w:tr>
        <w:trPr>
          <w:trHeight w:val="187"/>
        </w:trPr>
        <w:tc>
          <w:tcPr>
            <w:tcW w:w="7960" w:type="dxa"/>
            <w:vAlign w:val="bottom"/>
          </w:tcPr>
          <w:p>
            <w:pPr>
              <w:spacing w:after="0" w:line="187" w:lineRule="exact"/>
              <w:rPr>
                <w:sz w:val="20"/>
                <w:szCs w:val="20"/>
                <w:color w:val="auto"/>
              </w:rPr>
            </w:pPr>
            <w:r>
              <w:rPr>
                <w:rFonts w:ascii="Arial" w:cs="Arial" w:eastAsia="Arial" w:hAnsi="Arial"/>
                <w:sz w:val="17"/>
                <w:szCs w:val="17"/>
                <w:color w:val="auto"/>
              </w:rPr>
              <w:t>Other comprehensive gain:</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Unrealized gain on investments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1"/>
              <w:spacing w:after="0" w:line="187" w:lineRule="exact"/>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7960" w:type="dxa"/>
            <w:vAlign w:val="bottom"/>
          </w:tcPr>
          <w:p>
            <w:pPr>
              <w:spacing w:after="0" w:line="194" w:lineRule="exact"/>
              <w:rPr>
                <w:sz w:val="20"/>
                <w:szCs w:val="20"/>
                <w:color w:val="auto"/>
              </w:rPr>
            </w:pPr>
            <w:r>
              <w:rPr>
                <w:rFonts w:ascii="Arial" w:cs="Arial" w:eastAsia="Arial" w:hAnsi="Arial"/>
                <w:sz w:val="17"/>
                <w:szCs w:val="17"/>
                <w:color w:val="auto"/>
              </w:rPr>
              <w:t>Comprehensive loss</w:t>
            </w:r>
          </w:p>
        </w:tc>
        <w:tc>
          <w:tcPr>
            <w:tcW w:w="7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(15,665</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(34,099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9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Accrual of preferred stock dividends</w:t>
            </w:r>
          </w:p>
        </w:tc>
        <w:tc>
          <w:tcPr>
            <w:tcW w:w="80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21"/>
              <w:spacing w:after="0" w:line="180" w:lineRule="exact"/>
              <w:rPr>
                <w:sz w:val="20"/>
                <w:szCs w:val="20"/>
                <w:color w:val="auto"/>
              </w:rPr>
            </w:pPr>
            <w:r>
              <w:rPr>
                <w:rFonts w:ascii="Arial" w:cs="Arial" w:eastAsia="Arial" w:hAnsi="Arial"/>
                <w:sz w:val="17"/>
                <w:szCs w:val="17"/>
                <w:color w:val="auto"/>
              </w:rPr>
              <w:t>(8,396)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40"/>
              <w:spacing w:after="0" w:line="180" w:lineRule="exact"/>
              <w:rPr>
                <w:sz w:val="20"/>
                <w:szCs w:val="20"/>
                <w:color w:val="auto"/>
              </w:rPr>
            </w:pPr>
            <w:r>
              <w:rPr>
                <w:rFonts w:ascii="Arial" w:cs="Arial" w:eastAsia="Arial" w:hAnsi="Arial"/>
                <w:sz w:val="17"/>
                <w:szCs w:val="17"/>
                <w:color w:val="auto"/>
              </w:rPr>
              <w:t>(8,468)</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stockholders—basic and diluted (Note 11)</w:t>
            </w:r>
          </w:p>
        </w:tc>
        <w:tc>
          <w:tcPr>
            <w:tcW w:w="7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vMerge w:val="restart"/>
          </w:tcPr>
          <w:p>
            <w:pPr>
              <w:jc w:val="right"/>
              <w:ind w:right="5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81"/>
        </w:trPr>
        <w:tc>
          <w:tcPr>
            <w:tcW w:w="79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(24,107</w:t>
            </w:r>
          </w:p>
        </w:tc>
        <w:tc>
          <w:tcPr>
            <w:tcW w:w="6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(42,567</w:t>
            </w:r>
          </w:p>
        </w:tc>
        <w:tc>
          <w:tcPr>
            <w:tcW w:w="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9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80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21"/>
              <w:spacing w:after="0" w:line="180" w:lineRule="exact"/>
              <w:rPr>
                <w:sz w:val="20"/>
                <w:szCs w:val="20"/>
                <w:color w:val="auto"/>
              </w:rPr>
            </w:pPr>
            <w:r>
              <w:rPr>
                <w:rFonts w:ascii="Arial" w:cs="Arial" w:eastAsia="Arial" w:hAnsi="Arial"/>
                <w:sz w:val="17"/>
                <w:szCs w:val="17"/>
                <w:color w:val="auto"/>
              </w:rPr>
              <w:t>(18.64)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40"/>
              <w:spacing w:after="0" w:line="180" w:lineRule="exact"/>
              <w:rPr>
                <w:sz w:val="20"/>
                <w:szCs w:val="20"/>
                <w:color w:val="auto"/>
              </w:rPr>
            </w:pPr>
            <w:r>
              <w:rPr>
                <w:rFonts w:ascii="Arial" w:cs="Arial" w:eastAsia="Arial" w:hAnsi="Arial"/>
                <w:sz w:val="17"/>
                <w:szCs w:val="17"/>
                <w:color w:val="auto"/>
              </w:rPr>
              <w:t>(31.03)</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7"/>
                <w:szCs w:val="17"/>
                <w:color w:val="auto"/>
              </w:rPr>
              <w:t>Weighted-average common stock outstanding—basic and diluted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9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97"/>
              </w:rPr>
              <w:t>1,293,103</w:t>
            </w:r>
          </w:p>
        </w:tc>
        <w:tc>
          <w:tcPr>
            <w:tcW w:w="6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1,371,905</w:t>
            </w: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 forma net loss per share attributable to common stockholders—basic and diluted (unaudited)</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7"/>
                <w:szCs w:val="17"/>
                <w:color w:val="auto"/>
              </w:rPr>
              <w:t>Pro forma weighted-average common stock outstanding—basic and diluted (unaudited)</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9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98"/>
              </w:rPr>
              <w:t>14,788,060</w:t>
            </w:r>
          </w:p>
        </w:tc>
        <w:tc>
          <w:tcPr>
            <w:tcW w:w="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240"/>
          </w:cols>
          <w:pgMar w:left="320" w:top="454" w:right="3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 of Redeemable Convertible Preferred Stock and Stockholder’s Deficit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December 31, 2018 and 2019</w:t>
      </w:r>
    </w:p>
    <w:p>
      <w:pPr>
        <w:jc w:val="center"/>
        <w:ind w:right="-39"/>
        <w:spacing w:after="0"/>
        <w:rPr>
          <w:sz w:val="20"/>
          <w:szCs w:val="20"/>
          <w:color w:val="auto"/>
        </w:rPr>
      </w:pPr>
      <w:r>
        <w:rPr>
          <w:rFonts w:ascii="Arial" w:cs="Arial" w:eastAsia="Arial" w:hAnsi="Arial"/>
          <w:sz w:val="17"/>
          <w:szCs w:val="17"/>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rPr>
              <w:t>SERIES SEED</w:t>
            </w:r>
          </w:p>
        </w:tc>
        <w:tc>
          <w:tcPr>
            <w:tcW w:w="14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rPr>
              <w:t>SERIES A</w:t>
            </w: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1480" w:type="dxa"/>
            <w:vAlign w:val="bottom"/>
            <w:gridSpan w:val="5"/>
          </w:tcPr>
          <w:p>
            <w:pPr>
              <w:jc w:val="center"/>
              <w:ind w:right="160"/>
              <w:spacing w:after="0" w:line="134" w:lineRule="exact"/>
              <w:rPr>
                <w:sz w:val="20"/>
                <w:szCs w:val="20"/>
                <w:color w:val="auto"/>
              </w:rPr>
            </w:pPr>
            <w:r>
              <w:rPr>
                <w:rFonts w:ascii="Arial" w:cs="Arial" w:eastAsia="Arial" w:hAnsi="Arial"/>
                <w:sz w:val="12"/>
                <w:szCs w:val="12"/>
                <w:b w:val="1"/>
                <w:bCs w:val="1"/>
                <w:color w:val="auto"/>
              </w:rPr>
              <w:t>REDEEMABLE</w:t>
            </w:r>
          </w:p>
        </w:tc>
        <w:tc>
          <w:tcPr>
            <w:tcW w:w="146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rPr>
              <w:t>REDEEMABLE</w:t>
            </w: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1480" w:type="dxa"/>
            <w:vAlign w:val="bottom"/>
            <w:gridSpan w:val="5"/>
          </w:tcPr>
          <w:p>
            <w:pPr>
              <w:jc w:val="center"/>
              <w:ind w:right="180"/>
              <w:spacing w:after="0" w:line="134" w:lineRule="exact"/>
              <w:rPr>
                <w:sz w:val="20"/>
                <w:szCs w:val="20"/>
                <w:color w:val="auto"/>
              </w:rPr>
            </w:pPr>
            <w:r>
              <w:rPr>
                <w:rFonts w:ascii="Arial" w:cs="Arial" w:eastAsia="Arial" w:hAnsi="Arial"/>
                <w:sz w:val="12"/>
                <w:szCs w:val="12"/>
                <w:b w:val="1"/>
                <w:bCs w:val="1"/>
                <w:color w:val="auto"/>
              </w:rPr>
              <w:t>CONVERTIBLE</w:t>
            </w:r>
          </w:p>
        </w:tc>
        <w:tc>
          <w:tcPr>
            <w:tcW w:w="146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rPr>
              <w:t>CONVERTIBLE</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13"/>
                <w:szCs w:val="13"/>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rPr>
              <w:t>PREFERRED STOCK</w:t>
            </w:r>
          </w:p>
        </w:tc>
        <w:tc>
          <w:tcPr>
            <w:tcW w:w="146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27"/>
        </w:trPr>
        <w:tc>
          <w:tcPr>
            <w:tcW w:w="1840" w:type="dxa"/>
            <w:vAlign w:val="bottom"/>
            <w:vMerge w:val="restart"/>
          </w:tcPr>
          <w:p>
            <w:pPr>
              <w:spacing w:after="0"/>
              <w:rPr>
                <w:sz w:val="20"/>
                <w:szCs w:val="20"/>
                <w:color w:val="auto"/>
              </w:rPr>
            </w:pPr>
            <w:r>
              <w:rPr>
                <w:rFonts w:ascii="Arial" w:cs="Arial" w:eastAsia="Arial" w:hAnsi="Arial"/>
                <w:sz w:val="12"/>
                <w:szCs w:val="12"/>
                <w:color w:val="auto"/>
              </w:rPr>
              <w:t>Balance as of December 31,</w:t>
            </w:r>
          </w:p>
        </w:tc>
        <w:tc>
          <w:tcPr>
            <w:tcW w:w="6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SHARES</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2"/>
          </w:tcPr>
          <w:p>
            <w:pPr>
              <w:spacing w:after="0" w:line="128" w:lineRule="exact"/>
              <w:rPr>
                <w:sz w:val="20"/>
                <w:szCs w:val="20"/>
                <w:color w:val="auto"/>
              </w:rPr>
            </w:pPr>
            <w:r>
              <w:rPr>
                <w:rFonts w:ascii="Arial" w:cs="Arial" w:eastAsia="Arial" w:hAnsi="Arial"/>
                <w:sz w:val="12"/>
                <w:szCs w:val="12"/>
                <w:b w:val="1"/>
                <w:bCs w:val="1"/>
                <w:color w:val="auto"/>
                <w:w w:val="98"/>
              </w:rPr>
              <w:t>AMOUNT</w:t>
            </w:r>
          </w:p>
        </w:tc>
        <w:tc>
          <w:tcPr>
            <w:tcW w:w="1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38"/>
              <w:spacing w:after="0" w:line="128" w:lineRule="exact"/>
              <w:rPr>
                <w:sz w:val="20"/>
                <w:szCs w:val="20"/>
                <w:color w:val="auto"/>
              </w:rPr>
            </w:pPr>
            <w:r>
              <w:rPr>
                <w:rFonts w:ascii="Arial" w:cs="Arial" w:eastAsia="Arial" w:hAnsi="Arial"/>
                <w:sz w:val="12"/>
                <w:szCs w:val="12"/>
                <w:b w:val="1"/>
                <w:bCs w:val="1"/>
                <w:color w:val="auto"/>
              </w:rPr>
              <w:t>SHARES</w:t>
            </w: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84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4,000,000</w:t>
            </w:r>
          </w:p>
        </w:tc>
        <w:tc>
          <w:tcPr>
            <w:tcW w:w="160" w:type="dxa"/>
            <w:vAlign w:val="bottom"/>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1,000</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108,245,000</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$ 108,018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60"/>
              <w:spacing w:after="0" w:line="134" w:lineRule="exact"/>
              <w:rPr>
                <w:sz w:val="20"/>
                <w:szCs w:val="20"/>
                <w:color w:val="auto"/>
              </w:rPr>
            </w:pPr>
            <w:r>
              <w:rPr>
                <w:rFonts w:ascii="Arial" w:cs="Arial" w:eastAsia="Arial" w:hAnsi="Arial"/>
                <w:sz w:val="12"/>
                <w:szCs w:val="12"/>
                <w:color w:val="auto"/>
              </w:rPr>
              <w:t>2017</w:t>
            </w: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line="134" w:lineRule="exact"/>
              <w:rPr>
                <w:sz w:val="20"/>
                <w:szCs w:val="20"/>
                <w:color w:val="auto"/>
              </w:rPr>
            </w:pPr>
            <w:r>
              <w:rPr>
                <w:rFonts w:ascii="Arial" w:cs="Arial" w:eastAsia="Arial" w:hAnsi="Arial"/>
                <w:sz w:val="12"/>
                <w:szCs w:val="12"/>
                <w:color w:val="auto"/>
              </w:rPr>
              <w:t>Exercise of stock options</w:t>
            </w: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840" w:type="dxa"/>
            <w:vAlign w:val="bottom"/>
          </w:tcPr>
          <w:p>
            <w:pPr>
              <w:spacing w:after="0" w:line="134" w:lineRule="exact"/>
              <w:rPr>
                <w:sz w:val="20"/>
                <w:szCs w:val="20"/>
                <w:color w:val="auto"/>
              </w:rPr>
            </w:pPr>
            <w:r>
              <w:rPr>
                <w:rFonts w:ascii="Arial" w:cs="Arial" w:eastAsia="Arial" w:hAnsi="Arial"/>
                <w:sz w:val="12"/>
                <w:szCs w:val="12"/>
                <w:color w:val="auto"/>
              </w:rPr>
              <w:t>Issuance of Series A</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60"/>
              <w:spacing w:after="0" w:line="134" w:lineRule="exact"/>
              <w:rPr>
                <w:sz w:val="20"/>
                <w:szCs w:val="20"/>
                <w:color w:val="auto"/>
              </w:rPr>
            </w:pPr>
            <w:r>
              <w:rPr>
                <w:rFonts w:ascii="Arial" w:cs="Arial" w:eastAsia="Arial" w:hAnsi="Arial"/>
                <w:sz w:val="12"/>
                <w:szCs w:val="12"/>
                <w:color w:val="auto"/>
              </w:rPr>
              <w:t>redeemable convertible</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60"/>
              <w:spacing w:after="0" w:line="134" w:lineRule="exact"/>
              <w:rPr>
                <w:sz w:val="20"/>
                <w:szCs w:val="20"/>
                <w:color w:val="auto"/>
              </w:rPr>
            </w:pPr>
            <w:r>
              <w:rPr>
                <w:rFonts w:ascii="Arial" w:cs="Arial" w:eastAsia="Arial" w:hAnsi="Arial"/>
                <w:sz w:val="12"/>
                <w:szCs w:val="12"/>
                <w:color w:val="auto"/>
              </w:rPr>
              <w:t>preferred stock, net of</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900,900</w:t>
            </w:r>
          </w:p>
        </w:tc>
        <w:tc>
          <w:tcPr>
            <w:tcW w:w="160" w:type="dxa"/>
            <w:vAlign w:val="bottom"/>
          </w:tcPr>
          <w:p>
            <w:pPr>
              <w:spacing w:after="0"/>
              <w:rPr>
                <w:sz w:val="11"/>
                <w:szCs w:val="1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1,977</w:t>
            </w:r>
          </w:p>
        </w:tc>
        <w:tc>
          <w:tcPr>
            <w:tcW w:w="0" w:type="dxa"/>
            <w:vAlign w:val="bottom"/>
          </w:tcPr>
          <w:p>
            <w:pPr>
              <w:spacing w:after="0"/>
              <w:rPr>
                <w:sz w:val="1"/>
                <w:szCs w:val="1"/>
                <w:color w:val="auto"/>
              </w:rPr>
            </w:pPr>
          </w:p>
        </w:tc>
      </w:tr>
      <w:tr>
        <w:trPr>
          <w:trHeight w:val="134"/>
        </w:trPr>
        <w:tc>
          <w:tcPr>
            <w:tcW w:w="1840" w:type="dxa"/>
            <w:vAlign w:val="bottom"/>
          </w:tcPr>
          <w:p>
            <w:pPr>
              <w:ind w:left="260"/>
              <w:spacing w:after="0" w:line="134" w:lineRule="exact"/>
              <w:rPr>
                <w:sz w:val="20"/>
                <w:szCs w:val="20"/>
                <w:color w:val="auto"/>
              </w:rPr>
            </w:pPr>
            <w:r>
              <w:rPr>
                <w:rFonts w:ascii="Arial" w:cs="Arial" w:eastAsia="Arial" w:hAnsi="Arial"/>
                <w:sz w:val="12"/>
                <w:szCs w:val="12"/>
                <w:color w:val="auto"/>
              </w:rPr>
              <w:t>issuance costs of $23</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line="134" w:lineRule="exact"/>
              <w:rPr>
                <w:sz w:val="20"/>
                <w:szCs w:val="20"/>
                <w:color w:val="auto"/>
              </w:rPr>
            </w:pPr>
            <w:r>
              <w:rPr>
                <w:rFonts w:ascii="Arial" w:cs="Arial" w:eastAsia="Arial" w:hAnsi="Arial"/>
                <w:sz w:val="12"/>
                <w:szCs w:val="12"/>
                <w:color w:val="auto"/>
              </w:rPr>
              <w:t>Stock-based compensation</w:t>
            </w: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840" w:type="dxa"/>
            <w:vAlign w:val="bottom"/>
          </w:tcPr>
          <w:p>
            <w:pPr>
              <w:spacing w:after="0" w:line="134" w:lineRule="exact"/>
              <w:rPr>
                <w:sz w:val="20"/>
                <w:szCs w:val="20"/>
                <w:color w:val="auto"/>
              </w:rPr>
            </w:pPr>
            <w:r>
              <w:rPr>
                <w:rFonts w:ascii="Arial" w:cs="Arial" w:eastAsia="Arial" w:hAnsi="Arial"/>
                <w:sz w:val="12"/>
                <w:szCs w:val="12"/>
                <w:color w:val="auto"/>
              </w:rPr>
              <w:t>Repurchase of common stock</w:t>
            </w: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840" w:type="dxa"/>
            <w:vAlign w:val="bottom"/>
          </w:tcPr>
          <w:p>
            <w:pPr>
              <w:spacing w:after="0" w:line="134" w:lineRule="exact"/>
              <w:rPr>
                <w:sz w:val="20"/>
                <w:szCs w:val="20"/>
                <w:color w:val="auto"/>
              </w:rPr>
            </w:pPr>
            <w:r>
              <w:rPr>
                <w:rFonts w:ascii="Arial" w:cs="Arial" w:eastAsia="Arial" w:hAnsi="Arial"/>
                <w:sz w:val="12"/>
                <w:szCs w:val="12"/>
                <w:color w:val="auto"/>
              </w:rPr>
              <w:t>Unrealized gain on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840" w:type="dxa"/>
            <w:vAlign w:val="bottom"/>
          </w:tcPr>
          <w:p>
            <w:pPr>
              <w:ind w:left="260"/>
              <w:spacing w:after="0" w:line="134" w:lineRule="exact"/>
              <w:rPr>
                <w:sz w:val="20"/>
                <w:szCs w:val="20"/>
                <w:color w:val="auto"/>
              </w:rPr>
            </w:pPr>
            <w:r>
              <w:rPr>
                <w:rFonts w:ascii="Arial" w:cs="Arial" w:eastAsia="Arial" w:hAnsi="Arial"/>
                <w:sz w:val="12"/>
                <w:szCs w:val="12"/>
                <w:color w:val="auto"/>
              </w:rPr>
              <w:t>investments</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Arial" w:cs="Arial" w:eastAsia="Arial" w:hAnsi="Arial"/>
                <w:sz w:val="12"/>
                <w:szCs w:val="12"/>
                <w:color w:val="auto"/>
              </w:rPr>
              <w:t>Net loss</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2"/>
                <w:szCs w:val="12"/>
                <w:color w:val="auto"/>
              </w:rPr>
              <w:t>Balance as of December 31,</w:t>
            </w: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840" w:type="dxa"/>
            <w:vAlign w:val="bottom"/>
            <w:vMerge w:val="continue"/>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4,000,000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1,000</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109,145,900</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109,995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60"/>
              <w:spacing w:after="0" w:line="134" w:lineRule="exact"/>
              <w:rPr>
                <w:sz w:val="20"/>
                <w:szCs w:val="20"/>
                <w:color w:val="auto"/>
              </w:rPr>
            </w:pPr>
            <w:r>
              <w:rPr>
                <w:rFonts w:ascii="Arial" w:cs="Arial" w:eastAsia="Arial" w:hAnsi="Arial"/>
                <w:sz w:val="12"/>
                <w:szCs w:val="12"/>
                <w:color w:val="auto"/>
              </w:rPr>
              <w:t>2018</w:t>
            </w: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line="134" w:lineRule="exact"/>
              <w:rPr>
                <w:sz w:val="20"/>
                <w:szCs w:val="20"/>
                <w:color w:val="auto"/>
              </w:rPr>
            </w:pPr>
            <w:r>
              <w:rPr>
                <w:rFonts w:ascii="Arial" w:cs="Arial" w:eastAsia="Arial" w:hAnsi="Arial"/>
                <w:sz w:val="12"/>
                <w:szCs w:val="12"/>
                <w:color w:val="auto"/>
              </w:rPr>
              <w:t>Exercise of stock options</w:t>
            </w: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184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1840" w:type="dxa"/>
            <w:vAlign w:val="bottom"/>
          </w:tcPr>
          <w:p>
            <w:pPr>
              <w:spacing w:after="0"/>
              <w:rPr>
                <w:sz w:val="20"/>
                <w:szCs w:val="20"/>
                <w:color w:val="auto"/>
              </w:rPr>
            </w:pPr>
            <w:r>
              <w:rPr>
                <w:rFonts w:ascii="Arial" w:cs="Arial" w:eastAsia="Arial" w:hAnsi="Arial"/>
                <w:sz w:val="12"/>
                <w:szCs w:val="12"/>
                <w:color w:val="auto"/>
              </w:rPr>
              <w:t>Repurchase of common stock</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Arial" w:cs="Arial" w:eastAsia="Arial" w:hAnsi="Arial"/>
                <w:sz w:val="12"/>
                <w:szCs w:val="12"/>
                <w:color w:val="auto"/>
              </w:rPr>
              <w:t>Net loss</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2"/>
                <w:szCs w:val="12"/>
                <w:color w:val="auto"/>
              </w:rPr>
              <w:t>Balance as of December 31,</w:t>
            </w: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840" w:type="dxa"/>
            <w:vAlign w:val="bottom"/>
            <w:vMerge w:val="continue"/>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4,000,000</w:t>
            </w:r>
          </w:p>
        </w:tc>
        <w:tc>
          <w:tcPr>
            <w:tcW w:w="16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1,000</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109,145,900</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$ 109,995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260"/>
              <w:spacing w:after="0"/>
              <w:rPr>
                <w:sz w:val="20"/>
                <w:szCs w:val="20"/>
                <w:color w:val="auto"/>
              </w:rPr>
            </w:pPr>
            <w:r>
              <w:rPr>
                <w:rFonts w:ascii="Arial" w:cs="Arial" w:eastAsia="Arial" w:hAnsi="Arial"/>
                <w:sz w:val="12"/>
                <w:szCs w:val="12"/>
                <w:color w:val="auto"/>
              </w:rPr>
              <w:t>2019</w:t>
            </w: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TOTAL</w:t>
            </w:r>
          </w:p>
        </w:tc>
        <w:tc>
          <w:tcPr>
            <w:tcW w:w="0" w:type="dxa"/>
            <w:vAlign w:val="bottom"/>
          </w:tcPr>
          <w:p>
            <w:pPr>
              <w:spacing w:after="0"/>
              <w:rPr>
                <w:sz w:val="1"/>
                <w:szCs w:val="1"/>
                <w:color w:val="auto"/>
              </w:rPr>
            </w:pPr>
          </w:p>
        </w:tc>
      </w:tr>
      <w:tr>
        <w:trPr>
          <w:trHeight w:val="134"/>
        </w:trPr>
        <w:tc>
          <w:tcPr>
            <w:tcW w:w="12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jc w:val="center"/>
              <w:ind w:right="280"/>
              <w:spacing w:after="0" w:line="134" w:lineRule="exact"/>
              <w:rPr>
                <w:sz w:val="20"/>
                <w:szCs w:val="20"/>
                <w:color w:val="auto"/>
              </w:rPr>
            </w:pPr>
            <w:r>
              <w:rPr>
                <w:rFonts w:ascii="Arial" w:cs="Arial" w:eastAsia="Arial" w:hAnsi="Arial"/>
                <w:sz w:val="12"/>
                <w:szCs w:val="12"/>
                <w:b w:val="1"/>
                <w:bCs w:val="1"/>
                <w:color w:val="auto"/>
              </w:rPr>
              <w:t>OTHER</w:t>
            </w:r>
          </w:p>
        </w:tc>
        <w:tc>
          <w:tcPr>
            <w:tcW w:w="1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PAID-IN</w:t>
            </w:r>
          </w:p>
        </w:tc>
        <w:tc>
          <w:tcPr>
            <w:tcW w:w="13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rPr>
              <w:t>COMPREHENSIVE</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27"/>
        </w:trPr>
        <w:tc>
          <w:tcPr>
            <w:tcW w:w="6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w w:val="98"/>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b w:val="1"/>
                <w:bCs w:val="1"/>
                <w:color w:val="auto"/>
              </w:rPr>
              <w:t>CAPITAL</w:t>
            </w: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8"/>
              <w:spacing w:after="0" w:line="128" w:lineRule="exact"/>
              <w:rPr>
                <w:sz w:val="20"/>
                <w:szCs w:val="20"/>
                <w:color w:val="auto"/>
              </w:rPr>
            </w:pPr>
            <w:r>
              <w:rPr>
                <w:rFonts w:ascii="Arial" w:cs="Arial" w:eastAsia="Arial" w:hAnsi="Arial"/>
                <w:sz w:val="12"/>
                <w:szCs w:val="12"/>
                <w:b w:val="1"/>
                <w:bCs w:val="1"/>
                <w:color w:val="auto"/>
              </w:rPr>
              <w:t>INCOME (LOSS)</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78"/>
              <w:spacing w:after="0" w:line="128" w:lineRule="exact"/>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18"/>
              <w:spacing w:after="0" w:line="128" w:lineRule="exact"/>
              <w:rPr>
                <w:sz w:val="20"/>
                <w:szCs w:val="20"/>
                <w:color w:val="auto"/>
              </w:rPr>
            </w:pPr>
            <w:r>
              <w:rPr>
                <w:rFonts w:ascii="Arial" w:cs="Arial" w:eastAsia="Arial" w:hAnsi="Arial"/>
                <w:sz w:val="12"/>
                <w:szCs w:val="12"/>
                <w:b w:val="1"/>
                <w:bCs w:val="1"/>
                <w:color w:val="auto"/>
              </w:rPr>
              <w:t>DEFICIT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620" w:type="dxa"/>
            <w:vAlign w:val="bottom"/>
          </w:tcPr>
          <w:p>
            <w:pPr>
              <w:jc w:val="right"/>
              <w:spacing w:after="0"/>
              <w:rPr>
                <w:sz w:val="20"/>
                <w:szCs w:val="20"/>
                <w:color w:val="auto"/>
              </w:rPr>
            </w:pPr>
            <w:r>
              <w:rPr>
                <w:rFonts w:ascii="Arial" w:cs="Arial" w:eastAsia="Arial" w:hAnsi="Arial"/>
                <w:sz w:val="12"/>
                <w:szCs w:val="12"/>
                <w:color w:val="auto"/>
              </w:rPr>
              <w:t>1,294,535</w:t>
            </w:r>
          </w:p>
        </w:tc>
        <w:tc>
          <w:tcPr>
            <w:tcW w:w="200" w:type="dxa"/>
            <w:vAlign w:val="bottom"/>
          </w:tcPr>
          <w:p>
            <w:pPr>
              <w:spacing w:after="0"/>
              <w:rPr>
                <w:sz w:val="19"/>
                <w:szCs w:val="19"/>
                <w:color w:val="auto"/>
              </w:rPr>
            </w:pPr>
          </w:p>
        </w:tc>
        <w:tc>
          <w:tcPr>
            <w:tcW w:w="400" w:type="dxa"/>
            <w:vAlign w:val="bottom"/>
          </w:tcPr>
          <w:p>
            <w:pPr>
              <w:jc w:val="right"/>
              <w:ind w:right="285"/>
              <w:spacing w:after="0"/>
              <w:rPr>
                <w:sz w:val="20"/>
                <w:szCs w:val="20"/>
                <w:color w:val="auto"/>
              </w:rPr>
            </w:pPr>
            <w:r>
              <w:rPr>
                <w:rFonts w:ascii="Arial" w:cs="Arial" w:eastAsia="Arial" w:hAnsi="Arial"/>
                <w:sz w:val="10"/>
                <w:szCs w:val="10"/>
                <w:color w:val="auto"/>
                <w:w w:val="71"/>
              </w:rPr>
              <w:t>$</w:t>
            </w: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w:t>
            </w:r>
          </w:p>
        </w:tc>
        <w:tc>
          <w:tcPr>
            <w:tcW w:w="18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3,047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(46)</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(67,678)</w:t>
            </w:r>
          </w:p>
        </w:tc>
        <w:tc>
          <w:tcPr>
            <w:tcW w:w="26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(64,677)</w:t>
            </w:r>
          </w:p>
        </w:tc>
        <w:tc>
          <w:tcPr>
            <w:tcW w:w="0" w:type="dxa"/>
            <w:vAlign w:val="bottom"/>
          </w:tcPr>
          <w:p>
            <w:pPr>
              <w:spacing w:after="0"/>
              <w:rPr>
                <w:sz w:val="1"/>
                <w:szCs w:val="1"/>
                <w:color w:val="auto"/>
              </w:rPr>
            </w:pPr>
          </w:p>
        </w:tc>
      </w:tr>
      <w:tr>
        <w:trPr>
          <w:trHeight w:val="169"/>
        </w:trPr>
        <w:tc>
          <w:tcPr>
            <w:tcW w:w="620" w:type="dxa"/>
            <w:vAlign w:val="bottom"/>
          </w:tcPr>
          <w:p>
            <w:pPr>
              <w:jc w:val="right"/>
              <w:spacing w:after="0"/>
              <w:rPr>
                <w:sz w:val="20"/>
                <w:szCs w:val="20"/>
                <w:color w:val="auto"/>
              </w:rPr>
            </w:pPr>
            <w:r>
              <w:rPr>
                <w:rFonts w:ascii="Arial" w:cs="Arial" w:eastAsia="Arial" w:hAnsi="Arial"/>
                <w:sz w:val="12"/>
                <w:szCs w:val="12"/>
                <w:color w:val="auto"/>
              </w:rPr>
              <w:t>45,072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582</w:t>
            </w:r>
          </w:p>
        </w:tc>
        <w:tc>
          <w:tcPr>
            <w:tcW w:w="60" w:type="dxa"/>
            <w:vAlign w:val="bottom"/>
          </w:tcPr>
          <w:p>
            <w:pPr>
              <w:spacing w:after="0"/>
              <w:rPr>
                <w:sz w:val="11"/>
                <w:szCs w:val="11"/>
                <w:color w:val="auto"/>
              </w:rPr>
            </w:pPr>
          </w:p>
        </w:tc>
        <w:tc>
          <w:tcPr>
            <w:tcW w:w="124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582</w:t>
            </w:r>
          </w:p>
        </w:tc>
        <w:tc>
          <w:tcPr>
            <w:tcW w:w="0" w:type="dxa"/>
            <w:vAlign w:val="bottom"/>
          </w:tcPr>
          <w:p>
            <w:pPr>
              <w:spacing w:after="0"/>
              <w:rPr>
                <w:sz w:val="1"/>
                <w:szCs w:val="1"/>
                <w:color w:val="auto"/>
              </w:rPr>
            </w:pPr>
          </w:p>
        </w:tc>
      </w:tr>
      <w:tr>
        <w:trPr>
          <w:trHeight w:val="169"/>
        </w:trPr>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(651)</w:t>
            </w:r>
          </w:p>
        </w:tc>
        <w:tc>
          <w:tcPr>
            <w:tcW w:w="40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(88)</w:t>
            </w:r>
          </w:p>
        </w:tc>
        <w:tc>
          <w:tcPr>
            <w:tcW w:w="6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232"/>
        </w:trPr>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46</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56"/>
        </w:trPr>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(15,711)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(15,711)</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20" w:type="dxa"/>
            <w:vAlign w:val="bottom"/>
          </w:tcPr>
          <w:p>
            <w:pPr>
              <w:jc w:val="right"/>
              <w:spacing w:after="0"/>
              <w:rPr>
                <w:sz w:val="20"/>
                <w:szCs w:val="20"/>
                <w:color w:val="auto"/>
              </w:rPr>
            </w:pPr>
            <w:r>
              <w:rPr>
                <w:rFonts w:ascii="Arial" w:cs="Arial" w:eastAsia="Arial" w:hAnsi="Arial"/>
                <w:sz w:val="12"/>
                <w:szCs w:val="12"/>
                <w:color w:val="auto"/>
              </w:rPr>
              <w:t>1,338,956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3,639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(83,389)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(79,750)</w:t>
            </w:r>
          </w:p>
        </w:tc>
        <w:tc>
          <w:tcPr>
            <w:tcW w:w="0" w:type="dxa"/>
            <w:vAlign w:val="bottom"/>
          </w:tcPr>
          <w:p>
            <w:pPr>
              <w:spacing w:after="0"/>
              <w:rPr>
                <w:sz w:val="1"/>
                <w:szCs w:val="1"/>
                <w:color w:val="auto"/>
              </w:rPr>
            </w:pPr>
          </w:p>
        </w:tc>
      </w:tr>
      <w:tr>
        <w:trPr>
          <w:trHeight w:val="147"/>
        </w:trPr>
        <w:tc>
          <w:tcPr>
            <w:tcW w:w="620" w:type="dxa"/>
            <w:vAlign w:val="bottom"/>
          </w:tcPr>
          <w:p>
            <w:pPr>
              <w:jc w:val="right"/>
              <w:spacing w:after="0"/>
              <w:rPr>
                <w:sz w:val="20"/>
                <w:szCs w:val="20"/>
                <w:color w:val="auto"/>
              </w:rPr>
            </w:pPr>
            <w:r>
              <w:rPr>
                <w:rFonts w:ascii="Arial" w:cs="Arial" w:eastAsia="Arial" w:hAnsi="Arial"/>
                <w:sz w:val="12"/>
                <w:szCs w:val="12"/>
                <w:color w:val="auto"/>
              </w:rPr>
              <w:t>93,797</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274</w:t>
            </w:r>
          </w:p>
        </w:tc>
        <w:tc>
          <w:tcPr>
            <w:tcW w:w="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274</w:t>
            </w:r>
          </w:p>
        </w:tc>
        <w:tc>
          <w:tcPr>
            <w:tcW w:w="0" w:type="dxa"/>
            <w:vAlign w:val="bottom"/>
          </w:tcPr>
          <w:p>
            <w:pPr>
              <w:spacing w:after="0"/>
              <w:rPr>
                <w:sz w:val="1"/>
                <w:szCs w:val="1"/>
                <w:color w:val="auto"/>
              </w:rPr>
            </w:pPr>
          </w:p>
        </w:tc>
      </w:tr>
      <w:tr>
        <w:trPr>
          <w:trHeight w:val="147"/>
        </w:trPr>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1,642</w:t>
            </w:r>
          </w:p>
        </w:tc>
        <w:tc>
          <w:tcPr>
            <w:tcW w:w="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1,642</w:t>
            </w:r>
          </w:p>
        </w:tc>
        <w:tc>
          <w:tcPr>
            <w:tcW w:w="0" w:type="dxa"/>
            <w:vAlign w:val="bottom"/>
          </w:tcPr>
          <w:p>
            <w:pPr>
              <w:spacing w:after="0"/>
              <w:rPr>
                <w:sz w:val="1"/>
                <w:szCs w:val="1"/>
                <w:color w:val="auto"/>
              </w:rPr>
            </w:pPr>
          </w:p>
        </w:tc>
      </w:tr>
      <w:tr>
        <w:trPr>
          <w:trHeight w:val="134"/>
        </w:trPr>
        <w:tc>
          <w:tcPr>
            <w:tcW w:w="8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(6,112)</w:t>
            </w:r>
          </w:p>
        </w:tc>
        <w:tc>
          <w:tcPr>
            <w:tcW w:w="400" w:type="dxa"/>
            <w:vAlign w:val="bottom"/>
          </w:tcPr>
          <w:p>
            <w:pPr>
              <w:spacing w:after="0"/>
              <w:rPr>
                <w:sz w:val="11"/>
                <w:szCs w:val="11"/>
                <w:color w:val="auto"/>
              </w:rPr>
            </w:pPr>
          </w:p>
        </w:tc>
        <w:tc>
          <w:tcPr>
            <w:tcW w:w="2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(30)</w:t>
            </w:r>
          </w:p>
        </w:tc>
        <w:tc>
          <w:tcPr>
            <w:tcW w:w="60" w:type="dxa"/>
            <w:vAlign w:val="bottom"/>
          </w:tcPr>
          <w:p>
            <w:pPr>
              <w:spacing w:after="0"/>
              <w:rPr>
                <w:sz w:val="11"/>
                <w:szCs w:val="11"/>
                <w:color w:val="auto"/>
              </w:rPr>
            </w:pPr>
          </w:p>
        </w:tc>
        <w:tc>
          <w:tcPr>
            <w:tcW w:w="124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6"/>
        </w:trPr>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(34,099)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(34,099)</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20" w:type="dxa"/>
            <w:vAlign w:val="bottom"/>
          </w:tcPr>
          <w:p>
            <w:pPr>
              <w:jc w:val="right"/>
              <w:spacing w:after="0"/>
              <w:rPr>
                <w:sz w:val="20"/>
                <w:szCs w:val="20"/>
                <w:color w:val="auto"/>
              </w:rPr>
            </w:pPr>
            <w:r>
              <w:rPr>
                <w:rFonts w:ascii="Arial" w:cs="Arial" w:eastAsia="Arial" w:hAnsi="Arial"/>
                <w:sz w:val="12"/>
                <w:szCs w:val="12"/>
                <w:color w:val="auto"/>
              </w:rPr>
              <w:t>1,426,641</w:t>
            </w:r>
          </w:p>
        </w:tc>
        <w:tc>
          <w:tcPr>
            <w:tcW w:w="200" w:type="dxa"/>
            <w:vAlign w:val="bottom"/>
          </w:tcPr>
          <w:p>
            <w:pPr>
              <w:spacing w:after="0"/>
              <w:rPr>
                <w:sz w:val="23"/>
                <w:szCs w:val="23"/>
                <w:color w:val="auto"/>
              </w:rPr>
            </w:pPr>
          </w:p>
        </w:tc>
        <w:tc>
          <w:tcPr>
            <w:tcW w:w="400" w:type="dxa"/>
            <w:vAlign w:val="bottom"/>
          </w:tcPr>
          <w:p>
            <w:pPr>
              <w:jc w:val="right"/>
              <w:ind w:right="285"/>
              <w:spacing w:after="0"/>
              <w:rPr>
                <w:sz w:val="20"/>
                <w:szCs w:val="20"/>
                <w:color w:val="auto"/>
              </w:rPr>
            </w:pPr>
            <w:r>
              <w:rPr>
                <w:rFonts w:ascii="Arial" w:cs="Arial" w:eastAsia="Arial" w:hAnsi="Arial"/>
                <w:sz w:val="10"/>
                <w:szCs w:val="10"/>
                <w:color w:val="auto"/>
                <w:w w:val="71"/>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5,525</w:t>
            </w:r>
          </w:p>
        </w:tc>
        <w:tc>
          <w:tcPr>
            <w:tcW w:w="2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(117,488)</w:t>
            </w:r>
          </w:p>
        </w:tc>
        <w:tc>
          <w:tcPr>
            <w:tcW w:w="26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(111,963)</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-2207260</wp:posOffset>
            </wp:positionV>
            <wp:extent cx="7133590" cy="23609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3590" cy="2360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360"/>
            <w:col w:w="6080"/>
          </w:cols>
          <w:pgMar w:left="320" w:top="454" w:right="379" w:bottom="1440" w:gutter="0" w:footer="0" w:header="0"/>
          <w:type w:val="continuous"/>
        </w:sectPr>
      </w:pP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00"/>
          </w:cols>
          <w:pgMar w:left="320" w:top="454" w:right="379" w:bottom="1440" w:gutter="0" w:footer="0" w:header="0"/>
          <w:type w:val="continuous"/>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2018 and 2019</w:t>
      </w:r>
    </w:p>
    <w:p>
      <w:pPr>
        <w:jc w:val="center"/>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6"/>
        </w:trPr>
        <w:tc>
          <w:tcPr>
            <w:tcW w:w="9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9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4"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4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Cash flows used in operating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420" w:type="dxa"/>
            <w:vAlign w:val="bottom"/>
          </w:tcPr>
          <w:p>
            <w:pPr>
              <w:ind w:left="260"/>
              <w:spacing w:after="0" w:line="187"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w w:val="97"/>
              </w:rPr>
              <w:t>(15,711)</w:t>
            </w:r>
          </w:p>
        </w:tc>
        <w:tc>
          <w:tcPr>
            <w:tcW w:w="2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w w:val="97"/>
              </w:rPr>
              <w:t>(34,099)</w:t>
            </w: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Adjustments to reconcile net loss to cash (used in) provided by operating activities: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20" w:type="dxa"/>
            <w:vAlign w:val="bottom"/>
          </w:tcPr>
          <w:p>
            <w:pPr>
              <w:ind w:left="500"/>
              <w:spacing w:after="0" w:line="187" w:lineRule="exact"/>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1,273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1,595</w:t>
            </w: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582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187"/>
        </w:trPr>
        <w:tc>
          <w:tcPr>
            <w:tcW w:w="9420" w:type="dxa"/>
            <w:vAlign w:val="bottom"/>
          </w:tcPr>
          <w:p>
            <w:pPr>
              <w:ind w:left="500"/>
              <w:spacing w:after="0" w:line="187" w:lineRule="exact"/>
              <w:rPr>
                <w:sz w:val="20"/>
                <w:szCs w:val="20"/>
                <w:color w:val="auto"/>
              </w:rPr>
            </w:pPr>
            <w:r>
              <w:rPr>
                <w:rFonts w:ascii="Arial" w:cs="Arial" w:eastAsia="Arial" w:hAnsi="Arial"/>
                <w:sz w:val="17"/>
                <w:szCs w:val="17"/>
                <w:color w:val="auto"/>
              </w:rPr>
              <w:t>Gain on disposal of fixed assets</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Accretion of discount on investments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187"/>
        </w:trPr>
        <w:tc>
          <w:tcPr>
            <w:tcW w:w="9420" w:type="dxa"/>
            <w:vAlign w:val="bottom"/>
          </w:tcPr>
          <w:p>
            <w:pPr>
              <w:ind w:left="500"/>
              <w:spacing w:after="0" w:line="187" w:lineRule="exact"/>
              <w:rPr>
                <w:sz w:val="20"/>
                <w:szCs w:val="20"/>
                <w:color w:val="auto"/>
              </w:rPr>
            </w:pPr>
            <w:r>
              <w:rPr>
                <w:rFonts w:ascii="Arial" w:cs="Arial" w:eastAsia="Arial" w:hAnsi="Arial"/>
                <w:sz w:val="17"/>
                <w:szCs w:val="17"/>
                <w:color w:val="auto"/>
              </w:rPr>
              <w:t>Non-cash lease expense</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2,300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1,144</w:t>
            </w: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Non-cash interest income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9420" w:type="dxa"/>
            <w:vAlign w:val="bottom"/>
          </w:tcPr>
          <w:p>
            <w:pPr>
              <w:ind w:left="500"/>
              <w:spacing w:after="0" w:line="187"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Accounts receivable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w w:val="97"/>
              </w:rPr>
              <w:t>(84,944)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81,815</w:t>
            </w:r>
          </w:p>
        </w:tc>
        <w:tc>
          <w:tcPr>
            <w:tcW w:w="0" w:type="dxa"/>
            <w:vAlign w:val="bottom"/>
          </w:tcPr>
          <w:p>
            <w:pPr>
              <w:spacing w:after="0"/>
              <w:rPr>
                <w:sz w:val="1"/>
                <w:szCs w:val="1"/>
                <w:color w:val="auto"/>
              </w:rPr>
            </w:pPr>
          </w:p>
        </w:tc>
      </w:tr>
      <w:tr>
        <w:trPr>
          <w:trHeight w:val="187"/>
        </w:trPr>
        <w:tc>
          <w:tcPr>
            <w:tcW w:w="9420" w:type="dxa"/>
            <w:vAlign w:val="bottom"/>
          </w:tcPr>
          <w:p>
            <w:pPr>
              <w:ind w:left="760"/>
              <w:spacing w:after="0" w:line="187"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138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578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4,231</w:t>
            </w:r>
          </w:p>
        </w:tc>
        <w:tc>
          <w:tcPr>
            <w:tcW w:w="0" w:type="dxa"/>
            <w:vAlign w:val="bottom"/>
          </w:tcPr>
          <w:p>
            <w:pPr>
              <w:spacing w:after="0"/>
              <w:rPr>
                <w:sz w:val="1"/>
                <w:szCs w:val="1"/>
                <w:color w:val="auto"/>
              </w:rPr>
            </w:pPr>
          </w:p>
        </w:tc>
      </w:tr>
      <w:tr>
        <w:trPr>
          <w:trHeight w:val="187"/>
        </w:trPr>
        <w:tc>
          <w:tcPr>
            <w:tcW w:w="9420" w:type="dxa"/>
            <w:vAlign w:val="bottom"/>
          </w:tcPr>
          <w:p>
            <w:pPr>
              <w:ind w:left="760"/>
              <w:spacing w:after="0" w:line="187" w:lineRule="exact"/>
              <w:rPr>
                <w:sz w:val="20"/>
                <w:szCs w:val="20"/>
                <w:color w:val="auto"/>
              </w:rPr>
            </w:pPr>
            <w:r>
              <w:rPr>
                <w:rFonts w:ascii="Arial" w:cs="Arial" w:eastAsia="Arial" w:hAnsi="Arial"/>
                <w:sz w:val="17"/>
                <w:szCs w:val="17"/>
                <w:color w:val="auto"/>
              </w:rPr>
              <w:t>Accrued expenses and other liabilities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(278)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3,719</w:t>
            </w: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Operating lease liability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(2,082)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187"/>
        </w:trPr>
        <w:tc>
          <w:tcPr>
            <w:tcW w:w="9420" w:type="dxa"/>
            <w:vAlign w:val="bottom"/>
          </w:tcPr>
          <w:p>
            <w:pPr>
              <w:ind w:left="760"/>
              <w:spacing w:after="0" w:line="187" w:lineRule="exact"/>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81,029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(3,235)</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420" w:type="dxa"/>
            <w:vAlign w:val="bottom"/>
            <w:shd w:val="clear" w:color="auto" w:fill="CCEEFF"/>
          </w:tcPr>
          <w:p>
            <w:pPr>
              <w:ind w:left="1000"/>
              <w:spacing w:after="0" w:line="187" w:lineRule="exact"/>
              <w:rPr>
                <w:sz w:val="20"/>
                <w:szCs w:val="20"/>
                <w:color w:val="auto"/>
              </w:rPr>
            </w:pPr>
            <w:r>
              <w:rPr>
                <w:rFonts w:ascii="Arial" w:cs="Arial" w:eastAsia="Arial" w:hAnsi="Arial"/>
                <w:sz w:val="17"/>
                <w:szCs w:val="17"/>
                <w:color w:val="auto"/>
              </w:rPr>
              <w:t>Net cash (used in) provided by operating activities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w w:val="97"/>
              </w:rPr>
              <w:t>(16,981)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55,614</w:t>
            </w:r>
          </w:p>
        </w:tc>
        <w:tc>
          <w:tcPr>
            <w:tcW w:w="0" w:type="dxa"/>
            <w:vAlign w:val="bottom"/>
          </w:tcPr>
          <w:p>
            <w:pPr>
              <w:spacing w:after="0"/>
              <w:rPr>
                <w:sz w:val="1"/>
                <w:szCs w:val="1"/>
                <w:color w:val="auto"/>
              </w:rPr>
            </w:pPr>
          </w:p>
        </w:tc>
      </w:tr>
      <w:tr>
        <w:trPr>
          <w:trHeight w:val="194"/>
        </w:trPr>
        <w:tc>
          <w:tcPr>
            <w:tcW w:w="9420" w:type="dxa"/>
            <w:vAlign w:val="bottom"/>
          </w:tcPr>
          <w:p>
            <w:pPr>
              <w:spacing w:after="0" w:line="194" w:lineRule="exact"/>
              <w:rPr>
                <w:sz w:val="20"/>
                <w:szCs w:val="20"/>
                <w:color w:val="auto"/>
              </w:rPr>
            </w:pPr>
            <w:r>
              <w:rPr>
                <w:rFonts w:ascii="Arial" w:cs="Arial" w:eastAsia="Arial" w:hAnsi="Arial"/>
                <w:sz w:val="17"/>
                <w:szCs w:val="17"/>
                <w:color w:val="auto"/>
              </w:rPr>
              <w:t>Cash flows from investing activities:</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Purchases of property and equipment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(2,689)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(1,349)</w:t>
            </w:r>
          </w:p>
        </w:tc>
        <w:tc>
          <w:tcPr>
            <w:tcW w:w="0" w:type="dxa"/>
            <w:vAlign w:val="bottom"/>
          </w:tcPr>
          <w:p>
            <w:pPr>
              <w:spacing w:after="0"/>
              <w:rPr>
                <w:sz w:val="1"/>
                <w:szCs w:val="1"/>
                <w:color w:val="auto"/>
              </w:rPr>
            </w:pPr>
          </w:p>
        </w:tc>
      </w:tr>
      <w:tr>
        <w:trPr>
          <w:trHeight w:val="187"/>
        </w:trPr>
        <w:tc>
          <w:tcPr>
            <w:tcW w:w="9420" w:type="dxa"/>
            <w:vAlign w:val="bottom"/>
          </w:tcPr>
          <w:p>
            <w:pPr>
              <w:ind w:left="260"/>
              <w:spacing w:after="0" w:line="187" w:lineRule="exact"/>
              <w:rPr>
                <w:sz w:val="20"/>
                <w:szCs w:val="20"/>
                <w:color w:val="auto"/>
              </w:rPr>
            </w:pPr>
            <w:r>
              <w:rPr>
                <w:rFonts w:ascii="Arial" w:cs="Arial" w:eastAsia="Arial" w:hAnsi="Arial"/>
                <w:sz w:val="17"/>
                <w:szCs w:val="17"/>
                <w:color w:val="auto"/>
              </w:rPr>
              <w:t>Proceeds from sale of property and equipment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Purchase of short-term investments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(4,990)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78,666</w:t>
            </w:r>
          </w:p>
        </w:tc>
        <w:tc>
          <w:tcPr>
            <w:tcW w:w="0" w:type="dxa"/>
            <w:vAlign w:val="bottom"/>
          </w:tcPr>
          <w:p>
            <w:pPr>
              <w:spacing w:after="0"/>
              <w:rPr>
                <w:sz w:val="1"/>
                <w:szCs w:val="1"/>
                <w:color w:val="auto"/>
              </w:rPr>
            </w:pPr>
          </w:p>
        </w:tc>
      </w:tr>
      <w:tr>
        <w:trPr>
          <w:trHeight w:val="187"/>
        </w:trPr>
        <w:tc>
          <w:tcPr>
            <w:tcW w:w="9420" w:type="dxa"/>
            <w:vAlign w:val="bottom"/>
          </w:tcPr>
          <w:p>
            <w:pPr>
              <w:ind w:left="260"/>
              <w:spacing w:after="0" w:line="187" w:lineRule="exact"/>
              <w:rPr>
                <w:sz w:val="20"/>
                <w:szCs w:val="20"/>
                <w:color w:val="auto"/>
              </w:rPr>
            </w:pPr>
            <w:r>
              <w:rPr>
                <w:rFonts w:ascii="Arial" w:cs="Arial" w:eastAsia="Arial" w:hAnsi="Arial"/>
                <w:sz w:val="17"/>
                <w:szCs w:val="17"/>
                <w:color w:val="auto"/>
              </w:rPr>
              <w:t>Proceeds received from maturities of short-term investments</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44,600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w w:val="97"/>
              </w:rPr>
              <w:t>(79,000)</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420" w:type="dxa"/>
            <w:vAlign w:val="bottom"/>
            <w:shd w:val="clear" w:color="auto" w:fill="CCEEFF"/>
          </w:tcPr>
          <w:p>
            <w:pPr>
              <w:ind w:left="1000"/>
              <w:spacing w:after="0" w:line="187" w:lineRule="exact"/>
              <w:rPr>
                <w:sz w:val="20"/>
                <w:szCs w:val="20"/>
                <w:color w:val="auto"/>
              </w:rPr>
            </w:pPr>
            <w:r>
              <w:rPr>
                <w:rFonts w:ascii="Arial" w:cs="Arial" w:eastAsia="Arial" w:hAnsi="Arial"/>
                <w:sz w:val="17"/>
                <w:szCs w:val="17"/>
                <w:color w:val="auto"/>
              </w:rPr>
              <w:t>Net cash provided by (used in) investing activities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36,921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(1,620)</w:t>
            </w:r>
          </w:p>
        </w:tc>
        <w:tc>
          <w:tcPr>
            <w:tcW w:w="0" w:type="dxa"/>
            <w:vAlign w:val="bottom"/>
          </w:tcPr>
          <w:p>
            <w:pPr>
              <w:spacing w:after="0"/>
              <w:rPr>
                <w:sz w:val="1"/>
                <w:szCs w:val="1"/>
                <w:color w:val="auto"/>
              </w:rPr>
            </w:pPr>
          </w:p>
        </w:tc>
      </w:tr>
      <w:tr>
        <w:trPr>
          <w:trHeight w:val="194"/>
        </w:trPr>
        <w:tc>
          <w:tcPr>
            <w:tcW w:w="9420" w:type="dxa"/>
            <w:vAlign w:val="bottom"/>
          </w:tcPr>
          <w:p>
            <w:pPr>
              <w:spacing w:after="0" w:line="194" w:lineRule="exact"/>
              <w:rPr>
                <w:sz w:val="20"/>
                <w:szCs w:val="20"/>
                <w:color w:val="auto"/>
              </w:rPr>
            </w:pPr>
            <w:r>
              <w:rPr>
                <w:rFonts w:ascii="Arial" w:cs="Arial" w:eastAsia="Arial" w:hAnsi="Arial"/>
                <w:sz w:val="17"/>
                <w:szCs w:val="17"/>
                <w:color w:val="auto"/>
              </w:rPr>
              <w:t>Cash flows from financing activities:</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Proceeds from the issuance of Series A shares, net of issuance costs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1,977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9420" w:type="dxa"/>
            <w:vAlign w:val="bottom"/>
          </w:tcPr>
          <w:p>
            <w:pPr>
              <w:ind w:left="260"/>
              <w:spacing w:after="0" w:line="187" w:lineRule="exact"/>
              <w:rPr>
                <w:sz w:val="20"/>
                <w:szCs w:val="20"/>
                <w:color w:val="auto"/>
              </w:rPr>
            </w:pPr>
            <w:r>
              <w:rPr>
                <w:rFonts w:ascii="Arial" w:cs="Arial" w:eastAsia="Arial" w:hAnsi="Arial"/>
                <w:sz w:val="17"/>
                <w:szCs w:val="17"/>
                <w:color w:val="auto"/>
              </w:rPr>
              <w:t>Proceeds from the issuance of common stock, net of costs</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Repurchase of vested stock options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1"/>
        </w:trPr>
        <w:tc>
          <w:tcPr>
            <w:tcW w:w="9420" w:type="dxa"/>
            <w:vAlign w:val="bottom"/>
          </w:tcPr>
          <w:p>
            <w:pPr>
              <w:ind w:left="1000"/>
              <w:spacing w:after="0" w:line="194" w:lineRule="exact"/>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1000"/>
              <w:spacing w:after="0" w:line="187" w:lineRule="exact"/>
              <w:rPr>
                <w:sz w:val="20"/>
                <w:szCs w:val="20"/>
                <w:color w:val="auto"/>
              </w:rPr>
            </w:pPr>
            <w:r>
              <w:rPr>
                <w:rFonts w:ascii="Arial" w:cs="Arial" w:eastAsia="Arial" w:hAnsi="Arial"/>
                <w:sz w:val="17"/>
                <w:szCs w:val="17"/>
                <w:color w:val="auto"/>
              </w:rPr>
              <w:t>Net increase in cash, cash equivalents and restricted cash</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21,901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54,238</w:t>
            </w:r>
          </w:p>
        </w:tc>
        <w:tc>
          <w:tcPr>
            <w:tcW w:w="0" w:type="dxa"/>
            <w:vAlign w:val="bottom"/>
          </w:tcPr>
          <w:p>
            <w:pPr>
              <w:spacing w:after="0"/>
              <w:rPr>
                <w:sz w:val="1"/>
                <w:szCs w:val="1"/>
                <w:color w:val="auto"/>
              </w:rPr>
            </w:pPr>
          </w:p>
        </w:tc>
      </w:tr>
      <w:tr>
        <w:trPr>
          <w:trHeight w:val="187"/>
        </w:trPr>
        <w:tc>
          <w:tcPr>
            <w:tcW w:w="9420" w:type="dxa"/>
            <w:vAlign w:val="bottom"/>
          </w:tcPr>
          <w:p>
            <w:pPr>
              <w:spacing w:after="0" w:line="187" w:lineRule="exact"/>
              <w:rPr>
                <w:sz w:val="20"/>
                <w:szCs w:val="20"/>
                <w:color w:val="auto"/>
              </w:rPr>
            </w:pPr>
            <w:r>
              <w:rPr>
                <w:rFonts w:ascii="Arial" w:cs="Arial" w:eastAsia="Arial" w:hAnsi="Arial"/>
                <w:sz w:val="17"/>
                <w:szCs w:val="17"/>
                <w:color w:val="auto"/>
              </w:rPr>
              <w:t>Cash, cash equivalents and restricted cash at beginning of year</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16,987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38,888</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4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Cash, cash equivalents and restricted cash at end of year</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38,888</w:t>
            </w:r>
          </w:p>
        </w:tc>
        <w:tc>
          <w:tcPr>
            <w:tcW w:w="2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93,126</w:t>
            </w: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7"/>
                <w:szCs w:val="17"/>
                <w:color w:val="auto"/>
              </w:rPr>
              <w:t>Reconciliation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Cash, cash equivalents and restricted cash at end of year</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38,888</w:t>
            </w:r>
          </w:p>
        </w:tc>
        <w:tc>
          <w:tcPr>
            <w:tcW w:w="2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93,126</w:t>
            </w:r>
          </w:p>
        </w:tc>
        <w:tc>
          <w:tcPr>
            <w:tcW w:w="0" w:type="dxa"/>
            <w:vAlign w:val="bottom"/>
          </w:tcPr>
          <w:p>
            <w:pPr>
              <w:spacing w:after="0"/>
              <w:rPr>
                <w:sz w:val="1"/>
                <w:szCs w:val="1"/>
                <w:color w:val="auto"/>
              </w:rPr>
            </w:pPr>
          </w:p>
        </w:tc>
      </w:tr>
      <w:tr>
        <w:trPr>
          <w:trHeight w:val="187"/>
        </w:trPr>
        <w:tc>
          <w:tcPr>
            <w:tcW w:w="9420" w:type="dxa"/>
            <w:vAlign w:val="bottom"/>
          </w:tcPr>
          <w:p>
            <w:pPr>
              <w:ind w:left="260"/>
              <w:spacing w:after="0" w:line="187" w:lineRule="exact"/>
              <w:rPr>
                <w:sz w:val="20"/>
                <w:szCs w:val="20"/>
                <w:color w:val="auto"/>
              </w:rPr>
            </w:pPr>
            <w:r>
              <w:rPr>
                <w:rFonts w:ascii="Arial" w:cs="Arial" w:eastAsia="Arial" w:hAnsi="Arial"/>
                <w:sz w:val="17"/>
                <w:szCs w:val="17"/>
                <w:color w:val="auto"/>
              </w:rPr>
              <w:t>Less restricted cash</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(2,577)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4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Cash and cash equivalents at end of the year</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36,311</w:t>
            </w:r>
          </w:p>
        </w:tc>
        <w:tc>
          <w:tcPr>
            <w:tcW w:w="2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90,549</w:t>
            </w: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7"/>
                <w:szCs w:val="17"/>
                <w:color w:val="auto"/>
              </w:rPr>
              <w:t>Supplemental disclosures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Capital expenditures in accounts payable</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23</w:t>
            </w:r>
          </w:p>
        </w:tc>
        <w:tc>
          <w:tcPr>
            <w:tcW w:w="2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1"/>
        </w:trPr>
        <w:tc>
          <w:tcPr>
            <w:tcW w:w="9420" w:type="dxa"/>
            <w:vAlign w:val="bottom"/>
          </w:tcPr>
          <w:p>
            <w:pPr>
              <w:ind w:left="260"/>
              <w:spacing w:after="0" w:line="194" w:lineRule="exact"/>
              <w:rPr>
                <w:sz w:val="20"/>
                <w:szCs w:val="20"/>
                <w:color w:val="auto"/>
              </w:rPr>
            </w:pPr>
            <w:r>
              <w:rPr>
                <w:rFonts w:ascii="Arial" w:cs="Arial" w:eastAsia="Arial" w:hAnsi="Arial"/>
                <w:sz w:val="17"/>
                <w:szCs w:val="17"/>
                <w:color w:val="auto"/>
              </w:rPr>
              <w:t>Amount due for stock option exercises</w:t>
            </w: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4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Stock option repurchases included in accrued expenses</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25</w:t>
            </w:r>
          </w:p>
        </w:tc>
        <w:tc>
          <w:tcPr>
            <w:tcW w:w="2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240"/>
          </w:cols>
          <w:pgMar w:left="320" w:top="454" w:right="3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December 31, 2018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71"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C4 Therapeutics, Inc., or Company, was incorporated in Delaware on October 7, 2015. Its principal offices are in Watertown, Massachusetts. The Company is a biopharmaceutical company focused on harnessing the body’s natural regulation of protein levels to develop novel therapeutic candidates to target and destroy disease-causing proteins for the treatment of cancer, neurodegenerative conditions and other diseases.</w:t>
      </w:r>
    </w:p>
    <w:p>
      <w:pPr>
        <w:spacing w:after="0" w:line="9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the Food and Drug Administration (“FDA”) and other government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40"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incurred recurring losses since its inception, including net losses of $15.7 million and $34.1 million for the years ended</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December 31, 2018 and 2019, respectively. In addition, as of December 31, 2019, the Company had an accumulated deficit of $117.5 million. To date, the Company has not generated any revenue from product sales as none of its product candidates have been approved for commercialization. The Company expects to continue to generate operating losses for the foreseeable future.</w:t>
      </w:r>
    </w:p>
    <w:p>
      <w:pPr>
        <w:spacing w:after="0" w:line="11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Company’s primary activities since inception have been focused around research and development activities, building the Company’s intellectual property, recruiting personnel and raising capital to support these activities. Through December 31, 2019, the Company has funded its operations primarily with proceeds received from the sale of redeemable convertible preferred stock (collectively, the “Preferred Stock”) and through its collaboration agreements. The Company also closed a series B redeemable convertible preferred stock financing and credit arrangement in June and July 2020 for net proceeds of $145.5 million (see Note 13). The Company believes that its cash and cash equivalents of $90.5 million as of December 31, 2019, along with the proceeds from the Series B redeemable convertible preferred stock financing and credit agreement, are sufficient to fund planned operations for at least twelve months from the date these consolidated financial statements are available to be issued.</w:t>
      </w:r>
    </w:p>
    <w:p>
      <w:pPr>
        <w:spacing w:after="0" w:line="120"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Accordingly, the consolidated financial statements have been prepared on a basis that assumes the Company will continue as a going concern and contemplates the realization of assets and satisfaction of liabilities and commitments in the ordinary course of business.</w:t>
      </w:r>
    </w:p>
    <w:p>
      <w:pPr>
        <w:spacing w:after="0" w:line="150" w:lineRule="exact"/>
        <w:rPr>
          <w:sz w:val="20"/>
          <w:szCs w:val="20"/>
          <w:color w:val="auto"/>
        </w:rPr>
      </w:pPr>
    </w:p>
    <w:p>
      <w:pPr>
        <w:ind w:right="7200" w:firstLine="7"/>
        <w:spacing w:after="0" w:line="290" w:lineRule="auto"/>
        <w:tabs>
          <w:tab w:leader="none" w:pos="267"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Company has prepared the accompanying consolidated financial statements in conformity with generally accepted accounting principles in the United States of America (“U.S. GAAP”).</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4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Company’s consolidated financial statements include the accounts of the Company and its wholly owned subsidiary C4T Securities Corporation, a Massachusetts securities corporation. All significant intercompany balances and transactions have been eliminated in consolidation.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4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220"/>
          </w:cols>
          <w:pgMar w:left="320" w:top="454" w:right="3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3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consolidated financial statements if these results differ from historical experience or other assumptions do not turn out to be substantially accurate, even if such assumptions are reasonable when made. Significant estimates and assumptions reflected in these consolidated financial statements include, but are not limited to, amounts and timing of revenues recognized under the Company’s research and development collaboration arrangements and accrued research and development expense. The Company assesses estimates on an ongoing basis; however, actual results could materially differ from those estimates.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chief operating decision maker, its Chief Executive Officer, manages the Company’s operations on a consolidated basis for the purpose of allocating resources. All of the Company’s long-lived assets are held in the United States.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3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deficit as a reduction of proceeds generated as a result of the offering. Should a planned equity financing be abandoned, the deferred offering costs would be expensed immediately as a charge to operating expenses in the consolidated statement of operations. No deferred offering costs were capitalized as of December 31, 2018 or 2019.</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39"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In the accompanying consolidated statements of operations and comprehensive loss, the unaudited proforma basic and diluted net loss per share attributable to common stockholders for the year ended December 31, 2019 has been prepared to give effect to the automatic conversion of all outstanding shares of redeemable convertible preferred stock upon the closing of the proposed initial public offering into 13,416,155 shares of common stock as if the conversion had occurred on the later of January 1, 2019 or the issuance of the redeemable convertible preferred stock.</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39"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Company’s cash equivalents are measured at fair value on a recurring basis. Cash and cash equivalents included $29.0 million and $80.9 million of funds held in money market accounts as of December 31, 2018 and 2019,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3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Accounting Standards Codification (“ASC”) Topic 820, Fair Value Measurement (ASC 820), establishes a fair value hierarchy for instruments measured at fair value that distinguishes between assumptions based on market data (observable inputs) and the Company’s own assumptions (unobservable inputs). Observable inputs are those that market participants would use in pricing the asset or liability based on market data obtained from sources independent of the</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60"/>
          </w:cols>
          <w:pgMar w:left="320" w:top="454" w:right="41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Level 1—Quoted market prices in active markets for identical assets or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Level 2—Inputs other than Level 1 inputs that are either directly or indirectly observable, such as quoted market prices, interest rates and yield curves.</w:t>
      </w:r>
    </w:p>
    <w:p>
      <w:pPr>
        <w:spacing w:after="0" w:line="164"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Level 3—Unobservable inputs developed using estimates of assumptions developed by the Company, which reflect those that a market participant would use.</w:t>
      </w:r>
    </w:p>
    <w:p>
      <w:pPr>
        <w:spacing w:after="0" w:line="94"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 The Company had no Level 3 investments as of December 31, 2018 and 2019.</w:t>
      </w:r>
    </w:p>
    <w:p>
      <w:pPr>
        <w:spacing w:after="0" w:line="118"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Cash, cash equivalents and restricted cash are Level 1 assets which are comprised of funds held in checking and money market accounts. Cash, cash equivalents and restricted cash were recorded at fair value as of December 31, 2018 and 2019, totaling $38.9 million and $93.1 million, respectively. The carrying amounts of accounts payable and accrued expenses approximate their fair values due to their short-term maturities. Accounts receivable, which relate to the Company’s collaboration agreements, are stated at the amounts due which approximates fair value due to their short-term due dates.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39"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Restricted cash consists of cash placed in separate restricted bank accounts as required under the terms of the Company’s lease agreements for its Watertown, Massachusetts facility (see Note 5 “</w:t>
      </w:r>
      <w:r>
        <w:rPr>
          <w:rFonts w:ascii="Arial" w:cs="Arial" w:eastAsia="Arial" w:hAnsi="Arial"/>
          <w:sz w:val="17"/>
          <w:szCs w:val="17"/>
          <w:i w:val="1"/>
          <w:iCs w:val="1"/>
          <w:color w:val="auto"/>
        </w:rPr>
        <w:t>Leases</w:t>
      </w:r>
      <w:r>
        <w:rPr>
          <w:rFonts w:ascii="Arial" w:cs="Arial" w:eastAsia="Arial" w:hAnsi="Arial"/>
          <w:sz w:val="17"/>
          <w:szCs w:val="17"/>
          <w:color w:val="auto"/>
        </w:rPr>
        <w:t>”). As of December 31, 2018 and 2019, the Company had approximately $2.6 million in restricted cash.</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3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Financial instruments that potentially subject us to significant concentration of credit risk consist primarily of cash and cash equivalents.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3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 xml:space="preserve">The Company recognizes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This standard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40"/>
          </w:cols>
          <w:pgMar w:left="320" w:top="454" w:right="3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Company enters into collaboration and licensing agreements with strategic partners, which are within the scope of ASC 606, under which it may exclusively license rights to research, develop, manufacture and commercialize its product candidates to third parties. The terms of these arrangements typically include payment to the Company of one or more of the following: (1) non-refundable, upfront license fees; (2) reimbursement of certain costs; (3) customer option fees for additional goods or services; (4) development milestone payments, (5) regulatory and commercial milestone payments; and (6) royalties on net sales of licensed products.</w:t>
      </w:r>
    </w:p>
    <w:p>
      <w:pPr>
        <w:spacing w:after="0" w:line="11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its judgment to determine: (a) the number of performance obligations based on the determination under step (ii) above; (b) the transaction price under step (iii) above;</w:t>
      </w:r>
    </w:p>
    <w:p>
      <w:pPr>
        <w:ind w:left="260" w:hanging="253"/>
        <w:spacing w:after="0" w:line="229" w:lineRule="auto"/>
        <w:tabs>
          <w:tab w:leader="none" w:pos="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stand-alone selling price for each performance obligation identified in the contract for the allocation of transaction price in step (iv) above; and</w:t>
      </w:r>
    </w:p>
    <w:p>
      <w:pPr>
        <w:ind w:right="100" w:firstLine="7"/>
        <w:spacing w:after="0" w:line="236" w:lineRule="auto"/>
        <w:tabs>
          <w:tab w:leader="none" w:pos="25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19"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Upfront License Fees</w:t>
      </w:r>
    </w:p>
    <w:p>
      <w:pPr>
        <w:spacing w:after="0" w:line="3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If the license to the 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manufacturing and commercialization capabilities of the customer; the retention of any key rights by the Company;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exercises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Customer Options</w:t>
      </w:r>
    </w:p>
    <w:p>
      <w:pPr>
        <w:spacing w:after="0" w:line="3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an option is not exercised and the target is terminated, the Company will accelerate and recognize all remaining revenue related to the material right performance obligation.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40"/>
          </w:cols>
          <w:pgMar w:left="320" w:top="454" w:right="3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Research and Development Services</w:t>
      </w:r>
    </w:p>
    <w:p>
      <w:pPr>
        <w:spacing w:after="0" w:line="4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promises under the Company’s collaboration agreements may include research and development services to be performed by the Company for or on behalf of the customer. Payments or reimbursements resulting from the Company’s research and development efforts are recognized as the services are performed and presented on a gross basis because the Company is the principal for such efforts. Reimbursements from and payments to the customer that are the result of a collaborative relationship with the customer, instead of a customer relationship, such as co-development activities, are recorded as a reduction to research and development expense.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Milestone Payments</w:t>
      </w:r>
    </w:p>
    <w:p>
      <w:pPr>
        <w:spacing w:after="0" w:line="4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20" w:lineRule="exact"/>
        <w:rPr>
          <w:sz w:val="20"/>
          <w:szCs w:val="20"/>
          <w:color w:val="auto"/>
        </w:rPr>
      </w:pPr>
    </w:p>
    <w:p>
      <w:pPr>
        <w:ind w:right="2480"/>
        <w:spacing w:after="0" w:line="301" w:lineRule="auto"/>
        <w:rPr>
          <w:sz w:val="20"/>
          <w:szCs w:val="20"/>
          <w:color w:val="auto"/>
        </w:rPr>
      </w:pPr>
      <w:r>
        <w:rPr>
          <w:rFonts w:ascii="Arial" w:cs="Arial" w:eastAsia="Arial" w:hAnsi="Arial"/>
          <w:sz w:val="17"/>
          <w:szCs w:val="17"/>
          <w:color w:val="auto"/>
        </w:rPr>
        <w:t>For further discussion of accounting for collaboration revenues, see Note 7, “</w:t>
      </w:r>
      <w:r>
        <w:rPr>
          <w:rFonts w:ascii="Arial" w:cs="Arial" w:eastAsia="Arial" w:hAnsi="Arial"/>
          <w:sz w:val="17"/>
          <w:szCs w:val="17"/>
          <w:i w:val="1"/>
          <w:iCs w:val="1"/>
          <w:color w:val="auto"/>
        </w:rPr>
        <w:t>Collaboration and License Agreements.”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Stock-Based Compensation</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The Company measures and recognizes stock-based compensation expense based on the grant date fair value of the awards. The Company calculates the fair value of restricted share unit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using the accelerated attribution method.</w:t>
      </w:r>
    </w:p>
    <w:p>
      <w:pPr>
        <w:spacing w:after="0" w:line="12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 The Company also has the right and option to repurchase an individual’s shares of common stock or vested stock options to acquire common stock within 18 months of an employee termination. The Company assesses the classification of an individual’s shares of common stock or vested stock options between equity and liability when the individual’s separation from the Company becomes probable.</w:t>
      </w:r>
    </w:p>
    <w:p>
      <w:pPr>
        <w:spacing w:after="0" w:line="119"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The fair value of common stock underlying share-based awards is based on an estimate at each grant date by the Company’s board of directors. The Company determines the estimated per share fair value of its common stock at various dates considering contemporaneous and retrospective valuations in accordance with the guidance outlined in the American Institute of Certified Public Accountants Practice Aid, </w:t>
      </w:r>
      <w:r>
        <w:rPr>
          <w:rFonts w:ascii="Arial" w:cs="Arial" w:eastAsia="Arial" w:hAnsi="Arial"/>
          <w:sz w:val="17"/>
          <w:szCs w:val="17"/>
          <w:i w:val="1"/>
          <w:iCs w:val="1"/>
          <w:color w:val="auto"/>
        </w:rPr>
        <w:t>Valuation of Privately-Held</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Equity Securities Issued as Compensation</w:t>
      </w:r>
      <w:r>
        <w:rPr>
          <w:rFonts w:ascii="Arial" w:cs="Arial" w:eastAsia="Arial" w:hAnsi="Arial"/>
          <w:sz w:val="17"/>
          <w:szCs w:val="17"/>
          <w:color w:val="auto"/>
        </w:rPr>
        <w:t>. The fair value of each share option grant was determined using assumptions discussed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these inputs is subjective and generally requires judgment and estimation by management.</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Company estimated the expected term using the simplified method, which is an average of the contractual term of the option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vesting period.</w:t>
      </w:r>
    </w:p>
    <w:p>
      <w:pPr>
        <w:spacing w:after="0" w:line="94"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Since there is limited historical data for the Company’s common stock and limited company-specific historical volatility,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40"/>
          </w:cols>
          <w:pgMar w:left="320" w:top="454" w:right="3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yield in effect at the time of the grant for zero-coupon U.S.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notes with remaining terms similar to the expected term of the options.</w:t>
      </w:r>
    </w:p>
    <w:p>
      <w:pPr>
        <w:spacing w:after="0" w:line="94" w:lineRule="exact"/>
        <w:rPr>
          <w:sz w:val="20"/>
          <w:szCs w:val="20"/>
          <w:color w:val="auto"/>
        </w:rPr>
      </w:pPr>
    </w:p>
    <w:p>
      <w:pPr>
        <w:ind w:right="680"/>
        <w:spacing w:after="0" w:line="309" w:lineRule="auto"/>
        <w:rPr>
          <w:sz w:val="20"/>
          <w:szCs w:val="20"/>
          <w:color w:val="auto"/>
        </w:rPr>
      </w:pPr>
      <w:r>
        <w:rPr>
          <w:rFonts w:ascii="Arial" w:cs="Arial" w:eastAsia="Arial" w:hAnsi="Arial"/>
          <w:sz w:val="17"/>
          <w:szCs w:val="17"/>
          <w:i w:val="1"/>
          <w:iCs w:val="1"/>
          <w:color w:val="auto"/>
        </w:rPr>
        <w:t>Dividend Rate</w:t>
      </w:r>
      <w:r>
        <w:rPr>
          <w:rFonts w:ascii="Arial" w:cs="Arial" w:eastAsia="Arial" w:hAnsi="Arial"/>
          <w:sz w:val="17"/>
          <w:szCs w:val="17"/>
          <w:color w:val="auto"/>
        </w:rPr>
        <w:t>. The expected dividend was assumed to be zero as the Company has never paid dividends and has no current plans to do so.</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Property and Equipment</w:t>
      </w:r>
    </w:p>
    <w:p>
      <w:pPr>
        <w:ind w:right="80"/>
        <w:spacing w:after="0" w:line="259" w:lineRule="auto"/>
        <w:rPr>
          <w:sz w:val="20"/>
          <w:szCs w:val="20"/>
          <w:color w:val="auto"/>
        </w:rPr>
      </w:pPr>
      <w:r>
        <w:rPr>
          <w:rFonts w:ascii="Arial" w:cs="Arial" w:eastAsia="Arial" w:hAnsi="Arial"/>
          <w:sz w:val="16"/>
          <w:szCs w:val="16"/>
          <w:color w:val="auto"/>
        </w:rPr>
        <w:t>Property and equipment are recorded at cost. Expenditures for repairs and maintenance are expensed as incurred. When assets are retired or disposed of, the assets and related accumulated depreciation are derecognized from the accounts, and any resulting gain or loss is included in the determination of net loss. Depreciation on equipment is calculated on the straight-line method over the estimated useful lives of the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35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Borders>
              <w:bottom w:val="single" w:sz="8" w:color="CCEEFF"/>
            </w:tcBorders>
          </w:tcPr>
          <w:p>
            <w:pPr>
              <w:spacing w:after="0"/>
              <w:rPr>
                <w:sz w:val="15"/>
                <w:szCs w:val="15"/>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181"/>
        </w:trPr>
        <w:tc>
          <w:tcPr>
            <w:tcW w:w="70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Laboratory equipment</w:t>
            </w:r>
          </w:p>
        </w:tc>
        <w:tc>
          <w:tcPr>
            <w:tcW w:w="418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rPr>
              <w:t>5 years</w:t>
            </w:r>
          </w:p>
        </w:tc>
      </w:tr>
      <w:tr>
        <w:trPr>
          <w:trHeight w:val="187"/>
        </w:trPr>
        <w:tc>
          <w:tcPr>
            <w:tcW w:w="7060" w:type="dxa"/>
            <w:vAlign w:val="bottom"/>
          </w:tcPr>
          <w:p>
            <w:pPr>
              <w:spacing w:after="0" w:line="187" w:lineRule="exact"/>
              <w:rPr>
                <w:sz w:val="20"/>
                <w:szCs w:val="20"/>
                <w:color w:val="auto"/>
              </w:rPr>
            </w:pPr>
            <w:r>
              <w:rPr>
                <w:rFonts w:ascii="Arial" w:cs="Arial" w:eastAsia="Arial" w:hAnsi="Arial"/>
                <w:sz w:val="17"/>
                <w:szCs w:val="17"/>
                <w:color w:val="auto"/>
              </w:rPr>
              <w:t>Computer equipment</w:t>
            </w:r>
          </w:p>
        </w:tc>
        <w:tc>
          <w:tcPr>
            <w:tcW w:w="4180" w:type="dxa"/>
            <w:vAlign w:val="bottom"/>
          </w:tcPr>
          <w:p>
            <w:pPr>
              <w:jc w:val="center"/>
              <w:spacing w:after="0" w:line="187" w:lineRule="exact"/>
              <w:rPr>
                <w:sz w:val="20"/>
                <w:szCs w:val="20"/>
                <w:color w:val="auto"/>
              </w:rPr>
            </w:pPr>
            <w:r>
              <w:rPr>
                <w:rFonts w:ascii="Arial" w:cs="Arial" w:eastAsia="Arial" w:hAnsi="Arial"/>
                <w:sz w:val="17"/>
                <w:szCs w:val="17"/>
                <w:color w:val="auto"/>
              </w:rPr>
              <w:t>3 years</w:t>
            </w:r>
          </w:p>
        </w:tc>
      </w:tr>
      <w:tr>
        <w:trPr>
          <w:trHeight w:val="187"/>
        </w:trPr>
        <w:tc>
          <w:tcPr>
            <w:tcW w:w="70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Office furniture</w:t>
            </w:r>
          </w:p>
        </w:tc>
        <w:tc>
          <w:tcPr>
            <w:tcW w:w="4180" w:type="dxa"/>
            <w:vAlign w:val="bottom"/>
            <w:shd w:val="clear" w:color="auto" w:fill="CCEEFF"/>
          </w:tcPr>
          <w:p>
            <w:pPr>
              <w:jc w:val="center"/>
              <w:spacing w:after="0" w:line="187" w:lineRule="exact"/>
              <w:rPr>
                <w:sz w:val="20"/>
                <w:szCs w:val="20"/>
                <w:color w:val="auto"/>
              </w:rPr>
            </w:pPr>
            <w:r>
              <w:rPr>
                <w:rFonts w:ascii="Arial" w:cs="Arial" w:eastAsia="Arial" w:hAnsi="Arial"/>
                <w:sz w:val="17"/>
                <w:szCs w:val="17"/>
                <w:color w:val="auto"/>
              </w:rPr>
              <w:t>5 years</w:t>
            </w:r>
          </w:p>
        </w:tc>
      </w:tr>
      <w:tr>
        <w:trPr>
          <w:trHeight w:val="229"/>
        </w:trPr>
        <w:tc>
          <w:tcPr>
            <w:tcW w:w="70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4180" w:type="dxa"/>
            <w:vAlign w:val="bottom"/>
          </w:tcPr>
          <w:p>
            <w:pPr>
              <w:jc w:val="center"/>
              <w:spacing w:after="0"/>
              <w:rPr>
                <w:sz w:val="20"/>
                <w:szCs w:val="20"/>
                <w:color w:val="auto"/>
              </w:rPr>
            </w:pPr>
            <w:r>
              <w:rPr>
                <w:rFonts w:ascii="Arial" w:cs="Arial" w:eastAsia="Arial" w:hAnsi="Arial"/>
                <w:sz w:val="17"/>
                <w:szCs w:val="17"/>
                <w:color w:val="auto"/>
                <w:w w:val="99"/>
              </w:rPr>
              <w:t>lesser of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1335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4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 the fair value of the assets. Assets to be disposed of are reported at the lower of the carrying amount or fair value less costs to sell. No impairments were recognized for these assets in the years ended December 31, 2018 and 2019.</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4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The Company accounts for leases in accordance with ASC Topic 842, </w:t>
      </w:r>
      <w:r>
        <w:rPr>
          <w:rFonts w:ascii="Arial" w:cs="Arial" w:eastAsia="Arial" w:hAnsi="Arial"/>
          <w:sz w:val="17"/>
          <w:szCs w:val="17"/>
          <w:i w:val="1"/>
          <w:iCs w:val="1"/>
          <w:color w:val="auto"/>
        </w:rPr>
        <w:t>Leases</w:t>
      </w:r>
      <w:r>
        <w:rPr>
          <w:rFonts w:ascii="Arial" w:cs="Arial" w:eastAsia="Arial" w:hAnsi="Arial"/>
          <w:sz w:val="17"/>
          <w:szCs w:val="17"/>
          <w:color w:val="auto"/>
        </w:rPr>
        <w:t>, or ASC 842. At the inception of an arrangement, the Company determines whether the arrangement is or contains a lease based on specific facts and circumstances present, the existence of an identified asset(s), if any, and the Company’s control over the use of the identified asset(s), if applicable. Operating lease liabilities and their corresponding right-of-use assets are recorded based on the present value of future lease payments over the expected lease term. The interest rate implicit in lease contracts is typically not readily determinable. As such, the Company utilizes its incremental borrowing rate, which is the rate incurred to borrow on a collateralized basis over a similar term an amount equal to the lease payments in a similar economic environment.</w:t>
      </w:r>
    </w:p>
    <w:p>
      <w:pPr>
        <w:spacing w:after="0" w:line="121" w:lineRule="exact"/>
        <w:rPr>
          <w:sz w:val="20"/>
          <w:szCs w:val="20"/>
          <w:color w:val="auto"/>
        </w:rPr>
      </w:pPr>
    </w:p>
    <w:p>
      <w:pPr>
        <w:jc w:val="both"/>
        <w:ind w:right="240"/>
        <w:spacing w:after="0" w:line="243" w:lineRule="auto"/>
        <w:rPr>
          <w:sz w:val="20"/>
          <w:szCs w:val="20"/>
          <w:color w:val="auto"/>
        </w:rPr>
      </w:pPr>
      <w:r>
        <w:rPr>
          <w:rFonts w:ascii="Arial" w:cs="Arial" w:eastAsia="Arial" w:hAnsi="Arial"/>
          <w:sz w:val="17"/>
          <w:szCs w:val="17"/>
          <w:color w:val="auto"/>
        </w:rPr>
        <w:t>The Company elected to combine lease and non-lease components as a single component for all leases. Operating leases are recognized on the balance sheet as right-of-use assets, operating lease liabilities, current and operating lease liabilities, net of current. Fixed rents are included in the calculation of the lease balances while variable costs paid for certain operating and pass-through costs are excluded. Lease expense is recognized over the expected term on a straight-line basis.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4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Research and development costs are expensed as incurred. Research and development costs include salaries, share-based compensation and other employee benefit expenses, lab related supplies and other operational costs related to the Company’s research and development activities, including allocated facility-related expenses and external costs of outside vendors engaged to conduct research and development activities. Costs associated with licenses of technology and patent costs are expensed as incurred and are included in research and development expense in the consolidated statement of operations and comprehensive loss. As part of the process of preparing the consolidated financial statements, the Company is required to estimate their accrued research and development expenses. The Company makes estimates of the accrued expenses as of each balance sheet date in the consolidated financial statements based on facts and circumstances known at that time. In addition, there may be instances in which payments made to the Company’s vendors will exceed the level of services provided and result in a prepayment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454" w:right="3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expense in which case such amounts are reflected as prepaid expenses and other current assets. In accruing service fees, the Company estimates the time period over which services will be performed and the level of effort to be expended in each period. If the actual timing of the performance of services or the level of effort varies from the estimate, the Company adjusts the accrual or the amount of prepaid expenses accordingly. Nonrefundable advance payments for goods or services to be received in the future for use in research and development activities are deferred and capitalized in prepaid expenses and other current assets. The capitalized amounts are expensed as the related goods are delivered or the services are performed.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39"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 of events that have been recognized in the financial statements or the Company’s tax returns. Under this method, deferred tax assets and liabilities are determined based on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2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Comprehensive loss is defined as the change in equity of a business enterprise during a period from transactions and other events and circumstances from non-owner sources. For the year ended December 31, 2018, the Company had unrealized gains, which were a component of comprehensive loss. For the year ended December 31, 2019, the Company did not have any unrealized gains or losses and comprehensive loss was equal to net loss.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Contingencies</w:t>
      </w:r>
    </w:p>
    <w:p>
      <w:pPr>
        <w:spacing w:after="0" w:line="3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39"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Basic net loss per share and diluted net loss per share are computed using the weighted-average number of shares of common stock outstanding for the period. Net loss per share attributable to common stockholders is calculated using the two-class method, which is an earnings allocation formula that determines net loss per share for the holders of shares of the Company’s common stock and participating securities. The Company’s Preferred Stock contains participation rights in any dividend paid by the Company and is deemed to be a participating security. The participating securities do not include a contractual obligation to share in losses of the Company and are not included in the calculation of net loss per share in the periods in which a net loss is recorded.</w:t>
      </w:r>
    </w:p>
    <w:p>
      <w:pPr>
        <w:spacing w:after="0" w:line="123"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shares of common stock included in the computation of diluted net loss gives effect to all potentially dilutive common stock equivalent shares, including outstanding stock options and Preferred Stock.</w:t>
      </w:r>
    </w:p>
    <w:p>
      <w:pPr>
        <w:spacing w:after="0" w:line="11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net losses attributable to common stockholders for the years ended December 31, 2018 and 2019.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40"/>
          </w:cols>
          <w:pgMar w:left="320" w:top="454" w:right="3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4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In June 2018, the Financial Accounting Standards Board (“FASB”) issued Accounting Standards Update (“ASU”) No. 2018-07, </w:t>
      </w: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(Topic 718):</w:t>
      </w:r>
      <w:r>
        <w:rPr>
          <w:rFonts w:ascii="Arial" w:cs="Arial" w:eastAsia="Arial" w:hAnsi="Arial"/>
          <w:sz w:val="17"/>
          <w:szCs w:val="17"/>
          <w:i w:val="1"/>
          <w:iCs w:val="1"/>
          <w:color w:val="auto"/>
        </w:rPr>
        <w:t xml:space="preserve"> Improvements to Nonemployee Share-Based Payment Accounting </w:t>
      </w:r>
      <w:r>
        <w:rPr>
          <w:rFonts w:ascii="Arial" w:cs="Arial" w:eastAsia="Arial" w:hAnsi="Arial"/>
          <w:sz w:val="17"/>
          <w:szCs w:val="17"/>
          <w:color w:val="auto"/>
        </w:rPr>
        <w:t>(“ASU 2018-07”). The amendments in this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expand the scope of Topic 718 to include share-based payment transactions for acquiring goods and services from nonemployees. Under this ASU,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Company adopted ASU 2018-07 on January 1, 2018, and the adoption did not have a material impact on the consolidated financial statements or financial statement disclosures.</w:t>
      </w:r>
    </w:p>
    <w:p>
      <w:pPr>
        <w:spacing w:after="0" w:line="12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 xml:space="preserve">In November 2018, the Financial Accounting Standards Board (“FASB”) issued ASU No. 2018-18,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(Topic 808): </w:t>
      </w:r>
      <w:r>
        <w:rPr>
          <w:rFonts w:ascii="Arial" w:cs="Arial" w:eastAsia="Arial" w:hAnsi="Arial"/>
          <w:sz w:val="17"/>
          <w:szCs w:val="17"/>
          <w:i w:val="1"/>
          <w:iCs w:val="1"/>
          <w:color w:val="auto"/>
        </w:rPr>
        <w:t>Clarifying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Interaction between Topic 808 and Topic 606 </w:t>
      </w:r>
      <w:r>
        <w:rPr>
          <w:rFonts w:ascii="Arial" w:cs="Arial" w:eastAsia="Arial" w:hAnsi="Arial"/>
          <w:sz w:val="17"/>
          <w:szCs w:val="17"/>
          <w:color w:val="auto"/>
        </w:rPr>
        <w:t>(“ASU 2018-18”), to clarify when ASC 606 should be used for collaborative arrangements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counterparty is a customer. The guidance precludes an entity from presenting consideration from a transaction in a collaborative arrangement as revenue from contracts with customers if the counterparty is not a customer for that transaction. The guidance is effective for public business entities in fiscal years beginning after December 15, 2019, and interim periods therein. Early adoption is permitted to entities that have adopted ASC 606. The Company adopted ASU 2018-18 as of January 1, 2018, and the adoption did not have a material impact on the consolidated financial statements or financial statement disclosures.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4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potential impact that the adoption of ASU 2019-12 may have on the Company’s consolidated financial statements and financial statement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5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indicates the level of the fair value hierarchy utilized to determine such fair values as of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4"/>
                <w:szCs w:val="14"/>
                <w:color w:val="auto"/>
              </w:rPr>
            </w:pPr>
          </w:p>
        </w:tc>
        <w:tc>
          <w:tcPr>
            <w:tcW w:w="222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rPr>
              <w:t>SIGNIFICANT OTHER</w:t>
            </w:r>
          </w:p>
        </w:tc>
        <w:tc>
          <w:tcPr>
            <w:tcW w:w="16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ACTIVE MARKETS FOR</w:t>
            </w:r>
          </w:p>
        </w:tc>
        <w:tc>
          <w:tcPr>
            <w:tcW w:w="320" w:type="dxa"/>
            <w:vAlign w:val="bottom"/>
          </w:tcPr>
          <w:p>
            <w:pPr>
              <w:spacing w:after="0"/>
              <w:rPr>
                <w:sz w:val="13"/>
                <w:szCs w:val="13"/>
                <w:color w:val="auto"/>
              </w:rPr>
            </w:pPr>
          </w:p>
        </w:tc>
        <w:tc>
          <w:tcPr>
            <w:tcW w:w="2220" w:type="dxa"/>
            <w:vAlign w:val="bottom"/>
            <w:gridSpan w:val="3"/>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3"/>
                <w:szCs w:val="1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IDENTICAL ASSETS</w:t>
            </w:r>
          </w:p>
        </w:tc>
        <w:tc>
          <w:tcPr>
            <w:tcW w:w="320" w:type="dxa"/>
            <w:vAlign w:val="bottom"/>
          </w:tcPr>
          <w:p>
            <w:pPr>
              <w:spacing w:after="0"/>
              <w:rPr>
                <w:sz w:val="13"/>
                <w:szCs w:val="13"/>
                <w:color w:val="auto"/>
              </w:rPr>
            </w:pPr>
          </w:p>
        </w:tc>
        <w:tc>
          <w:tcPr>
            <w:tcW w:w="222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82"/>
        </w:trPr>
        <w:tc>
          <w:tcPr>
            <w:tcW w:w="3080" w:type="dxa"/>
            <w:vAlign w:val="bottom"/>
            <w:gridSpan w:val="2"/>
            <w:vMerge w:val="continue"/>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(LEVEL 3)</w:t>
            </w:r>
          </w:p>
        </w:tc>
        <w:tc>
          <w:tcPr>
            <w:tcW w:w="0" w:type="dxa"/>
            <w:vAlign w:val="bottom"/>
          </w:tcPr>
          <w:p>
            <w:pPr>
              <w:spacing w:after="0"/>
              <w:rPr>
                <w:sz w:val="1"/>
                <w:szCs w:val="1"/>
                <w:color w:val="auto"/>
              </w:rPr>
            </w:pPr>
          </w:p>
        </w:tc>
      </w:tr>
      <w:tr>
        <w:trPr>
          <w:trHeight w:val="161"/>
        </w:trPr>
        <w:tc>
          <w:tcPr>
            <w:tcW w:w="9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7"/>
                <w:szCs w:val="17"/>
                <w:i w:val="1"/>
                <w:iCs w:val="1"/>
                <w:color w:val="auto"/>
              </w:rPr>
              <w:t>Asset</w:t>
            </w:r>
          </w:p>
        </w:tc>
        <w:tc>
          <w:tcPr>
            <w:tcW w:w="2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080" w:type="dxa"/>
            <w:vAlign w:val="bottom"/>
            <w:gridSpan w:val="2"/>
          </w:tcPr>
          <w:p>
            <w:pPr>
              <w:spacing w:after="0" w:line="187" w:lineRule="exact"/>
              <w:rPr>
                <w:sz w:val="20"/>
                <w:szCs w:val="20"/>
                <w:color w:val="auto"/>
              </w:rPr>
            </w:pPr>
            <w:r>
              <w:rPr>
                <w:rFonts w:ascii="Arial" w:cs="Arial" w:eastAsia="Arial" w:hAnsi="Arial"/>
                <w:sz w:val="17"/>
                <w:szCs w:val="17"/>
                <w:color w:val="auto"/>
              </w:rPr>
              <w:t>Money market funds</w:t>
            </w:r>
          </w:p>
        </w:tc>
        <w:tc>
          <w:tcPr>
            <w:tcW w:w="50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660"/>
              <w:spacing w:after="0" w:line="187" w:lineRule="exact"/>
              <w:rPr>
                <w:sz w:val="20"/>
                <w:szCs w:val="20"/>
                <w:color w:val="auto"/>
              </w:rPr>
            </w:pPr>
            <w:r>
              <w:rPr>
                <w:rFonts w:ascii="Arial" w:cs="Arial" w:eastAsia="Arial" w:hAnsi="Arial"/>
                <w:sz w:val="17"/>
                <w:szCs w:val="17"/>
                <w:color w:val="auto"/>
              </w:rPr>
              <w:t>29,035</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84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29,035</w:t>
            </w:r>
          </w:p>
        </w:tc>
        <w:tc>
          <w:tcPr>
            <w:tcW w:w="600" w:type="dxa"/>
            <w:vAlign w:val="bottom"/>
            <w:gridSpan w:val="2"/>
          </w:tcPr>
          <w:p>
            <w:pPr>
              <w:ind w:left="320"/>
              <w:spacing w:after="0" w:line="187" w:lineRule="exact"/>
              <w:rPr>
                <w:sz w:val="20"/>
                <w:szCs w:val="20"/>
                <w:color w:val="auto"/>
              </w:rPr>
            </w:pPr>
            <w:r>
              <w:rPr>
                <w:rFonts w:ascii="Arial" w:cs="Arial" w:eastAsia="Arial" w:hAnsi="Arial"/>
                <w:sz w:val="17"/>
                <w:szCs w:val="17"/>
                <w:color w:val="auto"/>
              </w:rPr>
              <w:t>$</w:t>
            </w:r>
          </w:p>
        </w:tc>
        <w:tc>
          <w:tcPr>
            <w:tcW w:w="1940" w:type="dxa"/>
            <w:vAlign w:val="bottom"/>
            <w:gridSpan w:val="2"/>
          </w:tcPr>
          <w:p>
            <w:pPr>
              <w:ind w:left="1120"/>
              <w:spacing w:after="0" w:line="187" w:lineRule="exact"/>
              <w:rPr>
                <w:sz w:val="20"/>
                <w:szCs w:val="20"/>
                <w:color w:val="auto"/>
              </w:rPr>
            </w:pPr>
            <w:r>
              <w:rPr>
                <w:rFonts w:ascii="Arial" w:cs="Arial" w:eastAsia="Arial" w:hAnsi="Arial"/>
                <w:sz w:val="17"/>
                <w:szCs w:val="17"/>
                <w:color w:val="auto"/>
              </w:rPr>
              <w:t>—</w:t>
            </w:r>
          </w:p>
        </w:tc>
        <w:tc>
          <w:tcPr>
            <w:tcW w:w="26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1340" w:type="dxa"/>
            <w:vAlign w:val="bottom"/>
            <w:gridSpan w:val="2"/>
          </w:tcPr>
          <w:p>
            <w:pPr>
              <w:ind w:left="112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08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Total financial assets</w:t>
            </w:r>
          </w:p>
        </w:tc>
        <w:tc>
          <w:tcPr>
            <w:tcW w:w="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660"/>
              <w:spacing w:after="0" w:line="187" w:lineRule="exact"/>
              <w:rPr>
                <w:sz w:val="20"/>
                <w:szCs w:val="20"/>
                <w:color w:val="auto"/>
              </w:rPr>
            </w:pPr>
            <w:r>
              <w:rPr>
                <w:rFonts w:ascii="Arial" w:cs="Arial" w:eastAsia="Arial" w:hAnsi="Arial"/>
                <w:sz w:val="17"/>
                <w:szCs w:val="17"/>
                <w:color w:val="auto"/>
              </w:rPr>
              <w:t>29,035</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84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29,035</w:t>
            </w:r>
          </w:p>
        </w:tc>
        <w:tc>
          <w:tcPr>
            <w:tcW w:w="600" w:type="dxa"/>
            <w:vAlign w:val="bottom"/>
            <w:gridSpan w:val="2"/>
            <w:shd w:val="clear" w:color="auto" w:fill="CCEEFF"/>
          </w:tcPr>
          <w:p>
            <w:pPr>
              <w:ind w:left="320"/>
              <w:spacing w:after="0" w:line="187" w:lineRule="exact"/>
              <w:rPr>
                <w:sz w:val="20"/>
                <w:szCs w:val="20"/>
                <w:color w:val="auto"/>
              </w:rPr>
            </w:pPr>
            <w:r>
              <w:rPr>
                <w:rFonts w:ascii="Arial" w:cs="Arial" w:eastAsia="Arial" w:hAnsi="Arial"/>
                <w:sz w:val="17"/>
                <w:szCs w:val="17"/>
                <w:color w:val="auto"/>
              </w:rPr>
              <w:t>$</w:t>
            </w:r>
          </w:p>
        </w:tc>
        <w:tc>
          <w:tcPr>
            <w:tcW w:w="1940" w:type="dxa"/>
            <w:vAlign w:val="bottom"/>
            <w:gridSpan w:val="2"/>
            <w:shd w:val="clear" w:color="auto" w:fill="CCEEFF"/>
          </w:tcPr>
          <w:p>
            <w:pPr>
              <w:ind w:left="1120"/>
              <w:spacing w:after="0" w:line="187"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112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40"/>
          </w:cols>
          <w:pgMar w:left="320" w:top="454" w:right="3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339725</wp:posOffset>
            </wp:positionV>
            <wp:extent cx="71335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4"/>
                <w:szCs w:val="14"/>
                <w:color w:val="auto"/>
              </w:rPr>
            </w:pPr>
          </w:p>
        </w:tc>
        <w:tc>
          <w:tcPr>
            <w:tcW w:w="222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rPr>
              <w:t>SIGNIFICANT OTHER</w:t>
            </w:r>
          </w:p>
        </w:tc>
        <w:tc>
          <w:tcPr>
            <w:tcW w:w="160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ACTIVE MARKETS FOR</w:t>
            </w:r>
          </w:p>
        </w:tc>
        <w:tc>
          <w:tcPr>
            <w:tcW w:w="320" w:type="dxa"/>
            <w:vAlign w:val="bottom"/>
          </w:tcPr>
          <w:p>
            <w:pPr>
              <w:spacing w:after="0"/>
              <w:rPr>
                <w:sz w:val="13"/>
                <w:szCs w:val="13"/>
                <w:color w:val="auto"/>
              </w:rPr>
            </w:pPr>
          </w:p>
        </w:tc>
        <w:tc>
          <w:tcPr>
            <w:tcW w:w="2220" w:type="dxa"/>
            <w:vAlign w:val="bottom"/>
            <w:gridSpan w:val="3"/>
            <w:vMerge w:val="continue"/>
          </w:tcPr>
          <w:p>
            <w:pPr>
              <w:spacing w:after="0"/>
              <w:rPr>
                <w:sz w:val="13"/>
                <w:szCs w:val="13"/>
                <w:color w:val="auto"/>
              </w:rPr>
            </w:pPr>
          </w:p>
        </w:tc>
        <w:tc>
          <w:tcPr>
            <w:tcW w:w="16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3"/>
                <w:szCs w:val="1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IDENTICAL ASSETS</w:t>
            </w:r>
          </w:p>
        </w:tc>
        <w:tc>
          <w:tcPr>
            <w:tcW w:w="320" w:type="dxa"/>
            <w:vAlign w:val="bottom"/>
          </w:tcPr>
          <w:p>
            <w:pPr>
              <w:spacing w:after="0"/>
              <w:rPr>
                <w:sz w:val="13"/>
                <w:szCs w:val="13"/>
                <w:color w:val="auto"/>
              </w:rPr>
            </w:pPr>
          </w:p>
        </w:tc>
        <w:tc>
          <w:tcPr>
            <w:tcW w:w="222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9"/>
              </w:rPr>
              <w:t>OBSERVABLE INPUTS</w:t>
            </w:r>
          </w:p>
        </w:tc>
        <w:tc>
          <w:tcPr>
            <w:tcW w:w="0" w:type="dxa"/>
            <w:vAlign w:val="bottom"/>
          </w:tcPr>
          <w:p>
            <w:pPr>
              <w:spacing w:after="0"/>
              <w:rPr>
                <w:sz w:val="1"/>
                <w:szCs w:val="1"/>
                <w:color w:val="auto"/>
              </w:rPr>
            </w:pPr>
          </w:p>
        </w:tc>
      </w:tr>
      <w:tr>
        <w:trPr>
          <w:trHeight w:val="182"/>
        </w:trPr>
        <w:tc>
          <w:tcPr>
            <w:tcW w:w="3080" w:type="dxa"/>
            <w:vAlign w:val="bottom"/>
            <w:gridSpan w:val="2"/>
            <w:vMerge w:val="continue"/>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260" w:type="dxa"/>
            <w:vAlign w:val="bottom"/>
          </w:tcPr>
          <w:p>
            <w:pPr>
              <w:jc w:val="center"/>
              <w:ind w:left="229"/>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1"/>
        </w:trPr>
        <w:tc>
          <w:tcPr>
            <w:tcW w:w="9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7"/>
                <w:szCs w:val="17"/>
                <w:i w:val="1"/>
                <w:iCs w:val="1"/>
                <w:color w:val="auto"/>
              </w:rPr>
              <w:t>Asset</w:t>
            </w:r>
          </w:p>
        </w:tc>
        <w:tc>
          <w:tcPr>
            <w:tcW w:w="2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080" w:type="dxa"/>
            <w:vAlign w:val="bottom"/>
            <w:gridSpan w:val="2"/>
          </w:tcPr>
          <w:p>
            <w:pPr>
              <w:spacing w:after="0" w:line="187" w:lineRule="exact"/>
              <w:rPr>
                <w:sz w:val="20"/>
                <w:szCs w:val="20"/>
                <w:color w:val="auto"/>
              </w:rPr>
            </w:pPr>
            <w:r>
              <w:rPr>
                <w:rFonts w:ascii="Arial" w:cs="Arial" w:eastAsia="Arial" w:hAnsi="Arial"/>
                <w:sz w:val="17"/>
                <w:szCs w:val="17"/>
                <w:color w:val="auto"/>
              </w:rPr>
              <w:t>Money market funds</w:t>
            </w:r>
          </w:p>
        </w:tc>
        <w:tc>
          <w:tcPr>
            <w:tcW w:w="50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660"/>
              <w:spacing w:after="0" w:line="187" w:lineRule="exact"/>
              <w:rPr>
                <w:sz w:val="20"/>
                <w:szCs w:val="20"/>
                <w:color w:val="auto"/>
              </w:rPr>
            </w:pPr>
            <w:r>
              <w:rPr>
                <w:rFonts w:ascii="Arial" w:cs="Arial" w:eastAsia="Arial" w:hAnsi="Arial"/>
                <w:sz w:val="17"/>
                <w:szCs w:val="17"/>
                <w:color w:val="auto"/>
              </w:rPr>
              <w:t>80,902</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84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80,902</w:t>
            </w:r>
          </w:p>
        </w:tc>
        <w:tc>
          <w:tcPr>
            <w:tcW w:w="1580" w:type="dxa"/>
            <w:vAlign w:val="bottom"/>
            <w:gridSpan w:val="2"/>
          </w:tcPr>
          <w:p>
            <w:pPr>
              <w:ind w:left="320"/>
              <w:spacing w:after="0" w:line="187" w:lineRule="exact"/>
              <w:rPr>
                <w:sz w:val="20"/>
                <w:szCs w:val="20"/>
                <w:color w:val="auto"/>
              </w:rPr>
            </w:pPr>
            <w:r>
              <w:rPr>
                <w:rFonts w:ascii="Arial" w:cs="Arial" w:eastAsia="Arial" w:hAnsi="Arial"/>
                <w:sz w:val="17"/>
                <w:szCs w:val="17"/>
                <w:color w:val="auto"/>
              </w:rPr>
              <w:t>$</w:t>
            </w:r>
          </w:p>
        </w:tc>
        <w:tc>
          <w:tcPr>
            <w:tcW w:w="960" w:type="dxa"/>
            <w:vAlign w:val="bottom"/>
            <w:gridSpan w:val="2"/>
          </w:tcPr>
          <w:p>
            <w:pPr>
              <w:ind w:left="140"/>
              <w:spacing w:after="0" w:line="187" w:lineRule="exact"/>
              <w:rPr>
                <w:sz w:val="20"/>
                <w:szCs w:val="20"/>
                <w:color w:val="auto"/>
              </w:rPr>
            </w:pPr>
            <w:r>
              <w:rPr>
                <w:rFonts w:ascii="Arial" w:cs="Arial" w:eastAsia="Arial" w:hAnsi="Arial"/>
                <w:sz w:val="17"/>
                <w:szCs w:val="17"/>
                <w:color w:val="auto"/>
              </w:rPr>
              <w:t>—</w:t>
            </w:r>
          </w:p>
        </w:tc>
        <w:tc>
          <w:tcPr>
            <w:tcW w:w="580" w:type="dxa"/>
            <w:vAlign w:val="bottom"/>
          </w:tcPr>
          <w:p>
            <w:pPr>
              <w:jc w:val="right"/>
              <w:ind w:right="400"/>
              <w:spacing w:after="0" w:line="187" w:lineRule="exact"/>
              <w:rPr>
                <w:sz w:val="20"/>
                <w:szCs w:val="20"/>
                <w:color w:val="auto"/>
              </w:rPr>
            </w:pPr>
            <w:r>
              <w:rPr>
                <w:rFonts w:ascii="Arial" w:cs="Arial" w:eastAsia="Arial" w:hAnsi="Arial"/>
                <w:sz w:val="17"/>
                <w:szCs w:val="17"/>
                <w:color w:val="auto"/>
                <w:w w:val="84"/>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08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Total financial assets</w:t>
            </w:r>
          </w:p>
        </w:tc>
        <w:tc>
          <w:tcPr>
            <w:tcW w:w="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660"/>
              <w:spacing w:after="0" w:line="187" w:lineRule="exact"/>
              <w:rPr>
                <w:sz w:val="20"/>
                <w:szCs w:val="20"/>
                <w:color w:val="auto"/>
              </w:rPr>
            </w:pPr>
            <w:r>
              <w:rPr>
                <w:rFonts w:ascii="Arial" w:cs="Arial" w:eastAsia="Arial" w:hAnsi="Arial"/>
                <w:sz w:val="17"/>
                <w:szCs w:val="17"/>
                <w:color w:val="auto"/>
              </w:rPr>
              <w:t>80,902</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84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80,902</w:t>
            </w:r>
          </w:p>
        </w:tc>
        <w:tc>
          <w:tcPr>
            <w:tcW w:w="1580" w:type="dxa"/>
            <w:vAlign w:val="bottom"/>
            <w:gridSpan w:val="2"/>
            <w:shd w:val="clear" w:color="auto" w:fill="CCEEFF"/>
          </w:tcPr>
          <w:p>
            <w:pPr>
              <w:ind w:left="320"/>
              <w:spacing w:after="0" w:line="187"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80" w:type="dxa"/>
            <w:vAlign w:val="bottom"/>
            <w:tcBorders>
              <w:bottom w:val="single" w:sz="8" w:color="auto"/>
            </w:tcBorders>
            <w:gridSpan w:val="10"/>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8680" w:type="dxa"/>
            <w:vAlign w:val="bottom"/>
            <w:gridSpan w:val="10"/>
          </w:tcPr>
          <w:p>
            <w:pPr>
              <w:spacing w:after="0"/>
              <w:rPr>
                <w:sz w:val="20"/>
                <w:szCs w:val="20"/>
                <w:color w:val="auto"/>
              </w:rPr>
            </w:pPr>
            <w:r>
              <w:rPr>
                <w:rFonts w:ascii="Arial" w:cs="Arial" w:eastAsia="Arial" w:hAnsi="Arial"/>
                <w:sz w:val="17"/>
                <w:szCs w:val="17"/>
                <w:color w:val="auto"/>
              </w:rPr>
              <w:t>There have been no transfers between fair value levels during the years ended December 31, 2018 and 2019.</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160" w:type="dxa"/>
            <w:vAlign w:val="bottom"/>
            <w:gridSpan w:val="5"/>
          </w:tcPr>
          <w:p>
            <w:pPr>
              <w:spacing w:after="0"/>
              <w:rPr>
                <w:sz w:val="20"/>
                <w:szCs w:val="20"/>
                <w:color w:val="auto"/>
              </w:rPr>
            </w:pPr>
            <w:r>
              <w:rPr>
                <w:rFonts w:ascii="Arial" w:cs="Arial" w:eastAsia="Arial" w:hAnsi="Arial"/>
                <w:sz w:val="17"/>
                <w:szCs w:val="17"/>
                <w:color w:val="auto"/>
              </w:rPr>
              <w:t>Property and equipment consisted of the following (in thousands):</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9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980" w:type="dxa"/>
            <w:vAlign w:val="bottom"/>
            <w:tcBorders>
              <w:bottom w:val="single" w:sz="8" w:color="CCEEFF"/>
            </w:tcBorders>
          </w:tcPr>
          <w:p>
            <w:pPr>
              <w:spacing w:after="0"/>
              <w:rPr>
                <w:sz w:val="13"/>
                <w:szCs w:val="13"/>
                <w:color w:val="auto"/>
              </w:rPr>
            </w:pPr>
          </w:p>
        </w:tc>
        <w:tc>
          <w:tcPr>
            <w:tcW w:w="21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60"/>
              <w:spacing w:after="0" w:line="154"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97"/>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08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Laboratory equipment</w:t>
            </w: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8"/>
              </w:rPr>
              <w:t>$ 6,239</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$ 6,766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80" w:type="dxa"/>
            <w:vAlign w:val="bottom"/>
            <w:gridSpan w:val="2"/>
          </w:tcPr>
          <w:p>
            <w:pPr>
              <w:spacing w:after="0" w:line="187" w:lineRule="exact"/>
              <w:rPr>
                <w:sz w:val="20"/>
                <w:szCs w:val="20"/>
                <w:color w:val="auto"/>
              </w:rPr>
            </w:pPr>
            <w:r>
              <w:rPr>
                <w:rFonts w:ascii="Arial" w:cs="Arial" w:eastAsia="Arial" w:hAnsi="Arial"/>
                <w:sz w:val="17"/>
                <w:szCs w:val="17"/>
                <w:color w:val="auto"/>
              </w:rPr>
              <w:t>Computer equipment</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167</w:t>
            </w:r>
          </w:p>
        </w:tc>
        <w:tc>
          <w:tcPr>
            <w:tcW w:w="300" w:type="dxa"/>
            <w:vAlign w:val="bottom"/>
          </w:tcPr>
          <w:p>
            <w:pPr>
              <w:spacing w:after="0"/>
              <w:rPr>
                <w:sz w:val="16"/>
                <w:szCs w:val="16"/>
                <w:color w:val="auto"/>
              </w:rPr>
            </w:pPr>
          </w:p>
        </w:tc>
        <w:tc>
          <w:tcPr>
            <w:tcW w:w="640" w:type="dxa"/>
            <w:vAlign w:val="bottom"/>
          </w:tcPr>
          <w:p>
            <w:pPr>
              <w:jc w:val="right"/>
              <w:spacing w:after="0" w:line="187" w:lineRule="exact"/>
              <w:rPr>
                <w:sz w:val="20"/>
                <w:szCs w:val="20"/>
                <w:color w:val="auto"/>
              </w:rPr>
            </w:pPr>
            <w:r>
              <w:rPr>
                <w:rFonts w:ascii="Arial" w:cs="Arial" w:eastAsia="Arial" w:hAnsi="Arial"/>
                <w:sz w:val="17"/>
                <w:szCs w:val="17"/>
                <w:color w:val="auto"/>
              </w:rPr>
              <w:t>167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Furniture and fixtures</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730</w:t>
            </w:r>
          </w:p>
        </w:tc>
        <w:tc>
          <w:tcPr>
            <w:tcW w:w="3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797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80" w:type="dxa"/>
            <w:vAlign w:val="bottom"/>
            <w:gridSpan w:val="2"/>
          </w:tcPr>
          <w:p>
            <w:pPr>
              <w:spacing w:after="0" w:line="187" w:lineRule="exact"/>
              <w:rPr>
                <w:sz w:val="20"/>
                <w:szCs w:val="20"/>
                <w:color w:val="auto"/>
              </w:rPr>
            </w:pPr>
            <w:r>
              <w:rPr>
                <w:rFonts w:ascii="Arial" w:cs="Arial" w:eastAsia="Arial" w:hAnsi="Arial"/>
                <w:sz w:val="17"/>
                <w:szCs w:val="17"/>
                <w:color w:val="auto"/>
              </w:rPr>
              <w:t>Office equipment</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151</w:t>
            </w:r>
          </w:p>
        </w:tc>
        <w:tc>
          <w:tcPr>
            <w:tcW w:w="300" w:type="dxa"/>
            <w:vAlign w:val="bottom"/>
          </w:tcPr>
          <w:p>
            <w:pPr>
              <w:spacing w:after="0"/>
              <w:rPr>
                <w:sz w:val="16"/>
                <w:szCs w:val="16"/>
                <w:color w:val="auto"/>
              </w:rPr>
            </w:pPr>
          </w:p>
        </w:tc>
        <w:tc>
          <w:tcPr>
            <w:tcW w:w="640" w:type="dxa"/>
            <w:vAlign w:val="bottom"/>
          </w:tcPr>
          <w:p>
            <w:pPr>
              <w:jc w:val="right"/>
              <w:spacing w:after="0" w:line="187" w:lineRule="exact"/>
              <w:rPr>
                <w:sz w:val="20"/>
                <w:szCs w:val="20"/>
                <w:color w:val="auto"/>
              </w:rPr>
            </w:pPr>
            <w:r>
              <w:rPr>
                <w:rFonts w:ascii="Arial" w:cs="Arial" w:eastAsia="Arial" w:hAnsi="Arial"/>
                <w:sz w:val="17"/>
                <w:szCs w:val="17"/>
                <w:color w:val="auto"/>
              </w:rPr>
              <w:t>167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Leasehold improvements</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640" w:type="dxa"/>
            <w:vAlign w:val="bottom"/>
            <w:tcBorders>
              <w:right w:val="single" w:sz="8" w:color="CCEEFF"/>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520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80" w:type="dxa"/>
            <w:vAlign w:val="bottom"/>
            <w:gridSpan w:val="2"/>
          </w:tcPr>
          <w:p>
            <w:pPr>
              <w:spacing w:after="0" w:line="194" w:lineRule="exact"/>
              <w:rPr>
                <w:sz w:val="20"/>
                <w:szCs w:val="20"/>
                <w:color w:val="auto"/>
              </w:rPr>
            </w:pPr>
            <w:r>
              <w:rPr>
                <w:rFonts w:ascii="Arial" w:cs="Arial" w:eastAsia="Arial" w:hAnsi="Arial"/>
                <w:sz w:val="17"/>
                <w:szCs w:val="17"/>
                <w:color w:val="auto"/>
              </w:rPr>
              <w:t>Total</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7,287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8,417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0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Less: accumulated depreciation</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(2,499)</w:t>
            </w:r>
          </w:p>
        </w:tc>
        <w:tc>
          <w:tcPr>
            <w:tcW w:w="70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(3,954)</w:t>
            </w:r>
          </w:p>
        </w:tc>
        <w:tc>
          <w:tcPr>
            <w:tcW w:w="0" w:type="dxa"/>
            <w:vAlign w:val="bottom"/>
          </w:tcPr>
          <w:p>
            <w:pPr>
              <w:spacing w:after="0"/>
              <w:rPr>
                <w:sz w:val="1"/>
                <w:szCs w:val="1"/>
                <w:color w:val="auto"/>
              </w:rPr>
            </w:pPr>
          </w:p>
        </w:tc>
      </w:tr>
      <w:tr>
        <w:trPr>
          <w:trHeight w:val="194"/>
        </w:trPr>
        <w:tc>
          <w:tcPr>
            <w:tcW w:w="3080" w:type="dxa"/>
            <w:vAlign w:val="bottom"/>
            <w:gridSpan w:val="2"/>
          </w:tcPr>
          <w:p>
            <w:pPr>
              <w:spacing w:after="0" w:line="194" w:lineRule="exact"/>
              <w:rPr>
                <w:sz w:val="20"/>
                <w:szCs w:val="20"/>
                <w:color w:val="auto"/>
              </w:rPr>
            </w:pPr>
            <w:r>
              <w:rPr>
                <w:rFonts w:ascii="Arial" w:cs="Arial" w:eastAsia="Arial" w:hAnsi="Arial"/>
                <w:sz w:val="17"/>
                <w:szCs w:val="17"/>
                <w:color w:val="auto"/>
              </w:rPr>
              <w:t>Property and equipment, net</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8"/>
              </w:rPr>
              <w:t>$ 4,788</w:t>
            </w:r>
          </w:p>
        </w:tc>
        <w:tc>
          <w:tcPr>
            <w:tcW w:w="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$ 4,463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Total depreciation and amortization for the years ended December 31, 2018 and 2019 was $1.3 million and $1.6 million, respectively. Of the</w:t>
      </w:r>
    </w:p>
    <w:p>
      <w:pPr>
        <w:spacing w:after="0" w:line="1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$1.3 million for the year ended December 31, 2018, $1.2 million was recorded in research and development expenses and $35,000 was recorded in general and administrative expenses. Of the $1.6 million for the year ended December 31, 2019, $1.5 million was recorded in research and development expenses and $46,000 was recorded in general and administrative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51"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In January 2016, the Company entered into a lease of office and laboratory space for its headquarters at 675 West Kendall Street in Cambridge, Massachusetts (the “Cambridge Lease”). The Cambridge Lease commenced in January 2016 and expired in April 2018. Operating lease costs were $1.5 million for the year ended December 31, 2018.</w:t>
      </w:r>
    </w:p>
    <w:p>
      <w:pPr>
        <w:spacing w:after="0" w:line="111"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In July 2017, the Company entered into a lease of office and laboratory space for its headquarters at 490 Arsenal Way in Watertown, Massachusetts (the “Watertown Lease”). The Watertown Lease commenced in April 2018 with rent commencing in May 2018, and the Company recognized operating lease costs of $1.8 million and $2.6 million for the years ended December 31, 2018 and December 31, 2019, respectively.</w:t>
      </w:r>
    </w:p>
    <w:p>
      <w:pPr>
        <w:spacing w:after="0" w:line="11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During 2018, the Company incurred construction costs for the Watertown Lease of $1.0 million through April 2018 that were recorded as prepaid rent, resulting in a balance of $1.5 million total construction costs funded by the Company, for which it is not deemed the accounting owner. Upon the commencement of the Watertown Lease in April 2018, the Company recorded a lease liability of $15.1 million, which is representative of the remaining discounted lease payments. Of the $15.1 million lease liability, $0.8 million was classified as an operating lease liability, current and $14.3 million was classified as operating lease liability, net of current, respectively. In addition, $16.7 million was recorded as a right-of-use asset on the Company’s consolidated balance sheet, inclusive of the construction costs funded by the Company of $1.5 million that was reclassified from prepaid rent to the right-of-use asset.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40"/>
          </w:cols>
          <w:pgMar w:left="320" w:top="454" w:right="3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Watertown Lease has a non-cancelable term of ten years with an option to extend for one additional five-year period. As the Company does not deem the exercise of this option to be reasonably certain, it is not included in the measurement of the lease liability. The fixed annual rent payable under the Watertown Lease is $2.1 million, with rent escalations throughout the term. The Company is responsible for paying its pro rata share of costs incurred for common area maintenance, real estate taxes and property insurance related to the leased space. Using the relevant assumptions at the commencement date, the Company has concluded the lease classification to be operating. The total rent payments to be paid over the non-cancelable term of the Watertown Lease is $24.1 million. The Company incurred $1.3 million and $0.5 million for the years ended December 31, 2018 and 2019, respectively, for leasehold improvements to be paid for by the Company. The lease agreement required the Company to provide collateral in the amount of $2.6 million, which is recorded as restricted cash on the accompanying consolidated balance sheets.</w:t>
      </w:r>
    </w:p>
    <w:p>
      <w:pPr>
        <w:spacing w:after="0" w:line="121" w:lineRule="exact"/>
        <w:rPr>
          <w:sz w:val="20"/>
          <w:szCs w:val="20"/>
          <w:color w:val="auto"/>
        </w:rPr>
      </w:pPr>
    </w:p>
    <w:p>
      <w:pPr>
        <w:jc w:val="both"/>
        <w:ind w:right="220"/>
        <w:spacing w:after="0" w:line="250" w:lineRule="auto"/>
        <w:rPr>
          <w:sz w:val="20"/>
          <w:szCs w:val="20"/>
          <w:color w:val="auto"/>
        </w:rPr>
      </w:pPr>
      <w:r>
        <w:rPr>
          <w:rFonts w:ascii="Arial" w:cs="Arial" w:eastAsia="Arial" w:hAnsi="Arial"/>
          <w:sz w:val="17"/>
          <w:szCs w:val="17"/>
          <w:color w:val="auto"/>
        </w:rPr>
        <w:t>As of December 31, 2018, assets under the Watertown Lease classified as right-of-use assets on the Company’s consolidated balance sheet were $15.6 million. Liabilities under the Watertown Lease were $14.5 million, of which $0.7 million were classified as operating lease liability, current, and $13.7 million were classified as operating lease liability, net of current, on the Company’s consolidated balance sheet.</w:t>
      </w:r>
    </w:p>
    <w:p>
      <w:pPr>
        <w:spacing w:after="0" w:line="111"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As of December 31, 2019, assets under the Watertown Lease classified as right-of-use assets on the Company’s consolidated balance sheet were $14.5 million, net of accumulated amortization. Liabilities under the Watertown Lease were $13.7 million, of which $0.9 million were classified as operating lease liability, current, and $12.9 million were classified as operating lease liability, net of current, on the Company’s consolidated balance sheet.</w:t>
      </w:r>
    </w:p>
    <w:p>
      <w:pPr>
        <w:spacing w:after="0" w:line="118" w:lineRule="exact"/>
        <w:rPr>
          <w:sz w:val="20"/>
          <w:szCs w:val="20"/>
          <w:color w:val="auto"/>
        </w:rPr>
      </w:pPr>
    </w:p>
    <w:p>
      <w:pPr>
        <w:ind w:right="500"/>
        <w:spacing w:after="0" w:line="271" w:lineRule="auto"/>
        <w:rPr>
          <w:sz w:val="20"/>
          <w:szCs w:val="20"/>
          <w:color w:val="auto"/>
        </w:rPr>
      </w:pPr>
      <w:r>
        <w:rPr>
          <w:rFonts w:ascii="Arial" w:cs="Arial" w:eastAsia="Arial" w:hAnsi="Arial"/>
          <w:sz w:val="17"/>
          <w:szCs w:val="17"/>
          <w:color w:val="auto"/>
        </w:rPr>
        <w:t>Additionally, the Company recorded right-of-use amortization of $2.3 million and $1.1 million for the years ending December 31, 2018 and 2019,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elements of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27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2780" w:type="dxa"/>
            <w:vAlign w:val="bottom"/>
            <w:tcBorders>
              <w:bottom w:val="single" w:sz="8" w:color="CCEEFF"/>
            </w:tcBorders>
          </w:tcPr>
          <w:p>
            <w:pPr>
              <w:spacing w:after="0"/>
              <w:rPr>
                <w:sz w:val="13"/>
                <w:szCs w:val="13"/>
                <w:color w:val="auto"/>
              </w:rPr>
            </w:pPr>
          </w:p>
        </w:tc>
        <w:tc>
          <w:tcPr>
            <w:tcW w:w="59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9"/>
              <w:spacing w:after="0" w:line="154"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55"/>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67"/>
        </w:trPr>
        <w:tc>
          <w:tcPr>
            <w:tcW w:w="87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Lease cost: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7"/>
        </w:trPr>
        <w:tc>
          <w:tcPr>
            <w:tcW w:w="87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Operating lease cost</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700"/>
              <w:spacing w:after="0" w:line="187" w:lineRule="exact"/>
              <w:rPr>
                <w:sz w:val="20"/>
                <w:szCs w:val="20"/>
                <w:color w:val="auto"/>
              </w:rPr>
            </w:pPr>
            <w:r>
              <w:rPr>
                <w:rFonts w:ascii="Arial" w:cs="Arial" w:eastAsia="Arial" w:hAnsi="Arial"/>
                <w:sz w:val="17"/>
                <w:szCs w:val="17"/>
                <w:color w:val="auto"/>
              </w:rPr>
              <w:t>3,367</w:t>
            </w:r>
          </w:p>
        </w:tc>
        <w:tc>
          <w:tcPr>
            <w:tcW w:w="12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2,550</w:t>
            </w:r>
          </w:p>
        </w:tc>
        <w:tc>
          <w:tcPr>
            <w:tcW w:w="120" w:type="dxa"/>
            <w:vAlign w:val="bottom"/>
          </w:tcPr>
          <w:p>
            <w:pPr>
              <w:spacing w:after="0"/>
              <w:rPr>
                <w:sz w:val="16"/>
                <w:szCs w:val="16"/>
                <w:color w:val="auto"/>
              </w:rPr>
            </w:pPr>
          </w:p>
        </w:tc>
      </w:tr>
      <w:tr>
        <w:trPr>
          <w:trHeight w:val="187"/>
        </w:trPr>
        <w:tc>
          <w:tcPr>
            <w:tcW w:w="87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Variable lease cost</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00"/>
              <w:spacing w:after="0" w:line="187" w:lineRule="exact"/>
              <w:rPr>
                <w:sz w:val="20"/>
                <w:szCs w:val="20"/>
                <w:color w:val="auto"/>
              </w:rPr>
            </w:pPr>
            <w:r>
              <w:rPr>
                <w:rFonts w:ascii="Arial" w:cs="Arial" w:eastAsia="Arial" w:hAnsi="Arial"/>
                <w:sz w:val="17"/>
                <w:szCs w:val="17"/>
                <w:color w:val="auto"/>
              </w:rPr>
              <w:t>463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r>
      <w:tr>
        <w:trPr>
          <w:trHeight w:val="194"/>
        </w:trPr>
        <w:tc>
          <w:tcPr>
            <w:tcW w:w="8700" w:type="dxa"/>
            <w:vAlign w:val="bottom"/>
            <w:gridSpan w:val="2"/>
          </w:tcPr>
          <w:p>
            <w:pPr>
              <w:ind w:left="500"/>
              <w:spacing w:after="0" w:line="194" w:lineRule="exact"/>
              <w:rPr>
                <w:sz w:val="20"/>
                <w:szCs w:val="20"/>
                <w:color w:val="auto"/>
              </w:rPr>
            </w:pPr>
            <w:r>
              <w:rPr>
                <w:rFonts w:ascii="Arial" w:cs="Arial" w:eastAsia="Arial" w:hAnsi="Arial"/>
                <w:sz w:val="17"/>
                <w:szCs w:val="17"/>
                <w:color w:val="auto"/>
              </w:rPr>
              <w:t>Total lease cost</w:t>
            </w: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3,830</w:t>
            </w:r>
          </w:p>
        </w:tc>
        <w:tc>
          <w:tcPr>
            <w:tcW w:w="7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3,570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7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870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Other information: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87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Operating cash flows for operating liabilities</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700"/>
              <w:spacing w:after="0" w:line="187" w:lineRule="exact"/>
              <w:rPr>
                <w:sz w:val="20"/>
                <w:szCs w:val="20"/>
                <w:color w:val="auto"/>
              </w:rPr>
            </w:pPr>
            <w:r>
              <w:rPr>
                <w:rFonts w:ascii="Arial" w:cs="Arial" w:eastAsia="Arial" w:hAnsi="Arial"/>
                <w:sz w:val="17"/>
                <w:szCs w:val="17"/>
                <w:color w:val="auto"/>
              </w:rPr>
              <w:t>3,148</w:t>
            </w:r>
          </w:p>
        </w:tc>
        <w:tc>
          <w:tcPr>
            <w:tcW w:w="12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2,141</w:t>
            </w:r>
          </w:p>
        </w:tc>
        <w:tc>
          <w:tcPr>
            <w:tcW w:w="120" w:type="dxa"/>
            <w:vAlign w:val="bottom"/>
          </w:tcPr>
          <w:p>
            <w:pPr>
              <w:spacing w:after="0"/>
              <w:rPr>
                <w:sz w:val="16"/>
                <w:szCs w:val="16"/>
                <w:color w:val="auto"/>
              </w:rPr>
            </w:pPr>
          </w:p>
        </w:tc>
      </w:tr>
      <w:tr>
        <w:trPr>
          <w:trHeight w:val="187"/>
        </w:trPr>
        <w:tc>
          <w:tcPr>
            <w:tcW w:w="87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Operating lease liabilities arising from obtaining right-of-use assets</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700"/>
              <w:spacing w:after="0" w:line="187" w:lineRule="exact"/>
              <w:rPr>
                <w:sz w:val="20"/>
                <w:szCs w:val="20"/>
                <w:color w:val="auto"/>
              </w:rPr>
            </w:pPr>
            <w:r>
              <w:rPr>
                <w:rFonts w:ascii="Arial" w:cs="Arial" w:eastAsia="Arial" w:hAnsi="Arial"/>
                <w:sz w:val="17"/>
                <w:szCs w:val="17"/>
                <w:color w:val="auto"/>
              </w:rPr>
              <w:t>16,573</w:t>
            </w:r>
          </w:p>
        </w:tc>
        <w:tc>
          <w:tcPr>
            <w:tcW w:w="1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300"/>
              <w:spacing w:after="0" w:line="187" w:lineRule="exact"/>
              <w:rPr>
                <w:sz w:val="20"/>
                <w:szCs w:val="20"/>
                <w:color w:val="auto"/>
              </w:rPr>
            </w:pPr>
            <w:r>
              <w:rPr>
                <w:rFonts w:ascii="Arial" w:cs="Arial" w:eastAsia="Arial" w:hAnsi="Arial"/>
                <w:sz w:val="17"/>
                <w:szCs w:val="17"/>
                <w:color w:val="auto"/>
              </w:rPr>
              <w:t>—</w:t>
            </w:r>
          </w:p>
        </w:tc>
      </w:tr>
      <w:tr>
        <w:trPr>
          <w:trHeight w:val="187"/>
        </w:trPr>
        <w:tc>
          <w:tcPr>
            <w:tcW w:w="87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Weighted average remaining lease term</w:t>
            </w:r>
          </w:p>
        </w:tc>
        <w:tc>
          <w:tcPr>
            <w:tcW w:w="100" w:type="dxa"/>
            <w:vAlign w:val="bottom"/>
          </w:tcPr>
          <w:p>
            <w:pPr>
              <w:spacing w:after="0"/>
              <w:rPr>
                <w:sz w:val="16"/>
                <w:szCs w:val="16"/>
                <w:color w:val="auto"/>
              </w:rPr>
            </w:pPr>
          </w:p>
        </w:tc>
        <w:tc>
          <w:tcPr>
            <w:tcW w:w="1420" w:type="dxa"/>
            <w:vAlign w:val="bottom"/>
            <w:gridSpan w:val="2"/>
          </w:tcPr>
          <w:p>
            <w:pPr>
              <w:jc w:val="right"/>
              <w:ind w:right="700"/>
              <w:spacing w:after="0" w:line="187" w:lineRule="exact"/>
              <w:rPr>
                <w:sz w:val="20"/>
                <w:szCs w:val="20"/>
                <w:color w:val="auto"/>
              </w:rPr>
            </w:pPr>
            <w:r>
              <w:rPr>
                <w:rFonts w:ascii="Arial" w:cs="Arial" w:eastAsia="Arial" w:hAnsi="Arial"/>
                <w:sz w:val="17"/>
                <w:szCs w:val="17"/>
                <w:color w:val="auto"/>
              </w:rPr>
              <w:t>9.3 years</w:t>
            </w:r>
          </w:p>
        </w:tc>
        <w:tc>
          <w:tcPr>
            <w:tcW w:w="120" w:type="dxa"/>
            <w:vAlign w:val="bottom"/>
          </w:tcPr>
          <w:p>
            <w:pPr>
              <w:spacing w:after="0"/>
              <w:rPr>
                <w:sz w:val="16"/>
                <w:szCs w:val="16"/>
                <w:color w:val="auto"/>
              </w:rPr>
            </w:pPr>
          </w:p>
        </w:tc>
        <w:tc>
          <w:tcPr>
            <w:tcW w:w="900" w:type="dxa"/>
            <w:vAlign w:val="bottom"/>
            <w:gridSpan w:val="5"/>
          </w:tcPr>
          <w:p>
            <w:pPr>
              <w:jc w:val="right"/>
              <w:ind w:right="200"/>
              <w:spacing w:after="0" w:line="187" w:lineRule="exact"/>
              <w:rPr>
                <w:sz w:val="20"/>
                <w:szCs w:val="20"/>
                <w:color w:val="auto"/>
              </w:rPr>
            </w:pPr>
            <w:r>
              <w:rPr>
                <w:rFonts w:ascii="Arial" w:cs="Arial" w:eastAsia="Arial" w:hAnsi="Arial"/>
                <w:sz w:val="17"/>
                <w:szCs w:val="17"/>
                <w:color w:val="auto"/>
                <w:w w:val="97"/>
              </w:rPr>
              <w:t>8.3 years</w:t>
            </w:r>
          </w:p>
        </w:tc>
      </w:tr>
      <w:tr>
        <w:trPr>
          <w:trHeight w:val="187"/>
        </w:trPr>
        <w:tc>
          <w:tcPr>
            <w:tcW w:w="87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Weighted average discount rate</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10%</w:t>
            </w:r>
          </w:p>
        </w:tc>
      </w:tr>
      <w:tr>
        <w:trPr>
          <w:trHeight w:val="214"/>
        </w:trPr>
        <w:tc>
          <w:tcPr>
            <w:tcW w:w="278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55"/>
        </w:trPr>
        <w:tc>
          <w:tcPr>
            <w:tcW w:w="8700" w:type="dxa"/>
            <w:vAlign w:val="bottom"/>
            <w:gridSpan w:val="2"/>
          </w:tcPr>
          <w:p>
            <w:pPr>
              <w:spacing w:after="0"/>
              <w:rPr>
                <w:sz w:val="20"/>
                <w:szCs w:val="20"/>
                <w:color w:val="auto"/>
              </w:rPr>
            </w:pPr>
            <w:r>
              <w:rPr>
                <w:rFonts w:ascii="Arial" w:cs="Arial" w:eastAsia="Arial" w:hAnsi="Arial"/>
                <w:sz w:val="17"/>
                <w:szCs w:val="17"/>
                <w:color w:val="auto"/>
              </w:rPr>
              <w:t>Future lease payments under non-cancelable leases as of December 31, 2019 were (in thousands):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0"/>
        </w:trPr>
        <w:tc>
          <w:tcPr>
            <w:tcW w:w="2780" w:type="dxa"/>
            <w:vAlign w:val="bottom"/>
            <w:tcBorders>
              <w:bottom w:val="single" w:sz="8" w:color="auto"/>
            </w:tcBorders>
          </w:tcPr>
          <w:p>
            <w:pPr>
              <w:spacing w:after="0"/>
              <w:rPr>
                <w:sz w:val="17"/>
                <w:szCs w:val="17"/>
                <w:color w:val="auto"/>
              </w:rPr>
            </w:pPr>
          </w:p>
        </w:tc>
        <w:tc>
          <w:tcPr>
            <w:tcW w:w="5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395"/>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FUTURE OPERATING LEASE PAYMENTS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27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2020</w:t>
            </w:r>
          </w:p>
        </w:tc>
        <w:tc>
          <w:tcPr>
            <w:tcW w:w="5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line="180" w:lineRule="exact"/>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ind w:right="120"/>
              <w:spacing w:after="0" w:line="180" w:lineRule="exact"/>
              <w:rPr>
                <w:sz w:val="20"/>
                <w:szCs w:val="20"/>
                <w:color w:val="auto"/>
              </w:rPr>
            </w:pPr>
            <w:r>
              <w:rPr>
                <w:rFonts w:ascii="Arial" w:cs="Arial" w:eastAsia="Arial" w:hAnsi="Arial"/>
                <w:sz w:val="17"/>
                <w:szCs w:val="17"/>
                <w:color w:val="auto"/>
              </w:rPr>
              <w:t>2,206</w:t>
            </w:r>
          </w:p>
        </w:tc>
      </w:tr>
      <w:tr>
        <w:trPr>
          <w:trHeight w:val="187"/>
        </w:trPr>
        <w:tc>
          <w:tcPr>
            <w:tcW w:w="2780" w:type="dxa"/>
            <w:vAlign w:val="bottom"/>
          </w:tcPr>
          <w:p>
            <w:pPr>
              <w:spacing w:after="0" w:line="187" w:lineRule="exact"/>
              <w:rPr>
                <w:sz w:val="20"/>
                <w:szCs w:val="20"/>
                <w:color w:val="auto"/>
              </w:rPr>
            </w:pPr>
            <w:r>
              <w:rPr>
                <w:rFonts w:ascii="Arial" w:cs="Arial" w:eastAsia="Arial" w:hAnsi="Arial"/>
                <w:sz w:val="17"/>
                <w:szCs w:val="17"/>
                <w:color w:val="auto"/>
              </w:rPr>
              <w:t>2021</w:t>
            </w:r>
          </w:p>
        </w:tc>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2,272</w:t>
            </w:r>
          </w:p>
        </w:tc>
      </w:tr>
      <w:tr>
        <w:trPr>
          <w:trHeight w:val="187"/>
        </w:trPr>
        <w:tc>
          <w:tcPr>
            <w:tcW w:w="2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2022</w:t>
            </w:r>
          </w:p>
        </w:tc>
        <w:tc>
          <w:tcPr>
            <w:tcW w:w="5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2,340</w:t>
            </w:r>
          </w:p>
        </w:tc>
      </w:tr>
      <w:tr>
        <w:trPr>
          <w:trHeight w:val="187"/>
        </w:trPr>
        <w:tc>
          <w:tcPr>
            <w:tcW w:w="2780" w:type="dxa"/>
            <w:vAlign w:val="bottom"/>
          </w:tcPr>
          <w:p>
            <w:pPr>
              <w:spacing w:after="0" w:line="187" w:lineRule="exact"/>
              <w:rPr>
                <w:sz w:val="20"/>
                <w:szCs w:val="20"/>
                <w:color w:val="auto"/>
              </w:rPr>
            </w:pPr>
            <w:r>
              <w:rPr>
                <w:rFonts w:ascii="Arial" w:cs="Arial" w:eastAsia="Arial" w:hAnsi="Arial"/>
                <w:sz w:val="17"/>
                <w:szCs w:val="17"/>
                <w:color w:val="auto"/>
              </w:rPr>
              <w:t>2023</w:t>
            </w:r>
          </w:p>
        </w:tc>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2,410</w:t>
            </w:r>
          </w:p>
        </w:tc>
      </w:tr>
      <w:tr>
        <w:trPr>
          <w:trHeight w:val="187"/>
        </w:trPr>
        <w:tc>
          <w:tcPr>
            <w:tcW w:w="2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2024</w:t>
            </w:r>
          </w:p>
        </w:tc>
        <w:tc>
          <w:tcPr>
            <w:tcW w:w="5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2,483</w:t>
            </w:r>
          </w:p>
        </w:tc>
      </w:tr>
      <w:tr>
        <w:trPr>
          <w:trHeight w:val="187"/>
        </w:trPr>
        <w:tc>
          <w:tcPr>
            <w:tcW w:w="8700" w:type="dxa"/>
            <w:vAlign w:val="bottom"/>
            <w:gridSpan w:val="2"/>
          </w:tcPr>
          <w:p>
            <w:pPr>
              <w:spacing w:after="0" w:line="187" w:lineRule="exact"/>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8,833</w:t>
            </w:r>
          </w:p>
        </w:tc>
      </w:tr>
      <w:tr>
        <w:trPr>
          <w:trHeight w:val="27"/>
        </w:trPr>
        <w:tc>
          <w:tcPr>
            <w:tcW w:w="27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87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Total lease payments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20,544</w:t>
            </w:r>
          </w:p>
        </w:tc>
      </w:tr>
      <w:tr>
        <w:trPr>
          <w:trHeight w:val="187"/>
        </w:trPr>
        <w:tc>
          <w:tcPr>
            <w:tcW w:w="8700" w:type="dxa"/>
            <w:vAlign w:val="bottom"/>
            <w:gridSpan w:val="2"/>
          </w:tcPr>
          <w:p>
            <w:pPr>
              <w:spacing w:after="0" w:line="187" w:lineRule="exact"/>
              <w:rPr>
                <w:sz w:val="20"/>
                <w:szCs w:val="20"/>
                <w:color w:val="auto"/>
              </w:rPr>
            </w:pPr>
            <w:r>
              <w:rPr>
                <w:rFonts w:ascii="Arial" w:cs="Arial" w:eastAsia="Arial" w:hAnsi="Arial"/>
                <w:sz w:val="17"/>
                <w:szCs w:val="17"/>
                <w:color w:val="auto"/>
              </w:rPr>
              <w:t>Less imputed interest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60"/>
              <w:spacing w:after="0" w:line="187" w:lineRule="exact"/>
              <w:rPr>
                <w:sz w:val="20"/>
                <w:szCs w:val="20"/>
                <w:color w:val="auto"/>
              </w:rPr>
            </w:pPr>
            <w:r>
              <w:rPr>
                <w:rFonts w:ascii="Arial" w:cs="Arial" w:eastAsia="Arial" w:hAnsi="Arial"/>
                <w:sz w:val="17"/>
                <w:szCs w:val="17"/>
                <w:color w:val="auto"/>
              </w:rPr>
              <w:t>(6,795)</w:t>
            </w:r>
          </w:p>
        </w:tc>
      </w:tr>
      <w:tr>
        <w:trPr>
          <w:trHeight w:val="27"/>
        </w:trPr>
        <w:tc>
          <w:tcPr>
            <w:tcW w:w="27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87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Total operating lease liabilities at December 31, 2019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13,749</w:t>
            </w:r>
          </w:p>
        </w:tc>
      </w:tr>
      <w:tr>
        <w:trPr>
          <w:trHeight w:val="20"/>
        </w:trPr>
        <w:tc>
          <w:tcPr>
            <w:tcW w:w="27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278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64"/>
        </w:trPr>
        <w:tc>
          <w:tcPr>
            <w:tcW w:w="2780" w:type="dxa"/>
            <w:vAlign w:val="bottom"/>
          </w:tcPr>
          <w:p>
            <w:pPr>
              <w:spacing w:after="0"/>
              <w:rPr>
                <w:sz w:val="24"/>
                <w:szCs w:val="24"/>
                <w:color w:val="auto"/>
              </w:rPr>
            </w:pPr>
          </w:p>
        </w:tc>
        <w:tc>
          <w:tcPr>
            <w:tcW w:w="5920" w:type="dxa"/>
            <w:vAlign w:val="bottom"/>
          </w:tcPr>
          <w:p>
            <w:pPr>
              <w:ind w:left="2680"/>
              <w:spacing w:after="0"/>
              <w:rPr>
                <w:sz w:val="20"/>
                <w:szCs w:val="20"/>
                <w:color w:val="auto"/>
              </w:rPr>
            </w:pPr>
            <w:r>
              <w:rPr>
                <w:rFonts w:ascii="Arial" w:cs="Arial" w:eastAsia="Arial" w:hAnsi="Arial"/>
                <w:sz w:val="16"/>
                <w:szCs w:val="16"/>
                <w:color w:val="auto"/>
              </w:rPr>
              <w:t>F-15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consisted of the following as of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60" w:type="dxa"/>
            <w:vAlign w:val="bottom"/>
          </w:tcPr>
          <w:p>
            <w:pPr>
              <w:spacing w:after="0"/>
              <w:rPr>
                <w:sz w:val="15"/>
                <w:szCs w:val="15"/>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98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9"/>
              <w:spacing w:after="0" w:line="154"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8"/>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1"/>
        </w:trPr>
        <w:tc>
          <w:tcPr>
            <w:tcW w:w="98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Accrued compensation and benefits</w:t>
            </w:r>
          </w:p>
        </w:tc>
        <w:tc>
          <w:tcPr>
            <w:tcW w:w="5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6"/>
              </w:rPr>
              <w:t>$1,691</w:t>
            </w: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6"/>
              </w:rPr>
              <w:t>$3,048</w:t>
            </w:r>
          </w:p>
        </w:tc>
        <w:tc>
          <w:tcPr>
            <w:tcW w:w="60" w:type="dxa"/>
            <w:vAlign w:val="bottom"/>
            <w:shd w:val="clear" w:color="auto" w:fill="CCEEFF"/>
          </w:tcPr>
          <w:p>
            <w:pPr>
              <w:spacing w:after="0"/>
              <w:rPr>
                <w:sz w:val="15"/>
                <w:szCs w:val="15"/>
                <w:color w:val="auto"/>
              </w:rPr>
            </w:pPr>
          </w:p>
        </w:tc>
      </w:tr>
      <w:tr>
        <w:trPr>
          <w:trHeight w:val="187"/>
        </w:trPr>
        <w:tc>
          <w:tcPr>
            <w:tcW w:w="9860" w:type="dxa"/>
            <w:vAlign w:val="bottom"/>
          </w:tcPr>
          <w:p>
            <w:pPr>
              <w:spacing w:after="0" w:line="187" w:lineRule="exact"/>
              <w:rPr>
                <w:sz w:val="20"/>
                <w:szCs w:val="20"/>
                <w:color w:val="auto"/>
              </w:rPr>
            </w:pPr>
            <w:r>
              <w:rPr>
                <w:rFonts w:ascii="Arial" w:cs="Arial" w:eastAsia="Arial" w:hAnsi="Arial"/>
                <w:sz w:val="17"/>
                <w:szCs w:val="17"/>
                <w:color w:val="auto"/>
              </w:rPr>
              <w:t>Accrued professional fees</w:t>
            </w:r>
          </w:p>
        </w:tc>
        <w:tc>
          <w:tcPr>
            <w:tcW w:w="80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541</w:t>
            </w:r>
          </w:p>
        </w:tc>
        <w:tc>
          <w:tcPr>
            <w:tcW w:w="58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728</w:t>
            </w:r>
          </w:p>
        </w:tc>
      </w:tr>
      <w:tr>
        <w:trPr>
          <w:trHeight w:val="187"/>
        </w:trPr>
        <w:tc>
          <w:tcPr>
            <w:tcW w:w="98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Accrued research and development</w:t>
            </w:r>
          </w:p>
        </w:tc>
        <w:tc>
          <w:tcPr>
            <w:tcW w:w="80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336</w:t>
            </w:r>
          </w:p>
        </w:tc>
        <w:tc>
          <w:tcPr>
            <w:tcW w:w="5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2,615</w:t>
            </w:r>
          </w:p>
        </w:tc>
      </w:tr>
      <w:tr>
        <w:trPr>
          <w:trHeight w:val="187"/>
        </w:trPr>
        <w:tc>
          <w:tcPr>
            <w:tcW w:w="9860" w:type="dxa"/>
            <w:vAlign w:val="bottom"/>
          </w:tcPr>
          <w:p>
            <w:pPr>
              <w:spacing w:after="0" w:line="187" w:lineRule="exact"/>
              <w:rPr>
                <w:sz w:val="20"/>
                <w:szCs w:val="20"/>
                <w:color w:val="auto"/>
              </w:rPr>
            </w:pPr>
            <w:r>
              <w:rPr>
                <w:rFonts w:ascii="Arial" w:cs="Arial" w:eastAsia="Arial" w:hAnsi="Arial"/>
                <w:sz w:val="17"/>
                <w:szCs w:val="17"/>
                <w:color w:val="auto"/>
              </w:rPr>
              <w:t>Other</w:t>
            </w:r>
          </w:p>
        </w:tc>
        <w:tc>
          <w:tcPr>
            <w:tcW w:w="80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384</w:t>
            </w:r>
          </w:p>
        </w:tc>
        <w:tc>
          <w:tcPr>
            <w:tcW w:w="58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280</w:t>
            </w:r>
          </w:p>
        </w:tc>
      </w:tr>
      <w:tr>
        <w:trPr>
          <w:trHeight w:val="27"/>
        </w:trPr>
        <w:tc>
          <w:tcPr>
            <w:tcW w:w="9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98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accrued expenses and other current liabilities</w:t>
            </w:r>
          </w:p>
        </w:tc>
        <w:tc>
          <w:tcPr>
            <w:tcW w:w="80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2,952</w:t>
            </w:r>
          </w:p>
        </w:tc>
        <w:tc>
          <w:tcPr>
            <w:tcW w:w="5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6,671</w:t>
            </w:r>
          </w:p>
        </w:tc>
      </w:tr>
      <w:tr>
        <w:trPr>
          <w:trHeight w:val="20"/>
        </w:trPr>
        <w:tc>
          <w:tcPr>
            <w:tcW w:w="9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9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and License Agreements</w:t>
      </w:r>
    </w:p>
    <w:p>
      <w:pPr>
        <w:spacing w:after="0" w:line="71"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following table summarizes the balance sheet and income statement impact of the collaboration and license agreements on the Company’s consolidated balance sheets and consolidated statement of operations and comprehensive loss as of and for the year ended December 31, 2018 and 2019:</w:t>
      </w:r>
    </w:p>
    <w:p>
      <w:pPr>
        <w:spacing w:after="0" w:line="1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Financial information related to the collaboration and license agreements consisted of the following as of and for the years ended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YEAR ENDED DECEMBER 31, 2018</w:t>
            </w: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2"/>
                <w:szCs w:val="12"/>
                <w:color w:val="auto"/>
              </w:rPr>
            </w:pPr>
          </w:p>
        </w:tc>
        <w:tc>
          <w:tcPr>
            <w:tcW w:w="10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ACCOUNTS</w:t>
            </w:r>
          </w:p>
        </w:tc>
        <w:tc>
          <w:tcPr>
            <w:tcW w:w="420" w:type="dxa"/>
            <w:vAlign w:val="bottom"/>
          </w:tcPr>
          <w:p>
            <w:pPr>
              <w:spacing w:after="0"/>
              <w:rPr>
                <w:sz w:val="13"/>
                <w:szCs w:val="13"/>
                <w:color w:val="auto"/>
              </w:rPr>
            </w:pPr>
          </w:p>
        </w:tc>
        <w:tc>
          <w:tcPr>
            <w:tcW w:w="14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COLLABORATION</w:t>
            </w:r>
          </w:p>
        </w:tc>
        <w:tc>
          <w:tcPr>
            <w:tcW w:w="20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OF</w:t>
            </w:r>
          </w:p>
        </w:tc>
        <w:tc>
          <w:tcPr>
            <w:tcW w:w="220" w:type="dxa"/>
            <w:vAlign w:val="bottom"/>
          </w:tcPr>
          <w:p>
            <w:pPr>
              <w:spacing w:after="0"/>
              <w:rPr>
                <w:sz w:val="13"/>
                <w:szCs w:val="13"/>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9"/>
              </w:rPr>
              <w:t>RECEIVABLE</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81"/>
        </w:trPr>
        <w:tc>
          <w:tcPr>
            <w:tcW w:w="496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7"/>
                <w:szCs w:val="17"/>
                <w:color w:val="auto"/>
              </w:rPr>
              <w:t>Original Roche Agreement</w:t>
            </w:r>
          </w:p>
        </w:tc>
        <w:tc>
          <w:tcPr>
            <w:tcW w:w="2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9,112</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60" w:type="dxa"/>
            <w:vAlign w:val="bottom"/>
            <w:gridSpan w:val="2"/>
          </w:tcPr>
          <w:p>
            <w:pPr>
              <w:spacing w:after="0" w:line="187" w:lineRule="exact"/>
              <w:rPr>
                <w:sz w:val="20"/>
                <w:szCs w:val="20"/>
                <w:color w:val="auto"/>
              </w:rPr>
            </w:pPr>
            <w:r>
              <w:rPr>
                <w:rFonts w:ascii="Arial" w:cs="Arial" w:eastAsia="Arial" w:hAnsi="Arial"/>
                <w:sz w:val="17"/>
                <w:szCs w:val="17"/>
                <w:color w:val="auto"/>
              </w:rPr>
              <w:t>Restated Roche Agreement</w:t>
            </w:r>
          </w:p>
        </w:tc>
        <w:tc>
          <w:tcPr>
            <w:tcW w:w="240" w:type="dxa"/>
            <w:vAlign w:val="bottom"/>
          </w:tcPr>
          <w:p>
            <w:pPr>
              <w:spacing w:after="0"/>
              <w:rPr>
                <w:sz w:val="16"/>
                <w:szCs w:val="16"/>
                <w:color w:val="auto"/>
              </w:rPr>
            </w:pPr>
          </w:p>
        </w:tc>
        <w:tc>
          <w:tcPr>
            <w:tcW w:w="68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40,000</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6,409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39,949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46,358</w:t>
            </w:r>
          </w:p>
        </w:tc>
        <w:tc>
          <w:tcPr>
            <w:tcW w:w="0" w:type="dxa"/>
            <w:vAlign w:val="bottom"/>
          </w:tcPr>
          <w:p>
            <w:pPr>
              <w:spacing w:after="0"/>
              <w:rPr>
                <w:sz w:val="1"/>
                <w:szCs w:val="1"/>
                <w:color w:val="auto"/>
              </w:rPr>
            </w:pPr>
          </w:p>
        </w:tc>
      </w:tr>
      <w:tr>
        <w:trPr>
          <w:trHeight w:val="187"/>
        </w:trPr>
        <w:tc>
          <w:tcPr>
            <w:tcW w:w="496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Biogen License Agreement</w:t>
            </w:r>
          </w:p>
        </w:tc>
        <w:tc>
          <w:tcPr>
            <w:tcW w:w="2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45,000</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10,000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35,000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45,000</w:t>
            </w:r>
          </w:p>
        </w:tc>
        <w:tc>
          <w:tcPr>
            <w:tcW w:w="0" w:type="dxa"/>
            <w:vAlign w:val="bottom"/>
          </w:tcPr>
          <w:p>
            <w:pPr>
              <w:spacing w:after="0"/>
              <w:rPr>
                <w:sz w:val="1"/>
                <w:szCs w:val="1"/>
                <w:color w:val="auto"/>
              </w:rPr>
            </w:pPr>
          </w:p>
        </w:tc>
      </w:tr>
      <w:tr>
        <w:trPr>
          <w:trHeight w:val="187"/>
        </w:trPr>
        <w:tc>
          <w:tcPr>
            <w:tcW w:w="4960" w:type="dxa"/>
            <w:vAlign w:val="bottom"/>
            <w:gridSpan w:val="2"/>
          </w:tcPr>
          <w:p>
            <w:pPr>
              <w:spacing w:after="0" w:line="187" w:lineRule="exact"/>
              <w:rPr>
                <w:sz w:val="20"/>
                <w:szCs w:val="20"/>
                <w:color w:val="auto"/>
              </w:rPr>
            </w:pPr>
            <w:r>
              <w:rPr>
                <w:rFonts w:ascii="Arial" w:cs="Arial" w:eastAsia="Arial" w:hAnsi="Arial"/>
                <w:sz w:val="17"/>
                <w:szCs w:val="17"/>
                <w:color w:val="auto"/>
              </w:rPr>
              <w:t>Calico License Agreement</w:t>
            </w:r>
          </w:p>
        </w:tc>
        <w:tc>
          <w:tcPr>
            <w:tcW w:w="24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Arial" w:cs="Arial" w:eastAsia="Arial" w:hAnsi="Arial"/>
                <w:sz w:val="17"/>
                <w:szCs w:val="17"/>
                <w:color w:val="auto"/>
              </w:rPr>
              <w:t>1,438</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line="187" w:lineRule="exact"/>
              <w:rPr>
                <w:sz w:val="20"/>
                <w:szCs w:val="20"/>
                <w:color w:val="auto"/>
              </w:rPr>
            </w:pPr>
            <w:r>
              <w:rPr>
                <w:rFonts w:ascii="Arial" w:cs="Arial" w:eastAsia="Arial" w:hAnsi="Arial"/>
                <w:sz w:val="17"/>
                <w:szCs w:val="17"/>
                <w:color w:val="auto"/>
              </w:rPr>
              <w:t>10,252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line="187" w:lineRule="exact"/>
              <w:rPr>
                <w:sz w:val="20"/>
                <w:szCs w:val="20"/>
                <w:color w:val="auto"/>
              </w:rPr>
            </w:pPr>
            <w:r>
              <w:rPr>
                <w:rFonts w:ascii="Arial" w:cs="Arial" w:eastAsia="Arial" w:hAnsi="Arial"/>
                <w:sz w:val="17"/>
                <w:szCs w:val="17"/>
                <w:color w:val="auto"/>
              </w:rPr>
              <w:t>2,400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Arial" w:cs="Arial" w:eastAsia="Arial" w:hAnsi="Arial"/>
                <w:sz w:val="17"/>
                <w:szCs w:val="17"/>
                <w:color w:val="auto"/>
              </w:rPr>
              <w:t>2,900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5,300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86,438</w:t>
            </w: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7"/>
              <w:spacing w:after="0" w:line="187"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19,364</w:t>
            </w:r>
          </w:p>
        </w:tc>
        <w:tc>
          <w:tcPr>
            <w:tcW w:w="380" w:type="dxa"/>
            <w:vAlign w:val="bottom"/>
            <w:gridSpan w:val="2"/>
            <w:shd w:val="clear" w:color="auto" w:fill="CCEEFF"/>
          </w:tcPr>
          <w:p>
            <w:pPr>
              <w:ind w:left="200"/>
              <w:spacing w:after="0" w:line="187"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18,809</w:t>
            </w:r>
          </w:p>
        </w:tc>
        <w:tc>
          <w:tcPr>
            <w:tcW w:w="340" w:type="dxa"/>
            <w:vAlign w:val="bottom"/>
            <w:gridSpan w:val="2"/>
            <w:shd w:val="clear" w:color="auto" w:fill="CCEEFF"/>
          </w:tcPr>
          <w:p>
            <w:pPr>
              <w:ind w:left="220"/>
              <w:spacing w:after="0" w:line="187"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77,849</w:t>
            </w:r>
          </w:p>
        </w:tc>
        <w:tc>
          <w:tcPr>
            <w:tcW w:w="340" w:type="dxa"/>
            <w:vAlign w:val="bottom"/>
            <w:gridSpan w:val="2"/>
            <w:shd w:val="clear" w:color="auto" w:fill="CCEEFF"/>
          </w:tcPr>
          <w:p>
            <w:pPr>
              <w:ind w:left="22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96,658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YEAR ENDED DECEMBER 31, 2019</w:t>
            </w: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2"/>
                <w:szCs w:val="12"/>
                <w:color w:val="auto"/>
              </w:rPr>
            </w:pPr>
          </w:p>
        </w:tc>
        <w:tc>
          <w:tcPr>
            <w:tcW w:w="1000" w:type="dxa"/>
            <w:vAlign w:val="bottom"/>
            <w:gridSpan w:val="3"/>
          </w:tcPr>
          <w:p>
            <w:pPr>
              <w:jc w:val="center"/>
              <w:ind w:right="220"/>
              <w:spacing w:after="0" w:line="139" w:lineRule="exact"/>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ACCOUNTS</w:t>
            </w:r>
          </w:p>
        </w:tc>
        <w:tc>
          <w:tcPr>
            <w:tcW w:w="420" w:type="dxa"/>
            <w:vAlign w:val="bottom"/>
          </w:tcPr>
          <w:p>
            <w:pPr>
              <w:spacing w:after="0"/>
              <w:rPr>
                <w:sz w:val="13"/>
                <w:szCs w:val="13"/>
                <w:color w:val="auto"/>
              </w:rPr>
            </w:pPr>
          </w:p>
        </w:tc>
        <w:tc>
          <w:tcPr>
            <w:tcW w:w="14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COLLABORATION</w:t>
            </w:r>
          </w:p>
        </w:tc>
        <w:tc>
          <w:tcPr>
            <w:tcW w:w="20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OF</w:t>
            </w:r>
          </w:p>
        </w:tc>
        <w:tc>
          <w:tcPr>
            <w:tcW w:w="220" w:type="dxa"/>
            <w:vAlign w:val="bottom"/>
          </w:tcPr>
          <w:p>
            <w:pPr>
              <w:spacing w:after="0"/>
              <w:rPr>
                <w:sz w:val="13"/>
                <w:szCs w:val="13"/>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6"/>
        </w:trPr>
        <w:tc>
          <w:tcPr>
            <w:tcW w:w="4960" w:type="dxa"/>
            <w:vAlign w:val="bottom"/>
            <w:gridSpan w:val="2"/>
            <w:vMerge w:val="continue"/>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9"/>
              </w:rPr>
              <w:t>RECEIVABLE</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81"/>
        </w:trPr>
        <w:tc>
          <w:tcPr>
            <w:tcW w:w="45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Restated Roche Agreement</w:t>
            </w: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6,409</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12,164</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32,784</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44,948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60" w:type="dxa"/>
            <w:vAlign w:val="bottom"/>
            <w:gridSpan w:val="2"/>
          </w:tcPr>
          <w:p>
            <w:pPr>
              <w:spacing w:after="0" w:line="187" w:lineRule="exact"/>
              <w:rPr>
                <w:sz w:val="20"/>
                <w:szCs w:val="20"/>
                <w:color w:val="auto"/>
              </w:rPr>
            </w:pPr>
            <w:r>
              <w:rPr>
                <w:rFonts w:ascii="Arial" w:cs="Arial" w:eastAsia="Arial" w:hAnsi="Arial"/>
                <w:sz w:val="17"/>
                <w:szCs w:val="17"/>
                <w:color w:val="auto"/>
              </w:rPr>
              <w:t>Biogen License Agreement</w:t>
            </w:r>
          </w:p>
        </w:tc>
        <w:tc>
          <w:tcPr>
            <w:tcW w:w="240" w:type="dxa"/>
            <w:vAlign w:val="bottom"/>
          </w:tcPr>
          <w:p>
            <w:pPr>
              <w:spacing w:after="0"/>
              <w:rPr>
                <w:sz w:val="16"/>
                <w:szCs w:val="16"/>
                <w:color w:val="auto"/>
              </w:rPr>
            </w:pPr>
          </w:p>
        </w:tc>
        <w:tc>
          <w:tcPr>
            <w:tcW w:w="68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2,432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6,141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36,934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43,075</w:t>
            </w:r>
          </w:p>
        </w:tc>
        <w:tc>
          <w:tcPr>
            <w:tcW w:w="0" w:type="dxa"/>
            <w:vAlign w:val="bottom"/>
          </w:tcPr>
          <w:p>
            <w:pPr>
              <w:spacing w:after="0"/>
              <w:rPr>
                <w:sz w:val="1"/>
                <w:szCs w:val="1"/>
                <w:color w:val="auto"/>
              </w:rPr>
            </w:pPr>
          </w:p>
        </w:tc>
      </w:tr>
      <w:tr>
        <w:trPr>
          <w:trHeight w:val="187"/>
        </w:trPr>
        <w:tc>
          <w:tcPr>
            <w:tcW w:w="496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Calico License Agreement</w:t>
            </w:r>
          </w:p>
        </w:tc>
        <w:tc>
          <w:tcPr>
            <w:tcW w:w="2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4,348</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12,540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2,400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3,000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5,400</w:t>
            </w: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4,348</w:t>
            </w:r>
          </w:p>
        </w:tc>
        <w:tc>
          <w:tcPr>
            <w:tcW w:w="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21,381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20,705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72,718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93,423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Roche Collaboration and License Agreement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Original Roche Agreement Structure</w:t>
      </w:r>
    </w:p>
    <w:p>
      <w:pPr>
        <w:spacing w:after="0" w:line="3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March 2016, the Company entered into a license agreement (the “Original Roche Agreement”) with Hoffmann-La Roche Ltd and Hoffmann-La Roche Inc. (“Roche”). Pursuant to the terms of the Original Roche Agreement, the Company and Roche agreed to collaborate on research activities to develop novel treatments in the field of targeted protein degradation (“TPD”) using the Company’s degrader technology. Under the terms of the Original Roche Agreement, the Company initially developed TPD therapeutics that utilize degrader technology for up to ten target proteins until the earlier of the exercise of the option right or termination for the last available target. On a target-by target basis, after successful completion of a defined preclinical development phase, Roche had an exclusive option to pursue further clinical development and commercialization.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240"/>
          </w:cols>
          <w:pgMar w:left="320" w:top="454" w:right="3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exchange for a $15.0 million nonrefundable upfront payment and additional fees for dedicated personnel, the Company performed initial research and development services for drug discovery and preclinical development, provided a non-exclusive research and development license to its technology and participated on the joint research committee (the “Roche JRC”). For each target option exercised by Roche, the Company was eligible to receive up to $277.0 million in research, development and commercial milestone payments, with the commercial milestones being dependent on underlying net sales. Roche was also required to pay the Company up to $150.0 million in one-time sales-based payments for the first product to achieve certain levels of net sales. In addition, Roche was required to pay the Company royalties, at percentages from the mid-single digits to the low double-digits, on a licensed product-by licensed product basis, on worldwide net product sales. The research and development was to be performed by the Company over an estimated period of approximately 42 months per target according to the research plan. Roche also reimbursed the Company for up to five full-time equivalents (“FTEs”) (“FTE Funding”) per target unless otherwise agreed upon by the Roche JRC.</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Roche Agreement Structure</w:t>
      </w:r>
    </w:p>
    <w:p>
      <w:pPr>
        <w:spacing w:after="0" w:line="39"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On December 22, 2018, the Company and Roche executed the Amended and Restated Roche License Agreement (the “Restated Roche Agreement”). Under the Restated Roche Agreement, the Company has a more active role in the manufacturing and commercialization of the targets, whereby if certain co-development and co-detailing rights are opted into by the Company, the parties will split future development costs in return for the rights to a larger share of future earnings from commercialization of the target. The target structure was revised to six potential targets, three of which were nominated as of the execution of the Restated Roche Agreement and represent continuations of the initial preclinical research and development efforts begun under the Original Roche Agreement and three additional targets that were not nominated as of the execution of the Restated Roche Agreement. Roche maintained its option rights to license and commercialize these six targets. For certain targets, Roche is required to pay the Company fees of $2.0 million and $3.0 million upon the progression of targets to the lead series identification achievement and good laboratory practice (“GLP”) toxicology (“Tox”) study phase, respectively. For each target option exercised by Roche, the Company is eligible to receive up to $275.0 million in research and development milestones per target and commercial milestone payments, with the commercial milestones being dependent on underlying net sales. Roche is also required to pay the Company up to $150.0 million per target in one-time sales-based payments if the target achieves certain levels of net sales. In addition, Roche is required to pay the Company royalties, at percentages from the mid-single digits to the low double-digits, on a licensed product-by licensed product basis, on worldwide net product sales.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Under the Restated Roche Agreement:</w:t>
      </w:r>
    </w:p>
    <w:p>
      <w:pPr>
        <w:spacing w:after="0" w:line="192" w:lineRule="exact"/>
        <w:rPr>
          <w:sz w:val="20"/>
          <w:szCs w:val="20"/>
          <w:color w:val="auto"/>
        </w:rPr>
      </w:pPr>
    </w:p>
    <w:p>
      <w:pPr>
        <w:ind w:left="880" w:hanging="432"/>
        <w:spacing w:after="0"/>
        <w:tabs>
          <w:tab w:leader="none" w:pos="880" w:val="left"/>
        </w:tabs>
        <w:numPr>
          <w:ilvl w:val="0"/>
          <w:numId w:val="106"/>
        </w:numPr>
        <w:rPr>
          <w:rFonts w:ascii="MS PGothic" w:cs="MS PGothic" w:eastAsia="MS PGothic" w:hAnsi="MS PGothic"/>
          <w:sz w:val="12"/>
          <w:szCs w:val="12"/>
          <w:color w:val="auto"/>
        </w:rPr>
      </w:pPr>
      <w:r>
        <w:rPr>
          <w:rFonts w:ascii="Arial" w:cs="Arial" w:eastAsia="Arial" w:hAnsi="Arial"/>
          <w:sz w:val="17"/>
          <w:szCs w:val="17"/>
          <w:color w:val="auto"/>
        </w:rPr>
        <w:t>the Company received additional upfront consideration of $40.0 million from Roche;</w:t>
      </w:r>
    </w:p>
    <w:p>
      <w:pPr>
        <w:spacing w:after="0" w:line="33" w:lineRule="exact"/>
        <w:rPr>
          <w:rFonts w:ascii="MS PGothic" w:cs="MS PGothic" w:eastAsia="MS PGothic" w:hAnsi="MS PGothic"/>
          <w:sz w:val="12"/>
          <w:szCs w:val="12"/>
          <w:color w:val="auto"/>
        </w:rPr>
      </w:pPr>
    </w:p>
    <w:p>
      <w:pPr>
        <w:ind w:left="880" w:right="580" w:hanging="432"/>
        <w:spacing w:after="0" w:line="254" w:lineRule="auto"/>
        <w:tabs>
          <w:tab w:leader="none" w:pos="880" w:val="left"/>
        </w:tabs>
        <w:numPr>
          <w:ilvl w:val="0"/>
          <w:numId w:val="106"/>
        </w:numPr>
        <w:rPr>
          <w:rFonts w:ascii="MS PGothic" w:cs="MS PGothic" w:eastAsia="MS PGothic" w:hAnsi="MS PGothic"/>
          <w:sz w:val="12"/>
          <w:szCs w:val="12"/>
          <w:color w:val="auto"/>
        </w:rPr>
      </w:pPr>
      <w:r>
        <w:rPr>
          <w:rFonts w:ascii="Arial" w:cs="Arial" w:eastAsia="Arial" w:hAnsi="Arial"/>
          <w:sz w:val="17"/>
          <w:szCs w:val="17"/>
          <w:color w:val="auto"/>
        </w:rPr>
        <w:t>the Company has an option for co-development and co-detailing rights, whereby it would be required to provide additional financial support in return for the rights to a larger share of future earnings from commercializing one or more of the six targets;</w:t>
      </w:r>
    </w:p>
    <w:p>
      <w:pPr>
        <w:ind w:left="880" w:right="560" w:hanging="432"/>
        <w:spacing w:after="0" w:line="254" w:lineRule="auto"/>
        <w:tabs>
          <w:tab w:leader="none" w:pos="880" w:val="left"/>
        </w:tabs>
        <w:numPr>
          <w:ilvl w:val="0"/>
          <w:numId w:val="106"/>
        </w:numPr>
        <w:rPr>
          <w:rFonts w:ascii="MS PGothic" w:cs="MS PGothic" w:eastAsia="MS PGothic" w:hAnsi="MS PGothic"/>
          <w:sz w:val="12"/>
          <w:szCs w:val="12"/>
          <w:color w:val="auto"/>
        </w:rPr>
      </w:pPr>
      <w:r>
        <w:rPr>
          <w:rFonts w:ascii="Arial" w:cs="Arial" w:eastAsia="Arial" w:hAnsi="Arial"/>
          <w:sz w:val="17"/>
          <w:szCs w:val="17"/>
          <w:color w:val="auto"/>
        </w:rPr>
        <w:t>Roche will no longer provide FTE reimbursement; rather, it will make annual research plan payments of $1.0 million for each active research plan; and</w:t>
      </w:r>
    </w:p>
    <w:p>
      <w:pPr>
        <w:ind w:left="880" w:right="40" w:hanging="432"/>
        <w:spacing w:after="0" w:line="249" w:lineRule="auto"/>
        <w:tabs>
          <w:tab w:leader="none" w:pos="880" w:val="left"/>
        </w:tabs>
        <w:numPr>
          <w:ilvl w:val="0"/>
          <w:numId w:val="106"/>
        </w:numPr>
        <w:rPr>
          <w:rFonts w:ascii="MS PGothic" w:cs="MS PGothic" w:eastAsia="MS PGothic" w:hAnsi="MS PGothic"/>
          <w:sz w:val="12"/>
          <w:szCs w:val="12"/>
          <w:color w:val="auto"/>
        </w:rPr>
      </w:pPr>
      <w:r>
        <w:rPr>
          <w:rFonts w:ascii="Arial" w:cs="Arial" w:eastAsia="Arial" w:hAnsi="Arial"/>
          <w:sz w:val="17"/>
          <w:szCs w:val="17"/>
          <w:color w:val="auto"/>
        </w:rPr>
        <w:t>Adjustments were made to the option exercise fees, whereby certain targets now have option exercise fees of $7.0 million to $12.0 million (those progressed up to Phase 1 or through the GLP Tox studies, respectively) and others have $20.0 million (those progressed through clinical trials).</w:t>
      </w:r>
    </w:p>
    <w:p>
      <w:pPr>
        <w:spacing w:after="0" w:line="11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collaboration is managed by a joint research committee. The Company has control over the committee and may terminate the Restated Roche Agreement on a target-by-target or product-by-product basis under several scenarios, upon at least 90 days’ prior written notice.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Roche Agreement Accounting</w:t>
      </w:r>
    </w:p>
    <w:p>
      <w:pPr>
        <w:spacing w:after="0" w:line="39"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The Restated Roche Agreement is a modification of the Original Roche Agreement under ASC 606 as both the scope and price of the contract were changed under the Restated Roche Agreement and new, distinct performance obligations were created for targets that have different standalone selling prices based on the Company’s revised obligations. The Restated Roche Agreement was not determined to be a separate contract for accounting purposes. The modification was accounted for as if it were a termination of the existing contract and the creation of a new contract, for which the unrecognized consideration from the Original Roche Agreement is added to the new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220"/>
          </w:cols>
          <w:pgMar w:left="320" w:top="454" w:right="3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transaction price promised as part of the Restated Roche Agreement and will be recognized as revenue prospectively, as the new performance obligations are satisfied. The Company made this determination after considering the performance obligations under the Restated Roche Agreement. When the amendment was signed, the contract was restructured such that the Company would pursue some of the same targets, but would have additional material responsibility to potentially develop the targets beyond the option exercise point, to either Phase 1 completion or to a point where the Company will exercise its co-development and co-detailing options and more fully share in the costs and future revenues. The $40.0 million upfront payment, $13.5 million of expected research plan funding payments, plus $6.4 million of remaining deferred revenue from the Original Roche Agreement represent the transaction price as of the outset of the arrangement.</w:t>
      </w:r>
    </w:p>
    <w:p>
      <w:pPr>
        <w:spacing w:after="0" w:line="120"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Roche, is a customer. The Company identified the following promises at the outset of the Restated Roche Agreement: (1) a non-exclusive royalty-free license to use the Company’s intellectual property to conduct research and development activities; (2) research and development services under the research plan for the three initial targets; (3) participation on the Roche JRC; (4) option rights to initiate a research plan for three additional targets; (5) an option to obtain a non-exclusive commercial license to intellectual property and know-how generated from the collaboration, subject to certain exclusivity requirements; (6) option rights to develop, commercialize and manufacture products related to any of the six targets; and (7) rights for Roche to substitute targets prior to completion of a research plan, limited to six exchanges in total across the arrangement and subject to approval by the Roche JRC. The Roche JRC has equal representation from both parties, but the Company holds final decision-making authority in the event of a disagreement until the time at which Roche licenses a target and leads development efforts.</w:t>
      </w:r>
    </w:p>
    <w:p>
      <w:pPr>
        <w:spacing w:after="0" w:line="12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six potential targets were determined to be distinct from one another, as Roche can derive benefit from each target independent of the others. For each target, the Company determined that the research and development license and research and development services were not distinct from one another, because the research and development services are essential to the license. Roche would receive little to no economic benefit from the license if it did not obtain the research services. Participation on the Roche JRC to oversee the research and development activities and the technology transfer associated with the Original Roche Agreement were determined to be quantitatively and qualitatively immaterial. The Company evaluated Roche’s option rights to initiate a research plan for three additional targets as well as the option rights to license and commercialize each target to determine whether they provide Roche with any material rights. The Company concluded that each of the options were issued with an option exercise fee that represented a significant and incremental discount and therefore provide material rights for six of the six targets—three material rights from the option to license the three initial targets at the end of their research terms and three material rights from the option to initiate a research plan for the three additional targets along with the option to license such at the end of their research terms. The consideration allocated to the option rights to initiate the three additional targets is deferred until the underlying option is exercised, at which point the Company will begin recognizing revenue for these targets. The non-exclusive, limited commercial license to the intellectual property and know-how generated from the collaboration was determined to be immaterial and, as such, no consideration was allocated to it.</w:t>
      </w:r>
    </w:p>
    <w:p>
      <w:pPr>
        <w:spacing w:after="0" w:line="127"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Based on these assessments, the Company identified twelve performance obligations, including three research services performance obligations, six material rights for the options to purchase a commercial license for six targets and three material rights for the option to initiate research services for the uninitiated three targets as of the outset of the arrangement. The first three performance obligations primarily comprise: (1) the non-exclusive research and development license and (2) the research and development services for the target, including the related substitution rights.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Company included the $40.0 million upfront payment, $13.5 million of expected research plan funding payments ($1.0 million per active target per year, for a maximum of $3.0 million per target), and $6.4 million of remaining deferred revenue from the Original Roche Agreement in the transaction price as of the outset of the arrangement. The Company also achieved a milestone for the identification of lead series for target 2 in April 2019, resulting in a milestone payment of $2.0 million, which was added to the transaction price and recognized cumulatively. The transaction price of $61.9 million was allocated to the performance obligations based on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240"/>
          </w:cols>
          <w:pgMar w:left="320" w:top="454" w:right="3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estimated stand-alone selling prices at the time of the amendment. For each performance obligation, the stand-alone selling price was determined considering the expected cost of the research and development services and a reasonable margin for the respective services. The material rights from the option rights were valued based on the estimated discount at which the option is priced and the Company’s estimated probability of the options’ exercise as of the time of the amendment.</w:t>
      </w:r>
    </w:p>
    <w:p>
      <w:pPr>
        <w:spacing w:after="0" w:line="118"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Company allocated the following amounts of the total transaction price to the performance obligations as of the amendment date, including the $2.0 million milestone achieved in April 2019:</w:t>
      </w:r>
    </w:p>
    <w:p>
      <w:pPr>
        <w:spacing w:after="0" w:line="53" w:lineRule="exact"/>
        <w:rPr>
          <w:sz w:val="20"/>
          <w:szCs w:val="20"/>
          <w:color w:val="auto"/>
        </w:rPr>
      </w:pPr>
    </w:p>
    <w:p>
      <w:pPr>
        <w:ind w:left="880" w:hanging="432"/>
        <w:spacing w:after="0"/>
        <w:tabs>
          <w:tab w:leader="none" w:pos="880" w:val="left"/>
        </w:tabs>
        <w:numPr>
          <w:ilvl w:val="0"/>
          <w:numId w:val="107"/>
        </w:numPr>
        <w:rPr>
          <w:rFonts w:ascii="MS PGothic" w:cs="MS PGothic" w:eastAsia="MS PGothic" w:hAnsi="MS PGothic"/>
          <w:sz w:val="12"/>
          <w:szCs w:val="12"/>
          <w:color w:val="auto"/>
        </w:rPr>
      </w:pPr>
      <w:r>
        <w:rPr>
          <w:rFonts w:ascii="Arial" w:cs="Arial" w:eastAsia="Arial" w:hAnsi="Arial"/>
          <w:sz w:val="17"/>
          <w:szCs w:val="17"/>
          <w:color w:val="auto"/>
        </w:rPr>
        <w:t>$29.0 million to the research and development performance obligations for targets 1-3; and</w:t>
      </w:r>
    </w:p>
    <w:p>
      <w:pPr>
        <w:spacing w:after="0" w:line="33" w:lineRule="exact"/>
        <w:rPr>
          <w:rFonts w:ascii="MS PGothic" w:cs="MS PGothic" w:eastAsia="MS PGothic" w:hAnsi="MS PGothic"/>
          <w:sz w:val="12"/>
          <w:szCs w:val="12"/>
          <w:color w:val="auto"/>
        </w:rPr>
      </w:pPr>
    </w:p>
    <w:p>
      <w:pPr>
        <w:ind w:left="880" w:right="100" w:hanging="432"/>
        <w:spacing w:after="0" w:line="254" w:lineRule="auto"/>
        <w:tabs>
          <w:tab w:leader="none" w:pos="880" w:val="left"/>
        </w:tabs>
        <w:numPr>
          <w:ilvl w:val="0"/>
          <w:numId w:val="107"/>
        </w:numPr>
        <w:rPr>
          <w:rFonts w:ascii="MS PGothic" w:cs="MS PGothic" w:eastAsia="MS PGothic" w:hAnsi="MS PGothic"/>
          <w:sz w:val="12"/>
          <w:szCs w:val="12"/>
          <w:color w:val="auto"/>
        </w:rPr>
      </w:pPr>
      <w:r>
        <w:rPr>
          <w:rFonts w:ascii="Arial" w:cs="Arial" w:eastAsia="Arial" w:hAnsi="Arial"/>
          <w:sz w:val="17"/>
          <w:szCs w:val="17"/>
          <w:color w:val="auto"/>
        </w:rPr>
        <w:t>$4.1 million to the three material rights, related to the three targets initiated at the outset of the Restated Roche Agreement, which will not begin revenue recognition until the option is exercised or expires.</w:t>
      </w:r>
    </w:p>
    <w:p>
      <w:pPr>
        <w:ind w:left="880" w:hanging="432"/>
        <w:spacing w:after="0"/>
        <w:tabs>
          <w:tab w:leader="none" w:pos="880" w:val="left"/>
        </w:tabs>
        <w:numPr>
          <w:ilvl w:val="0"/>
          <w:numId w:val="107"/>
        </w:numPr>
        <w:rPr>
          <w:rFonts w:ascii="MS PGothic" w:cs="MS PGothic" w:eastAsia="MS PGothic" w:hAnsi="MS PGothic"/>
          <w:sz w:val="12"/>
          <w:szCs w:val="12"/>
          <w:color w:val="auto"/>
        </w:rPr>
      </w:pPr>
      <w:r>
        <w:rPr>
          <w:rFonts w:ascii="Arial" w:cs="Arial" w:eastAsia="Arial" w:hAnsi="Arial"/>
          <w:sz w:val="17"/>
          <w:szCs w:val="17"/>
          <w:color w:val="auto"/>
        </w:rPr>
        <w:t>$28.8 million to the option to nominate targets 4-6 and the three material rights related to these options.</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Company will recognize the portion of the transaction price allocated to each of the research and development performance obligations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the performance obligation.</w:t>
      </w:r>
    </w:p>
    <w:p>
      <w:pPr>
        <w:spacing w:after="0" w:line="103"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Amounts due to the Company that have not yet been received are recorded as accounts receivable and amounts received that have not yet been recognized as revenue are recorded in deferred revenue on the Company’s consolidated balance sheet.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Biogen Collaboration Research and License Agreement</w:t>
      </w:r>
    </w:p>
    <w:p>
      <w:pPr>
        <w:spacing w:after="0" w:line="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December 2018, the Company entered into a collaboration research and license agreement (the “Biogen License Agreement”) with Biogen MA, Inc. (“Biogen”). Pursuant to the terms of the Biogen License Agreement, the Company and Biogen agreed to collaborate on research activities to develop novel treatments in the field of TPD using the Company’s degrader technology. Under the terms of the Biogen License Agreement, the Company will initially develop TPD therapeutics that utilize degrader technology for up to five target proteins over a period of 54 months. On a target-by-target basis, after successful completion of a defined target evaluation period, Biogen assumes full rights and responsibility to each degrader to meet certain criteria against a target. Biogen also has the option to pay an additional $62.5 million to extend the contract and select up to five additional targets for development.</w:t>
      </w:r>
    </w:p>
    <w:p>
      <w:pPr>
        <w:spacing w:after="0" w:line="121"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In exchange for the non-exclusive research license from Biogen as well as a $45.0 million nonrefundable upfront payment, the Company will grant a license to develop, commercialize and manufacture products related to each of the targets (which is contingent on not cancelling the contract), will perform initial research services for drug discovery, provide a non-exclusive research and commercial license to its intellectual property and will participate on the joint steering committee (the “Biogen JSC”). The Company will also be obligated to participate in early research activities for other potential targets (“Sandbox Activities”) at Biogen’s election up to a maximum amount; any work performed for these services will be reimbursed by Biogen, and Biogen will reimburse the Company for certain FTE costs. Biogen is also required to pay the Company up to $35.0 million per target in development milestones and $26.0 million per target in one-time sales-based payments for the first product to achieve certain levels of net sales. In addition, Biogen is required to pay the Company royalties on a licensed product-by-licensed product basis, on worldwide net product sales.</w:t>
      </w:r>
    </w:p>
    <w:p>
      <w:pPr>
        <w:spacing w:after="0" w:line="113"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The collaboration is managed by the Biogen JSC, which Biogen has control over, and Biogen may terminate the Biogen License Agreement on a target-by-target or product-by-product basis under several scenarios, upon at least 90 days’ prior written notice.</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nonrefundable upfront cash payment of $45.0 million is not creditable against any of the target development milestone fees. The research will be performed by the Company over 54 months according to the research plan approved by the Biogen JSC.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240"/>
          </w:cols>
          <w:pgMar w:left="320" w:top="454" w:right="3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Biogen License Agreement Accounting</w:t>
      </w:r>
    </w:p>
    <w:p>
      <w:pPr>
        <w:spacing w:after="0" w:line="4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Biogen, is a customer. The Company identified the following promises under the arrangement: (1) a non-exclusive, royalty-free license to use the Company’s intellectual property to conduct research activities; (2) an upfront license to develop, commercialize and manufacture products related to each of the targets (which is contingent on not cancelling the contract); (3) research services for preclinical activities under the research plan; (4) participation on the Biogen JSC; and (5) substitution rights for Biogen via “sandbox activities” to replace targets prior to a program reaching completion of a research plan, limited to five exchanges in total. Substitution is dependent on the original target failing to meet certain criteria; Biogen may only replace a target in this specific scenario. The Company also determined that Biogen’s ability to terminate the Agreement at-will with 90 days’ notice is not representative of a substantive purchase option to continue to the research and does not provide a material right in the form of a continuous renewal option.</w:t>
      </w:r>
    </w:p>
    <w:p>
      <w:pPr>
        <w:spacing w:after="0" w:line="115"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 determined that the licenses and research activities were not distinct from one another, as the licenses have limited value without the performance of the research activities by the Company. Participation on the Biogen JSC to oversee the research activities and the technology transfer associated with the Biogen License Agreement were determined to be quantitatively and qualitatively immaterial and therefore are excluded from performance obligations.</w:t>
      </w:r>
    </w:p>
    <w:p>
      <w:pPr>
        <w:spacing w:after="0" w:line="118"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Based on these assessments, the Company identified one performance obligation at the outset of the Biogen License Agreement, representing a combined performance obligation consisting of (1) the licenses, (2) the research activities for the target evaluation phase for all five targets and (3) the joint research plan phase for each target.</w:t>
      </w:r>
    </w:p>
    <w:p>
      <w:pPr>
        <w:spacing w:after="0" w:line="111" w:lineRule="exact"/>
        <w:rPr>
          <w:sz w:val="20"/>
          <w:szCs w:val="20"/>
          <w:color w:val="auto"/>
        </w:rPr>
      </w:pPr>
    </w:p>
    <w:p>
      <w:pPr>
        <w:jc w:val="both"/>
        <w:ind w:right="40"/>
        <w:spacing w:after="0" w:line="243" w:lineRule="auto"/>
        <w:rPr>
          <w:sz w:val="20"/>
          <w:szCs w:val="20"/>
          <w:color w:val="auto"/>
        </w:rPr>
      </w:pPr>
      <w:r>
        <w:rPr>
          <w:rFonts w:ascii="Arial" w:cs="Arial" w:eastAsia="Arial" w:hAnsi="Arial"/>
          <w:sz w:val="17"/>
          <w:szCs w:val="17"/>
          <w:color w:val="auto"/>
        </w:rPr>
        <w:t>The Company will recognize the transaction price as the research and development services are provided, using an input method, according to costs incurred as related to the research and development activities for the costs expected to be incurred in the future to satisfy that individual performance obligation. The transfer of control occurs over this time period and, in management’s judgment, is the best measure of progress towards satisfying the performance obligation.</w:t>
      </w: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Biogen also has the option to fund “sandbox activities” in exchange for consideration, whereby the Company will perform discovery-type research at Biogen’s election to develop other potential targets that may be used as replacement targets for the initially nominated targets or two additional targets under the Biogen Agreement. Revenues earned under this option, if initiated, will be recognized as services are performed and are not included in the transaction price. Sandbox research activities will be reimbursed on an FTE basis at market rates, which is adjusted for changes in the “Consumer Price Index” each year. The sandbox activities constitute additional research that can be purchased on an a la carte basis at an amount consistent with standalone selling price. The Company recognizes revenue as the services performed for the sandbox activities are performed, and recognized $0 and $0.5 million of revenue for the years ended December 31, 2018 and 2019, respectively, related to the sandbox activities.</w:t>
      </w:r>
    </w:p>
    <w:p>
      <w:pPr>
        <w:spacing w:after="0" w:line="120"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The Company recognizes FTE reimbursement related to sandbox activities as revenue as the hours are incurred each quarter. Amounts due to the Company that have not yet been received are recorded as accounts receivable and amounts received that have not yet been recognized as revenue are recorded in deferred revenue on the Company’s consolidated balance sheet.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Calico Collaboration and License Agreement</w:t>
      </w:r>
    </w:p>
    <w:p>
      <w:pPr>
        <w:spacing w:after="0" w:line="40" w:lineRule="exact"/>
        <w:rPr>
          <w:sz w:val="20"/>
          <w:szCs w:val="20"/>
          <w:color w:val="auto"/>
        </w:rPr>
      </w:pPr>
    </w:p>
    <w:p>
      <w:pPr>
        <w:jc w:val="both"/>
        <w:ind w:right="340"/>
        <w:spacing w:after="0" w:line="244" w:lineRule="auto"/>
        <w:rPr>
          <w:sz w:val="20"/>
          <w:szCs w:val="20"/>
          <w:color w:val="auto"/>
        </w:rPr>
      </w:pPr>
      <w:r>
        <w:rPr>
          <w:rFonts w:ascii="Arial" w:cs="Arial" w:eastAsia="Arial" w:hAnsi="Arial"/>
          <w:sz w:val="17"/>
          <w:szCs w:val="17"/>
          <w:color w:val="auto"/>
        </w:rPr>
        <w:t>In March 2017, the Company entered into a collaboration and license agreement (the “Calico License Agreement”) with Calico Life Sciences LLC (“Calico”) whereby the Company and Calico agreed to collaborate to develop and commercialize small molecule protein degraders for diseases of aging, including cancer for a five-year period ending in March 2022 (the “research term”).</w:t>
      </w:r>
    </w:p>
    <w:p>
      <w:pPr>
        <w:spacing w:after="0" w:line="116" w:lineRule="exact"/>
        <w:rPr>
          <w:sz w:val="20"/>
          <w:szCs w:val="20"/>
          <w:color w:val="auto"/>
        </w:rPr>
      </w:pPr>
    </w:p>
    <w:p>
      <w:pPr>
        <w:jc w:val="both"/>
        <w:ind w:right="220"/>
        <w:spacing w:after="0" w:line="250" w:lineRule="auto"/>
        <w:rPr>
          <w:sz w:val="20"/>
          <w:szCs w:val="20"/>
          <w:color w:val="auto"/>
        </w:rPr>
      </w:pPr>
      <w:r>
        <w:rPr>
          <w:rFonts w:ascii="Arial" w:cs="Arial" w:eastAsia="Arial" w:hAnsi="Arial"/>
          <w:sz w:val="17"/>
          <w:szCs w:val="17"/>
          <w:color w:val="auto"/>
        </w:rPr>
        <w:t>Under the terms of the Calico License Agreement, the Company will initially develop and commercialize small molecule protein degraders for up to five target proteins over the research term. On a target-by-target basis, after successful completion of a defined target evaluation period, Calico has an exclusive option to pursue further pre-clinical development and commercialization via a joint research plan for each target.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240"/>
          </w:cols>
          <w:pgMar w:left="320" w:top="454" w:right="3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Under the Calico License Agreement, Calico paid an upfront amount of $5.0 million and certain annual payments totaling $5.0 million through</w:t>
      </w:r>
    </w:p>
    <w:p>
      <w:pPr>
        <w:spacing w:after="0" w:line="1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June 30, 2020, and pays target initiation fees and reimburse the Company for a number of FTEs, depending on the stage of the research, at specified market rates. Upon completion of the required discovery research and development services on any target, Calico is entitled to pursue commercial development of that target. The Company will perform initial research services for drug discovery and preclinical development, provide a non-exclusive research and commercial license to its IP and will participate on the Calico joint research committee (the “CJRC”). For each target, the Company is eligible to receive up to $132.0 million in potential research, development and commercial milestone payments, on sales of all products resulting from the collaboration efforts. Calico is also required to pay the Company up to $65.0 million in one-time sales-based payments for the first product to achieve certain levels of net sales. In addition, Calico is required to pay the Company royalties, at percentages in the mid-single digits, on a licensed product-by-licensed product basis, on worldwide net product sales.</w:t>
      </w:r>
    </w:p>
    <w:p>
      <w:pPr>
        <w:spacing w:after="0" w:line="125"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The Calico License Agreement is managed by a joint research committee (the “CJRC”). Calico has control over the CJRC and may terminate the Calico License Agreement on a target-by-target or product-by-product basis under several scenarios, upon prior written notice.</w:t>
      </w:r>
    </w:p>
    <w:p>
      <w:pPr>
        <w:spacing w:after="0" w:line="94"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nonrefundable upfront and certain annual payments are not creditable against any other payments. Calico will reimburse the Company for a contractually defined number of FTEs (“Calico FTE Funding”) per target depending on the phase of development, unless otherwise agreed upon by the CJRC. The research will be performed by the Company over the research term in accordance with the research plan. For the years ended December 31, 2018 and 2019, the Company received $0.0 and $2.0 million in cash consideration for milestone revenue, respectively and no additional consideration in the form of cash received for target initiation fees. The Company recorded an accounts receivable of $1.0 million for additional target initiation fees in 2019, and received payment in 2020.</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Calico License Agreement Accounting</w:t>
      </w:r>
    </w:p>
    <w:p>
      <w:pPr>
        <w:spacing w:after="0" w:line="39"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Calico, is a customer. The Company identified the following promises under the arrangement: (1) the non-exclusive, royalty-free research license and commercial license, which function for purposes of the arrangement as a license and are therefore analyzed together; (2) the target evaluation research services for all five targets; (3) the joint research plan research services related to targets 1 and 2, which were nominated at the execution of the Calico License Agreement; (4) the target initiation rights/options associated with targets 3, 4 and 5, subject to nomination; and (5) the joint research plan services associated with targets 3, 4 and 5, subject to nomination and payment of the target initiation fees from (4). The Company determined that the license and research activities were not distinct from one another, as the license has limited value without the performance of the research activities by the Company. Participation on the CJRC to oversee the R&amp;D activities and the technology transfer associated with the Calico License Agreement were determined to be quantitatively and qualitatively immaterial and therefore are excluded from performance obligations. The Company determined that the option rights to nominate the targets were not distinct from one another or from the other promises in the arrangement, specifically the research license and research services. The Company evaluated the target initiation rights for targets 3, 4 and 5 and the research services associated with the joint research plan nomination for these targets to determine whether they provide Calico with any material rights. The Company concluded that these options were not issued at a significant and incremental discount and therefore do not provide material rights.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Based on these assessments, the Company identified one performance obligation at the outset of the Calico License Agreement, which consists of:</w:t>
      </w:r>
    </w:p>
    <w:p>
      <w:pPr>
        <w:spacing w:after="0" w:line="14" w:lineRule="exact"/>
        <w:rPr>
          <w:sz w:val="20"/>
          <w:szCs w:val="20"/>
          <w:color w:val="auto"/>
        </w:rPr>
      </w:pPr>
    </w:p>
    <w:p>
      <w:pPr>
        <w:ind w:right="340" w:firstLine="7"/>
        <w:spacing w:after="0" w:line="244" w:lineRule="auto"/>
        <w:tabs>
          <w:tab w:leader="none" w:pos="25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non-exclusive license and (2) the research activities for the target evaluation phase for all five targets and the joint research plan phase for targets 1 and 2.</w:t>
      </w:r>
    </w:p>
    <w:p>
      <w:pPr>
        <w:spacing w:after="0" w:line="115"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Under the Calico License Agreement, the transaction price determined by the Company is the upfront amount plus the committed anniversary payments and the target initiation fees related to the targets nominated at the execution of the Calico License Agreement. Based on the ability of Calico to cancel the arrangement for any reason, Calico effectively has an option for continued access to the Company’s research license and procurement of research services that they can cancel at any time. Under the Calico License Agreement, the Company amortized the upfront fee received on a straight-line basis over the period services are available to the counterparty (i.e. the contractual term of five years). Straight-line amortization of the upfront payment was considered the best measure of progress because the customer has access to research and development services throughout the period. Incremental fees for research and development services are paid at agreed upon FTE rates and recognized in the period incurred.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20"/>
          </w:cols>
          <w:pgMar w:left="320" w:top="454" w:right="3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Amounts due to the Company that have not yet been received are recorded as accounts receivable and amounts received that have not yet been recognized as revenue are recorded in deferred revenue on the Company’s consolidated balance sheet.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Dana Farber License Agreements</w:t>
      </w:r>
    </w:p>
    <w:p>
      <w:pPr>
        <w:spacing w:after="0" w:line="3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 December 15, 2015, the Company entered into a License Agreement (the “DFCI License Agreement”) with Dana-Farber Cancer Institute, Inc. (DFCI), through which the Company obtained an exclusive, royalty-bearing license to DFCI’s rights to use certain technology to develop licensed products. Pursuant to the DFCI License Agreement and subsequent First and Second Amendments, the Company is responsible for royalty payments associated with commercialization of the products and annual maintenance fees.</w:t>
      </w:r>
    </w:p>
    <w:p>
      <w:pPr>
        <w:spacing w:after="0" w:line="65"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Simultaneously with the entry into the DFCI License Agreement, the Company issued 903,539 shares of the Company’s common stock at the fair value of the stock of $2.11 per share, or $1.9 million.</w:t>
      </w:r>
    </w:p>
    <w:p>
      <w:pPr>
        <w:spacing w:after="0" w:line="40"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On October 4, 2016, the Company entered into another license agreement with DFCI (the “DFCI Second License Agreement”), through which the Company obtained an exclusive, royalty-bearing license to DFCI’s rights to use certain technology to develop licensed product. The Company paid DFCI a license fee of $0.1 million and reimbursed DFCI $18,000 for patent costs related to the DFCI Second License Agreement. Pursuant to the DFCI Second License Agreement, the Company is responsible for royalty payments associated with commercialization of the products and annual maintenance fees.</w:t>
      </w:r>
    </w:p>
    <w:p>
      <w:pPr>
        <w:spacing w:after="0" w:line="66" w:lineRule="exact"/>
        <w:rPr>
          <w:sz w:val="20"/>
          <w:szCs w:val="20"/>
          <w:color w:val="auto"/>
        </w:rPr>
      </w:pPr>
    </w:p>
    <w:p>
      <w:pPr>
        <w:jc w:val="both"/>
        <w:ind w:right="140"/>
        <w:spacing w:after="0" w:line="250" w:lineRule="auto"/>
        <w:rPr>
          <w:sz w:val="20"/>
          <w:szCs w:val="20"/>
          <w:color w:val="auto"/>
        </w:rPr>
      </w:pPr>
      <w:r>
        <w:rPr>
          <w:rFonts w:ascii="Arial" w:cs="Arial" w:eastAsia="Arial" w:hAnsi="Arial"/>
          <w:sz w:val="17"/>
          <w:szCs w:val="17"/>
          <w:color w:val="auto"/>
        </w:rPr>
        <w:t>The Company made payments under the DFCI Second License Agreement of less than $0.1 million for each of the years ended December 31, 2018 and 2019. The Company terminated the DFCI License Agreement in February 2020 and has no additional payments due under the agreement as of December 31, 2019.</w:t>
      </w:r>
    </w:p>
    <w:p>
      <w:pPr>
        <w:spacing w:after="0" w:line="141" w:lineRule="exact"/>
        <w:rPr>
          <w:sz w:val="20"/>
          <w:szCs w:val="20"/>
          <w:color w:val="auto"/>
        </w:rPr>
      </w:pPr>
    </w:p>
    <w:p>
      <w:pPr>
        <w:ind w:right="9200" w:firstLine="7"/>
        <w:spacing w:after="0" w:line="323" w:lineRule="auto"/>
        <w:tabs>
          <w:tab w:leader="none" w:pos="267"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On November 19, 2015, the Company issued 384,180 shares of restricted stock to certain of its founders for $0.0001 per share for net proceeds of less than $1,000. On December 16, 2015, the Company issued 903,539 shares of restricted common stock to DFCI in conjunction with the DFCI License Agreement (see Note 7). The fair value of the equity instrument issued was the most reliably measurable fair value of the transaction and the Company recorded the 903,539 shares in equity at fair value, or $1.9 million. The founders’ common stock vest quarterly over three years (see Note 9) and DFCI’s common stock were fully vested at the time of issuance.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Features of the Common Stock</w:t>
      </w:r>
    </w:p>
    <w:p>
      <w:pPr>
        <w:spacing w:after="0" w:line="3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common stock has a par value of $0.000125, and the holders of common stock are entitled to one vote for each share held at all meetings of stockholders and written actions in lieu of meetings provided. All dividends shall be declared and paid pro rata according to the number of shares held by each member. In the event of a liquidation, dissolution or winding up of the Company, the common stock ranks behind the Preferred Stock in terms of distribution of assets. The holders of the common stock have no preemptive or other subscription rights, and there are no redemption or sinking fund provisions with respect to such stock.</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40"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The following represents the Preferred Stock transactions of the Company from January 1, 2018 through December 31, 2019. On December 31, 2018, the Company issued 900,900 shares of its Series A Preferred Stock to an investor at $2.22 per share for total gross proceeds of $2.0 million.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and 2019, Preferred Stock consisted of the following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335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ind w:left="1280"/>
              <w:spacing w:after="0"/>
              <w:rPr>
                <w:sz w:val="20"/>
                <w:szCs w:val="20"/>
                <w:color w:val="auto"/>
              </w:rPr>
            </w:pPr>
            <w:r>
              <w:rPr>
                <w:rFonts w:ascii="Arial" w:cs="Arial" w:eastAsia="Arial" w:hAnsi="Arial"/>
                <w:sz w:val="14"/>
                <w:szCs w:val="14"/>
                <w:b w:val="1"/>
                <w:bCs w:val="1"/>
                <w:color w:val="auto"/>
              </w:rPr>
              <w:t>DECEMBER 31, 2018</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LIQUIDATION</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ISSUED AND</w:t>
            </w:r>
          </w:p>
        </w:tc>
        <w:tc>
          <w:tcPr>
            <w:tcW w:w="14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181"/>
        </w:trPr>
        <w:tc>
          <w:tcPr>
            <w:tcW w:w="46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Series Seed Preferred Stock</w:t>
            </w:r>
          </w:p>
        </w:tc>
        <w:tc>
          <w:tcPr>
            <w:tcW w:w="10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4,000,000</w:t>
            </w:r>
          </w:p>
        </w:tc>
        <w:tc>
          <w:tcPr>
            <w:tcW w:w="280" w:type="dxa"/>
            <w:vAlign w:val="bottom"/>
            <w:tcBorders>
              <w:top w:val="single" w:sz="8" w:color="CCEEFF"/>
            </w:tcBorders>
            <w:gridSpan w:val="2"/>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4,000,000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1,000</w:t>
            </w: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1,000</w:t>
            </w:r>
          </w:p>
        </w:tc>
        <w:tc>
          <w:tcPr>
            <w:tcW w:w="2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474,298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line="187" w:lineRule="exact"/>
              <w:rPr>
                <w:sz w:val="20"/>
                <w:szCs w:val="20"/>
                <w:color w:val="auto"/>
              </w:rPr>
            </w:pPr>
            <w:r>
              <w:rPr>
                <w:rFonts w:ascii="Arial" w:cs="Arial" w:eastAsia="Arial" w:hAnsi="Arial"/>
                <w:sz w:val="17"/>
                <w:szCs w:val="17"/>
                <w:color w:val="auto"/>
              </w:rPr>
              <w:t>Series A Preferred Stock</w:t>
            </w:r>
          </w:p>
        </w:tc>
        <w:tc>
          <w:tcPr>
            <w:tcW w:w="10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110,000,000</w:t>
            </w:r>
          </w:p>
        </w:tc>
        <w:tc>
          <w:tcPr>
            <w:tcW w:w="260" w:type="dxa"/>
            <w:vAlign w:val="bottom"/>
          </w:tcPr>
          <w:p>
            <w:pPr>
              <w:spacing w:after="0"/>
              <w:rPr>
                <w:sz w:val="16"/>
                <w:szCs w:val="16"/>
                <w:color w:val="auto"/>
              </w:rPr>
            </w:pPr>
          </w:p>
        </w:tc>
        <w:tc>
          <w:tcPr>
            <w:tcW w:w="160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109,145,900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109,995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109,995</w:t>
            </w:r>
          </w:p>
        </w:tc>
        <w:tc>
          <w:tcPr>
            <w:tcW w:w="13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12,941,857</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FF Preferred Stock</w:t>
            </w:r>
          </w:p>
        </w:tc>
        <w:tc>
          <w:tcPr>
            <w:tcW w:w="1300" w:type="dxa"/>
            <w:vAlign w:val="bottom"/>
            <w:gridSpan w:val="3"/>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32,760,000</w:t>
            </w:r>
          </w:p>
        </w:tc>
        <w:tc>
          <w:tcPr>
            <w:tcW w:w="160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6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146,760,000</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113,145,900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110,995</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110,995</w:t>
            </w:r>
          </w:p>
        </w:tc>
        <w:tc>
          <w:tcPr>
            <w:tcW w:w="28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13,416,155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600" w:type="dxa"/>
            <w:vAlign w:val="bottom"/>
          </w:tcPr>
          <w:p>
            <w:pPr>
              <w:spacing w:after="0"/>
              <w:rPr>
                <w:sz w:val="24"/>
                <w:szCs w:val="24"/>
                <w:color w:val="auto"/>
              </w:rPr>
            </w:pPr>
          </w:p>
        </w:tc>
        <w:tc>
          <w:tcPr>
            <w:tcW w:w="1300" w:type="dxa"/>
            <w:vAlign w:val="bottom"/>
            <w:gridSpan w:val="3"/>
          </w:tcPr>
          <w:p>
            <w:pPr>
              <w:ind w:left="860"/>
              <w:spacing w:after="0"/>
              <w:rPr>
                <w:sz w:val="20"/>
                <w:szCs w:val="20"/>
                <w:color w:val="auto"/>
              </w:rPr>
            </w:pPr>
            <w:r>
              <w:rPr>
                <w:rFonts w:ascii="Arial" w:cs="Arial" w:eastAsia="Arial" w:hAnsi="Arial"/>
                <w:sz w:val="16"/>
                <w:szCs w:val="16"/>
                <w:color w:val="auto"/>
              </w:rPr>
              <w:t>F-22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ind w:left="1280"/>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LIQUIDATION</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ISSUED AND</w:t>
            </w:r>
          </w:p>
        </w:tc>
        <w:tc>
          <w:tcPr>
            <w:tcW w:w="14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181"/>
        </w:trPr>
        <w:tc>
          <w:tcPr>
            <w:tcW w:w="46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Series Seed Preferred Stock</w:t>
            </w:r>
          </w:p>
        </w:tc>
        <w:tc>
          <w:tcPr>
            <w:tcW w:w="10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4,000,000</w:t>
            </w:r>
          </w:p>
        </w:tc>
        <w:tc>
          <w:tcPr>
            <w:tcW w:w="280" w:type="dxa"/>
            <w:vAlign w:val="bottom"/>
            <w:tcBorders>
              <w:top w:val="single" w:sz="8" w:color="CCEEFF"/>
            </w:tcBorders>
            <w:gridSpan w:val="2"/>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4,000,000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1,000</w:t>
            </w: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1,000</w:t>
            </w:r>
          </w:p>
        </w:tc>
        <w:tc>
          <w:tcPr>
            <w:tcW w:w="2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474,298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line="187" w:lineRule="exact"/>
              <w:rPr>
                <w:sz w:val="20"/>
                <w:szCs w:val="20"/>
                <w:color w:val="auto"/>
              </w:rPr>
            </w:pPr>
            <w:r>
              <w:rPr>
                <w:rFonts w:ascii="Arial" w:cs="Arial" w:eastAsia="Arial" w:hAnsi="Arial"/>
                <w:sz w:val="17"/>
                <w:szCs w:val="17"/>
                <w:color w:val="auto"/>
              </w:rPr>
              <w:t>Series A Preferred Stock</w:t>
            </w:r>
          </w:p>
        </w:tc>
        <w:tc>
          <w:tcPr>
            <w:tcW w:w="10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110,000,000</w:t>
            </w:r>
          </w:p>
        </w:tc>
        <w:tc>
          <w:tcPr>
            <w:tcW w:w="260" w:type="dxa"/>
            <w:vAlign w:val="bottom"/>
          </w:tcPr>
          <w:p>
            <w:pPr>
              <w:spacing w:after="0"/>
              <w:rPr>
                <w:sz w:val="16"/>
                <w:szCs w:val="16"/>
                <w:color w:val="auto"/>
              </w:rPr>
            </w:pPr>
          </w:p>
        </w:tc>
        <w:tc>
          <w:tcPr>
            <w:tcW w:w="160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109,145,900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109,995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109,995</w:t>
            </w:r>
          </w:p>
        </w:tc>
        <w:tc>
          <w:tcPr>
            <w:tcW w:w="13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12,941,857</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FF Preferred Stock</w:t>
            </w:r>
          </w:p>
        </w:tc>
        <w:tc>
          <w:tcPr>
            <w:tcW w:w="1300" w:type="dxa"/>
            <w:vAlign w:val="bottom"/>
            <w:gridSpan w:val="3"/>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32,760,000</w:t>
            </w:r>
          </w:p>
        </w:tc>
        <w:tc>
          <w:tcPr>
            <w:tcW w:w="160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6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146,760,000</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113,145,900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110,995</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110,995</w:t>
            </w:r>
          </w:p>
        </w:tc>
        <w:tc>
          <w:tcPr>
            <w:tcW w:w="28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13,416,155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rights and privileges of the Preferred Stockholders as of December 31, 2018 and 2019:</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32"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All series of Preferred Stock are convertible at any time at the option of the holder and mandatorily convertible upon a qualified initial public offering into common stock on a 8.4335-to-one basis (see note 13).</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series of Preferred Stock have voting rights that are one-for-one with common stock, as if they were converted into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w:t>
      </w:r>
    </w:p>
    <w:p>
      <w:pPr>
        <w:spacing w:after="0" w:line="32"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The Preferred Stock is not redeemable except in the event of a liquidation. The Series Seed Preferred Stock and Series A Preferred Stock receive liquidation payments at their respective issuance prices in preference to the common stock. Because the Series A Preferred Stock and Series Seed Preferred Stock are only mandatorily redeemable upon the occurrence of a liquidation event and the preferred stockholders have control of the Company’s board of directors, they are classified in the mezzanine section of the balance sheet.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32"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The Series A Preferred Stock has dividend preference over all other common and Preferred Stock. The Series Seed Preferred Stock is eligible to receive dividends on a pro rata as-converted basis in proportion to the number of shares of common stock that would be held upon conversion to common stock. The Series A Preferred Stock accrues dividends at a rate of $0.08 per annum, payable only if and when declared by the Company’s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57"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On December 28, 2015, the Company’s board of directors adopted the 2015 Incentive Stock Option and Grant Plan (the “2015 Plan”) and reserved 2,525,327 shares of common stock for issuance under this plan. As of December 31, 2019, 1,182,076 shares remain available for future grant.</w:t>
      </w:r>
    </w:p>
    <w:p>
      <w:pPr>
        <w:spacing w:after="0" w:line="70" w:lineRule="exact"/>
        <w:rPr>
          <w:sz w:val="20"/>
          <w:szCs w:val="20"/>
          <w:color w:val="auto"/>
        </w:rPr>
      </w:pPr>
    </w:p>
    <w:p>
      <w:pPr>
        <w:jc w:val="both"/>
        <w:ind w:right="60"/>
        <w:spacing w:after="0" w:line="243" w:lineRule="auto"/>
        <w:rPr>
          <w:sz w:val="20"/>
          <w:szCs w:val="20"/>
          <w:color w:val="auto"/>
        </w:rPr>
      </w:pPr>
      <w:r>
        <w:rPr>
          <w:rFonts w:ascii="Arial" w:cs="Arial" w:eastAsia="Arial" w:hAnsi="Arial"/>
          <w:sz w:val="17"/>
          <w:szCs w:val="17"/>
          <w:color w:val="auto"/>
        </w:rPr>
        <w:t>The 2015 Plan authorizes the board of directors or a committee of the board to grant incentive stock options, nonqualified stock options and restricted stock awards to eligible employees, outside directors and consultants of the Company. Options generally vest over a period of five or eight years with a cliff vesting at one year and quarterly vesting thereafter and options that lapse or are forfeited are available to be granted again. The contractual life of all options is ten years from the date of grant.</w:t>
      </w:r>
    </w:p>
    <w:p>
      <w:pPr>
        <w:spacing w:after="0" w:line="118"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In connection with the issuance of stock options, the Company recorded stock-based compensation expense of $0.4 million and $1.6 million in the years ended December 31, 2018 and 2019, respectively. In connection with the issuance of restricted stock, the Company recorded share-based compensation expense of $0.2 million for the year ended December 31, 2018. As the restricted stock was fully vested as of December 31, 2018, the Company did not record stock-based compensation expense related to restricted stock during the year ended December 31, 2019.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454"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Stock-based compensation expense for the year ended December 31, 2018 and 2019 was classified in the consolidated statement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4"/>
        </w:trPr>
        <w:tc>
          <w:tcPr>
            <w:tcW w:w="57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0"/>
              <w:spacing w:after="0" w:line="154"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0"/>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7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Research and development</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CEEFF"/>
          </w:tcPr>
          <w:p>
            <w:pPr>
              <w:jc w:val="center"/>
              <w:ind w:left="460"/>
              <w:spacing w:after="0" w:line="180" w:lineRule="exact"/>
              <w:rPr>
                <w:sz w:val="20"/>
                <w:szCs w:val="20"/>
                <w:color w:val="auto"/>
              </w:rPr>
            </w:pPr>
            <w:r>
              <w:rPr>
                <w:rFonts w:ascii="Arial" w:cs="Arial" w:eastAsia="Arial" w:hAnsi="Arial"/>
                <w:sz w:val="17"/>
                <w:szCs w:val="17"/>
                <w:color w:val="auto"/>
                <w:w w:val="98"/>
              </w:rPr>
              <w:t>159</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395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line="187" w:lineRule="exact"/>
              <w:rPr>
                <w:sz w:val="20"/>
                <w:szCs w:val="20"/>
                <w:color w:val="auto"/>
              </w:rPr>
            </w:pPr>
            <w:r>
              <w:rPr>
                <w:rFonts w:ascii="Arial" w:cs="Arial" w:eastAsia="Arial" w:hAnsi="Arial"/>
                <w:sz w:val="17"/>
                <w:szCs w:val="17"/>
                <w:color w:val="auto"/>
              </w:rPr>
              <w:t>General and administrative</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left="460"/>
              <w:spacing w:after="0" w:line="187" w:lineRule="exact"/>
              <w:rPr>
                <w:sz w:val="20"/>
                <w:szCs w:val="20"/>
                <w:color w:val="auto"/>
              </w:rPr>
            </w:pPr>
            <w:r>
              <w:rPr>
                <w:rFonts w:ascii="Arial" w:cs="Arial" w:eastAsia="Arial" w:hAnsi="Arial"/>
                <w:sz w:val="17"/>
                <w:szCs w:val="17"/>
                <w:color w:val="auto"/>
                <w:w w:val="98"/>
              </w:rPr>
              <w:t>423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1,247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stock-based compensation expense</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11"/>
              <w:spacing w:after="0" w:line="187"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center"/>
              <w:ind w:right="60"/>
              <w:spacing w:after="0" w:line="187" w:lineRule="exact"/>
              <w:rPr>
                <w:sz w:val="20"/>
                <w:szCs w:val="20"/>
                <w:color w:val="auto"/>
              </w:rPr>
            </w:pPr>
            <w:r>
              <w:rPr>
                <w:rFonts w:ascii="Arial" w:cs="Arial" w:eastAsia="Arial" w:hAnsi="Arial"/>
                <w:sz w:val="17"/>
                <w:szCs w:val="17"/>
                <w:color w:val="auto"/>
                <w:w w:val="98"/>
              </w:rPr>
              <w:t>582</w:t>
            </w:r>
          </w:p>
        </w:tc>
        <w:tc>
          <w:tcPr>
            <w:tcW w:w="1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5780" w:type="dxa"/>
            <w:vAlign w:val="bottom"/>
          </w:tcPr>
          <w:p>
            <w:pPr>
              <w:spacing w:after="0"/>
              <w:rPr>
                <w:sz w:val="20"/>
                <w:szCs w:val="20"/>
                <w:color w:val="auto"/>
              </w:rPr>
            </w:pPr>
            <w:r>
              <w:rPr>
                <w:rFonts w:ascii="Arial" w:cs="Arial" w:eastAsia="Arial" w:hAnsi="Arial"/>
                <w:sz w:val="17"/>
                <w:szCs w:val="17"/>
                <w:color w:val="auto"/>
              </w:rPr>
              <w:t>Stock option activity under the 2015 Plan is summarized as follows: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7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5780" w:type="dxa"/>
            <w:vAlign w:val="bottom"/>
          </w:tcPr>
          <w:p>
            <w:pPr>
              <w:spacing w:after="0"/>
              <w:rPr>
                <w:sz w:val="24"/>
                <w:szCs w:val="2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WEIGHTED-AVERAGE</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REMAINING</w:t>
            </w:r>
          </w:p>
        </w:tc>
        <w:tc>
          <w:tcPr>
            <w:tcW w:w="10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w:t>
            </w:r>
          </w:p>
        </w:tc>
        <w:tc>
          <w:tcPr>
            <w:tcW w:w="1800" w:type="dxa"/>
            <w:vAlign w:val="bottom"/>
            <w:gridSpan w:val="4"/>
            <w:vMerge w:val="continue"/>
          </w:tcPr>
          <w:p>
            <w:pPr>
              <w:spacing w:after="0"/>
              <w:rPr>
                <w:sz w:val="13"/>
                <w:szCs w:val="13"/>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INTRINSIC</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68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EXERCISE PRICE</w:t>
            </w: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TERM (IN YEARS)</w:t>
            </w:r>
          </w:p>
        </w:tc>
        <w:tc>
          <w:tcPr>
            <w:tcW w:w="16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1"/>
        </w:trPr>
        <w:tc>
          <w:tcPr>
            <w:tcW w:w="57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Outstanding as of December 31, 2017</w:t>
            </w: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1,317,511</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2.45</w:t>
            </w: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8.75</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left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line="187" w:lineRule="exact"/>
              <w:rPr>
                <w:sz w:val="20"/>
                <w:szCs w:val="20"/>
                <w:color w:val="auto"/>
              </w:rPr>
            </w:pPr>
            <w:r>
              <w:rPr>
                <w:rFonts w:ascii="Arial" w:cs="Arial" w:eastAsia="Arial" w:hAnsi="Arial"/>
                <w:sz w:val="17"/>
                <w:szCs w:val="17"/>
                <w:color w:val="auto"/>
              </w:rPr>
              <w:t>Granted</w:t>
            </w:r>
          </w:p>
        </w:tc>
        <w:tc>
          <w:tcPr>
            <w:tcW w:w="108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210,929</w:t>
            </w:r>
          </w:p>
        </w:tc>
        <w:tc>
          <w:tcPr>
            <w:tcW w:w="120" w:type="dxa"/>
            <w:vAlign w:val="bottom"/>
          </w:tcPr>
          <w:p>
            <w:pPr>
              <w:spacing w:after="0"/>
              <w:rPr>
                <w:sz w:val="16"/>
                <w:szCs w:val="16"/>
                <w:color w:val="auto"/>
              </w:rPr>
            </w:pPr>
          </w:p>
        </w:tc>
        <w:tc>
          <w:tcPr>
            <w:tcW w:w="15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3.98</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Exercised</w:t>
            </w:r>
          </w:p>
        </w:tc>
        <w:tc>
          <w:tcPr>
            <w:tcW w:w="10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(45,072)</w:t>
            </w:r>
          </w:p>
        </w:tc>
        <w:tc>
          <w:tcPr>
            <w:tcW w:w="120" w:type="dxa"/>
            <w:vAlign w:val="bottom"/>
            <w:shd w:val="clear" w:color="auto" w:fill="CCEEFF"/>
          </w:tcPr>
          <w:p>
            <w:pPr>
              <w:spacing w:after="0"/>
              <w:rPr>
                <w:sz w:val="16"/>
                <w:szCs w:val="16"/>
                <w:color w:val="auto"/>
              </w:rPr>
            </w:pPr>
          </w:p>
        </w:tc>
        <w:tc>
          <w:tcPr>
            <w:tcW w:w="1580" w:type="dxa"/>
            <w:vAlign w:val="bottom"/>
            <w:tcBorders>
              <w:right w:val="single" w:sz="8" w:color="CCEEFF"/>
            </w:tcBorders>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ind w:left="60"/>
              <w:spacing w:after="0" w:line="187"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118,726</w:t>
            </w:r>
          </w:p>
        </w:tc>
        <w:tc>
          <w:tcPr>
            <w:tcW w:w="0" w:type="dxa"/>
            <w:vAlign w:val="bottom"/>
          </w:tcPr>
          <w:p>
            <w:pPr>
              <w:spacing w:after="0"/>
              <w:rPr>
                <w:sz w:val="1"/>
                <w:szCs w:val="1"/>
                <w:color w:val="auto"/>
              </w:rPr>
            </w:pPr>
          </w:p>
        </w:tc>
      </w:tr>
      <w:tr>
        <w:trPr>
          <w:trHeight w:val="187"/>
        </w:trPr>
        <w:tc>
          <w:tcPr>
            <w:tcW w:w="5780" w:type="dxa"/>
            <w:vAlign w:val="bottom"/>
          </w:tcPr>
          <w:p>
            <w:pPr>
              <w:spacing w:after="0" w:line="187" w:lineRule="exact"/>
              <w:rPr>
                <w:sz w:val="20"/>
                <w:szCs w:val="20"/>
                <w:color w:val="auto"/>
              </w:rPr>
            </w:pPr>
            <w:r>
              <w:rPr>
                <w:rFonts w:ascii="Arial" w:cs="Arial" w:eastAsia="Arial" w:hAnsi="Arial"/>
                <w:sz w:val="17"/>
                <w:szCs w:val="17"/>
                <w:color w:val="auto"/>
              </w:rPr>
              <w:t>Cancelled or forfeited</w:t>
            </w:r>
          </w:p>
        </w:tc>
        <w:tc>
          <w:tcPr>
            <w:tcW w:w="10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(126,339)</w:t>
            </w:r>
          </w:p>
        </w:tc>
        <w:tc>
          <w:tcPr>
            <w:tcW w:w="120" w:type="dxa"/>
            <w:vAlign w:val="bottom"/>
          </w:tcPr>
          <w:p>
            <w:pPr>
              <w:spacing w:after="0"/>
              <w:rPr>
                <w:sz w:val="16"/>
                <w:szCs w:val="16"/>
                <w:color w:val="auto"/>
              </w:rPr>
            </w:pPr>
          </w:p>
        </w:tc>
        <w:tc>
          <w:tcPr>
            <w:tcW w:w="15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3.31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Outstanding as of December 31, 2018</w:t>
            </w:r>
          </w:p>
        </w:tc>
        <w:tc>
          <w:tcPr>
            <w:tcW w:w="108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1,357,029</w:t>
            </w:r>
          </w:p>
        </w:tc>
        <w:tc>
          <w:tcPr>
            <w:tcW w:w="120" w:type="dxa"/>
            <w:vAlign w:val="bottom"/>
            <w:shd w:val="clear" w:color="auto" w:fill="CCEEFF"/>
          </w:tcPr>
          <w:p>
            <w:pPr>
              <w:spacing w:after="0"/>
              <w:rPr>
                <w:sz w:val="16"/>
                <w:szCs w:val="16"/>
                <w:color w:val="auto"/>
              </w:rPr>
            </w:pPr>
          </w:p>
        </w:tc>
        <w:tc>
          <w:tcPr>
            <w:tcW w:w="1580" w:type="dxa"/>
            <w:vAlign w:val="bottom"/>
            <w:tcBorders>
              <w:right w:val="single" w:sz="8" w:color="CCEEFF"/>
            </w:tcBorders>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6"/>
                <w:szCs w:val="16"/>
                <w:color w:val="auto"/>
              </w:rPr>
            </w:pPr>
          </w:p>
        </w:tc>
        <w:tc>
          <w:tcPr>
            <w:tcW w:w="1560" w:type="dxa"/>
            <w:vAlign w:val="bottom"/>
            <w:gridSpan w:val="3"/>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8.00</w:t>
            </w:r>
          </w:p>
        </w:tc>
        <w:tc>
          <w:tcPr>
            <w:tcW w:w="1020" w:type="dxa"/>
            <w:vAlign w:val="bottom"/>
            <w:tcBorders>
              <w:left w:val="single" w:sz="8" w:color="CCEEFF"/>
            </w:tcBorders>
            <w:gridSpan w:val="3"/>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$ 5,187,553</w:t>
            </w:r>
          </w:p>
        </w:tc>
        <w:tc>
          <w:tcPr>
            <w:tcW w:w="0" w:type="dxa"/>
            <w:vAlign w:val="bottom"/>
          </w:tcPr>
          <w:p>
            <w:pPr>
              <w:spacing w:after="0"/>
              <w:rPr>
                <w:sz w:val="1"/>
                <w:szCs w:val="1"/>
                <w:color w:val="auto"/>
              </w:rPr>
            </w:pPr>
          </w:p>
        </w:tc>
      </w:tr>
      <w:tr>
        <w:trPr>
          <w:trHeight w:val="187"/>
        </w:trPr>
        <w:tc>
          <w:tcPr>
            <w:tcW w:w="5780" w:type="dxa"/>
            <w:vAlign w:val="bottom"/>
          </w:tcPr>
          <w:p>
            <w:pPr>
              <w:spacing w:after="0" w:line="187" w:lineRule="exact"/>
              <w:rPr>
                <w:sz w:val="20"/>
                <w:szCs w:val="20"/>
                <w:color w:val="auto"/>
              </w:rPr>
            </w:pPr>
            <w:r>
              <w:rPr>
                <w:rFonts w:ascii="Arial" w:cs="Arial" w:eastAsia="Arial" w:hAnsi="Arial"/>
                <w:sz w:val="17"/>
                <w:szCs w:val="17"/>
                <w:color w:val="auto"/>
              </w:rPr>
              <w:t>Granted</w:t>
            </w:r>
          </w:p>
        </w:tc>
        <w:tc>
          <w:tcPr>
            <w:tcW w:w="108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1,071,038</w:t>
            </w:r>
          </w:p>
        </w:tc>
        <w:tc>
          <w:tcPr>
            <w:tcW w:w="120" w:type="dxa"/>
            <w:vAlign w:val="bottom"/>
          </w:tcPr>
          <w:p>
            <w:pPr>
              <w:spacing w:after="0"/>
              <w:rPr>
                <w:sz w:val="16"/>
                <w:szCs w:val="16"/>
                <w:color w:val="auto"/>
              </w:rPr>
            </w:pPr>
          </w:p>
        </w:tc>
        <w:tc>
          <w:tcPr>
            <w:tcW w:w="15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6.51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Exercised</w:t>
            </w:r>
          </w:p>
        </w:tc>
        <w:tc>
          <w:tcPr>
            <w:tcW w:w="10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(93,797)</w:t>
            </w:r>
          </w:p>
        </w:tc>
        <w:tc>
          <w:tcPr>
            <w:tcW w:w="120" w:type="dxa"/>
            <w:vAlign w:val="bottom"/>
            <w:shd w:val="clear" w:color="auto" w:fill="CCEEFF"/>
          </w:tcPr>
          <w:p>
            <w:pPr>
              <w:spacing w:after="0"/>
              <w:rPr>
                <w:sz w:val="16"/>
                <w:szCs w:val="16"/>
                <w:color w:val="auto"/>
              </w:rPr>
            </w:pPr>
          </w:p>
        </w:tc>
        <w:tc>
          <w:tcPr>
            <w:tcW w:w="1580" w:type="dxa"/>
            <w:vAlign w:val="bottom"/>
            <w:tcBorders>
              <w:right w:val="single" w:sz="8" w:color="CCEEFF"/>
            </w:tcBorders>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2.92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ind w:left="60"/>
              <w:spacing w:after="0" w:line="187"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337,222</w:t>
            </w:r>
          </w:p>
        </w:tc>
        <w:tc>
          <w:tcPr>
            <w:tcW w:w="0" w:type="dxa"/>
            <w:vAlign w:val="bottom"/>
          </w:tcPr>
          <w:p>
            <w:pPr>
              <w:spacing w:after="0"/>
              <w:rPr>
                <w:sz w:val="1"/>
                <w:szCs w:val="1"/>
                <w:color w:val="auto"/>
              </w:rPr>
            </w:pPr>
          </w:p>
        </w:tc>
      </w:tr>
      <w:tr>
        <w:trPr>
          <w:trHeight w:val="187"/>
        </w:trPr>
        <w:tc>
          <w:tcPr>
            <w:tcW w:w="5780" w:type="dxa"/>
            <w:vAlign w:val="bottom"/>
          </w:tcPr>
          <w:p>
            <w:pPr>
              <w:spacing w:after="0" w:line="187" w:lineRule="exact"/>
              <w:rPr>
                <w:sz w:val="20"/>
                <w:szCs w:val="20"/>
                <w:color w:val="auto"/>
              </w:rPr>
            </w:pPr>
            <w:r>
              <w:rPr>
                <w:rFonts w:ascii="Arial" w:cs="Arial" w:eastAsia="Arial" w:hAnsi="Arial"/>
                <w:sz w:val="17"/>
                <w:szCs w:val="17"/>
                <w:color w:val="auto"/>
              </w:rPr>
              <w:t>Expired</w:t>
            </w:r>
          </w:p>
        </w:tc>
        <w:tc>
          <w:tcPr>
            <w:tcW w:w="10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(5,038)</w:t>
            </w:r>
          </w:p>
        </w:tc>
        <w:tc>
          <w:tcPr>
            <w:tcW w:w="120" w:type="dxa"/>
            <w:vAlign w:val="bottom"/>
          </w:tcPr>
          <w:p>
            <w:pPr>
              <w:spacing w:after="0"/>
              <w:rPr>
                <w:sz w:val="16"/>
                <w:szCs w:val="16"/>
                <w:color w:val="auto"/>
              </w:rPr>
            </w:pPr>
          </w:p>
        </w:tc>
        <w:tc>
          <w:tcPr>
            <w:tcW w:w="158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2.11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Cancelled or forfeited</w:t>
            </w:r>
          </w:p>
        </w:tc>
        <w:tc>
          <w:tcPr>
            <w:tcW w:w="108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(18,346)</w:t>
            </w:r>
          </w:p>
        </w:tc>
        <w:tc>
          <w:tcPr>
            <w:tcW w:w="120" w:type="dxa"/>
            <w:vAlign w:val="bottom"/>
            <w:shd w:val="clear" w:color="auto" w:fill="CCEEFF"/>
          </w:tcPr>
          <w:p>
            <w:pPr>
              <w:spacing w:after="0"/>
              <w:rPr>
                <w:sz w:val="16"/>
                <w:szCs w:val="16"/>
                <w:color w:val="auto"/>
              </w:rPr>
            </w:pPr>
          </w:p>
        </w:tc>
        <w:tc>
          <w:tcPr>
            <w:tcW w:w="1580" w:type="dxa"/>
            <w:vAlign w:val="bottom"/>
            <w:tcBorders>
              <w:right w:val="single" w:sz="8" w:color="CCEEFF"/>
            </w:tcBorders>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780" w:type="dxa"/>
            <w:vAlign w:val="bottom"/>
          </w:tcPr>
          <w:p>
            <w:pPr>
              <w:spacing w:after="0" w:line="194" w:lineRule="exact"/>
              <w:rPr>
                <w:sz w:val="20"/>
                <w:szCs w:val="20"/>
                <w:color w:val="auto"/>
              </w:rPr>
            </w:pPr>
            <w:r>
              <w:rPr>
                <w:rFonts w:ascii="Arial" w:cs="Arial" w:eastAsia="Arial" w:hAnsi="Arial"/>
                <w:sz w:val="17"/>
                <w:szCs w:val="17"/>
                <w:color w:val="auto"/>
              </w:rPr>
              <w:t>Outstanding as of December 31, 2019</w:t>
            </w:r>
          </w:p>
        </w:tc>
        <w:tc>
          <w:tcPr>
            <w:tcW w:w="8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2,310,886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4.42</w:t>
            </w:r>
          </w:p>
        </w:tc>
        <w:tc>
          <w:tcPr>
            <w:tcW w:w="100" w:type="dxa"/>
            <w:vAlign w:val="bottom"/>
          </w:tcPr>
          <w:p>
            <w:pPr>
              <w:spacing w:after="0"/>
              <w:rPr>
                <w:sz w:val="16"/>
                <w:szCs w:val="16"/>
                <w:color w:val="auto"/>
              </w:rPr>
            </w:pPr>
          </w:p>
        </w:tc>
        <w:tc>
          <w:tcPr>
            <w:tcW w:w="156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8.11</w:t>
            </w:r>
          </w:p>
        </w:tc>
        <w:tc>
          <w:tcPr>
            <w:tcW w:w="102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$ 4,801,387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Options exercisable as of December 31, 2018</w:t>
            </w:r>
          </w:p>
        </w:tc>
        <w:tc>
          <w:tcPr>
            <w:tcW w:w="1080" w:type="dxa"/>
            <w:vAlign w:val="bottom"/>
            <w:gridSpan w:val="2"/>
            <w:shd w:val="clear" w:color="auto" w:fill="CCEEFF"/>
          </w:tcPr>
          <w:p>
            <w:pPr>
              <w:jc w:val="right"/>
              <w:ind w:right="260"/>
              <w:spacing w:after="0" w:line="180" w:lineRule="exact"/>
              <w:rPr>
                <w:sz w:val="20"/>
                <w:szCs w:val="20"/>
                <w:color w:val="auto"/>
              </w:rPr>
            </w:pPr>
            <w:r>
              <w:rPr>
                <w:rFonts w:ascii="Arial" w:cs="Arial" w:eastAsia="Arial" w:hAnsi="Arial"/>
                <w:sz w:val="17"/>
                <w:szCs w:val="17"/>
                <w:color w:val="auto"/>
              </w:rPr>
              <w:t>413,113</w:t>
            </w:r>
          </w:p>
        </w:tc>
        <w:tc>
          <w:tcPr>
            <w:tcW w:w="120" w:type="dxa"/>
            <w:vAlign w:val="bottom"/>
            <w:shd w:val="clear" w:color="auto" w:fill="CCEEFF"/>
          </w:tcPr>
          <w:p>
            <w:pPr>
              <w:spacing w:after="0"/>
              <w:rPr>
                <w:sz w:val="15"/>
                <w:szCs w:val="15"/>
                <w:color w:val="auto"/>
              </w:rPr>
            </w:pPr>
          </w:p>
        </w:tc>
        <w:tc>
          <w:tcPr>
            <w:tcW w:w="1580" w:type="dxa"/>
            <w:vAlign w:val="bottom"/>
            <w:tcBorders>
              <w:right w:val="single" w:sz="8" w:color="CCEEFF"/>
            </w:tcBorders>
            <w:gridSpan w:val="2"/>
            <w:shd w:val="clear" w:color="auto" w:fill="CCEEFF"/>
          </w:tcPr>
          <w:p>
            <w:pPr>
              <w:jc w:val="right"/>
              <w:ind w:right="200"/>
              <w:spacing w:after="0" w:line="180" w:lineRule="exact"/>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7"/>
                <w:szCs w:val="17"/>
                <w:color w:val="auto"/>
              </w:rPr>
              <w:t>7.61</w:t>
            </w:r>
          </w:p>
        </w:tc>
        <w:tc>
          <w:tcPr>
            <w:tcW w:w="1020" w:type="dxa"/>
            <w:vAlign w:val="bottom"/>
            <w:tcBorders>
              <w:left w:val="single" w:sz="8" w:color="CCEEFF"/>
            </w:tcBorders>
            <w:gridSpan w:val="3"/>
            <w:shd w:val="clear" w:color="auto" w:fill="CCEEFF"/>
          </w:tcPr>
          <w:p>
            <w:pPr>
              <w:jc w:val="right"/>
              <w:ind w:right="60"/>
              <w:spacing w:after="0" w:line="180" w:lineRule="exact"/>
              <w:rPr>
                <w:sz w:val="20"/>
                <w:szCs w:val="20"/>
                <w:color w:val="auto"/>
              </w:rPr>
            </w:pPr>
            <w:r>
              <w:rPr>
                <w:rFonts w:ascii="Arial" w:cs="Arial" w:eastAsia="Arial" w:hAnsi="Arial"/>
                <w:sz w:val="17"/>
                <w:szCs w:val="17"/>
                <w:color w:val="auto"/>
              </w:rPr>
              <w:t>$ 1,740,528</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7"/>
                <w:szCs w:val="17"/>
                <w:color w:val="auto"/>
              </w:rPr>
              <w:t>Options exercisable as of December 31, 2019</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733,310</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9"/>
                <w:szCs w:val="19"/>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7"/>
                <w:szCs w:val="17"/>
                <w:color w:val="auto"/>
              </w:rPr>
              <w:t>7.41</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$ 2,274,980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1335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98" w:lineRule="exact"/>
        <w:rPr>
          <w:sz w:val="20"/>
          <w:szCs w:val="20"/>
          <w:color w:val="auto"/>
        </w:rPr>
      </w:pPr>
    </w:p>
    <w:p>
      <w:pPr>
        <w:jc w:val="both"/>
        <w:ind w:right="300"/>
        <w:spacing w:after="0" w:line="250" w:lineRule="auto"/>
        <w:rPr>
          <w:sz w:val="20"/>
          <w:szCs w:val="20"/>
          <w:color w:val="auto"/>
        </w:rPr>
      </w:pPr>
      <w:r>
        <w:rPr>
          <w:rFonts w:ascii="Arial" w:cs="Arial" w:eastAsia="Arial" w:hAnsi="Arial"/>
          <w:sz w:val="17"/>
          <w:szCs w:val="17"/>
          <w:color w:val="auto"/>
        </w:rPr>
        <w:t>As of December 31, 2019, the unrecognized compensation cost related to outstanding options was $4.2 million, expected to be recognized over a weighted average period of approximately three years. The aggregate fair value of options that vested during the years ended December 31, 2018 and 2019 was $0.3 million and $1.1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2018 and 2019, the weighted average grant date fair value for options granted was $2.36 and $4.13, respectively.</w:t>
      </w:r>
    </w:p>
    <w:p>
      <w:pPr>
        <w:spacing w:after="0" w:line="15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assumptions used in the Black-Scholes option pricing model to determine the fair value of stock options granted to employees during the years ended December 31, 2018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0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r>
      <w:tr>
        <w:trPr>
          <w:trHeight w:val="154"/>
        </w:trPr>
        <w:tc>
          <w:tcPr>
            <w:tcW w:w="3760" w:type="dxa"/>
            <w:vAlign w:val="bottom"/>
            <w:tcBorders>
              <w:bottom w:val="single" w:sz="8" w:color="CCEEFF"/>
            </w:tcBorders>
          </w:tcPr>
          <w:p>
            <w:pPr>
              <w:spacing w:after="0"/>
              <w:rPr>
                <w:sz w:val="13"/>
                <w:szCs w:val="13"/>
                <w:color w:val="auto"/>
              </w:rPr>
            </w:pPr>
          </w:p>
        </w:tc>
        <w:tc>
          <w:tcPr>
            <w:tcW w:w="444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gridSpan w:val="2"/>
          </w:tcPr>
          <w:p>
            <w:pPr>
              <w:jc w:val="center"/>
              <w:spacing w:after="0" w:line="154"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gridSpan w:val="2"/>
          </w:tcPr>
          <w:p>
            <w:pPr>
              <w:jc w:val="center"/>
              <w:spacing w:after="0" w:line="154" w:lineRule="exact"/>
              <w:rPr>
                <w:sz w:val="20"/>
                <w:szCs w:val="20"/>
                <w:color w:val="auto"/>
              </w:rPr>
            </w:pPr>
            <w:r>
              <w:rPr>
                <w:rFonts w:ascii="Arial" w:cs="Arial" w:eastAsia="Arial" w:hAnsi="Arial"/>
                <w:sz w:val="14"/>
                <w:szCs w:val="14"/>
                <w:b w:val="1"/>
                <w:bCs w:val="1"/>
                <w:color w:val="auto"/>
              </w:rPr>
              <w:t>2019</w:t>
            </w:r>
          </w:p>
        </w:tc>
      </w:tr>
      <w:tr>
        <w:trPr>
          <w:trHeight w:val="181"/>
        </w:trPr>
        <w:tc>
          <w:tcPr>
            <w:tcW w:w="37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Expected option life (years)</w:t>
            </w:r>
          </w:p>
        </w:tc>
        <w:tc>
          <w:tcPr>
            <w:tcW w:w="44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spacing w:after="0" w:line="180" w:lineRule="exact"/>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spacing w:after="0" w:line="180" w:lineRule="exact"/>
              <w:rPr>
                <w:sz w:val="20"/>
                <w:szCs w:val="20"/>
                <w:color w:val="auto"/>
              </w:rPr>
            </w:pPr>
            <w:r>
              <w:rPr>
                <w:rFonts w:ascii="Arial" w:cs="Arial" w:eastAsia="Arial" w:hAnsi="Arial"/>
                <w:sz w:val="17"/>
                <w:szCs w:val="17"/>
                <w:color w:val="auto"/>
              </w:rPr>
              <w:t>6.35</w:t>
            </w:r>
          </w:p>
        </w:tc>
      </w:tr>
      <w:tr>
        <w:trPr>
          <w:trHeight w:val="187"/>
        </w:trPr>
        <w:tc>
          <w:tcPr>
            <w:tcW w:w="3760" w:type="dxa"/>
            <w:vAlign w:val="bottom"/>
          </w:tcPr>
          <w:p>
            <w:pPr>
              <w:spacing w:after="0" w:line="187" w:lineRule="exact"/>
              <w:rPr>
                <w:sz w:val="20"/>
                <w:szCs w:val="20"/>
                <w:color w:val="auto"/>
              </w:rPr>
            </w:pPr>
            <w:r>
              <w:rPr>
                <w:rFonts w:ascii="Arial" w:cs="Arial" w:eastAsia="Arial" w:hAnsi="Arial"/>
                <w:sz w:val="17"/>
                <w:szCs w:val="17"/>
                <w:color w:val="auto"/>
              </w:rPr>
              <w:t>Risk-free interest rate</w:t>
            </w:r>
          </w:p>
        </w:tc>
        <w:tc>
          <w:tcPr>
            <w:tcW w:w="512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2.75%</w:t>
            </w:r>
          </w:p>
        </w:tc>
        <w:tc>
          <w:tcPr>
            <w:tcW w:w="780" w:type="dxa"/>
            <w:vAlign w:val="bottom"/>
          </w:tcPr>
          <w:p>
            <w:pPr>
              <w:ind w:left="20"/>
              <w:spacing w:after="0" w:line="187" w:lineRule="exact"/>
              <w:rPr>
                <w:sz w:val="20"/>
                <w:szCs w:val="20"/>
                <w:color w:val="auto"/>
              </w:rPr>
            </w:pPr>
            <w:r>
              <w:rPr>
                <w:rFonts w:ascii="Arial" w:cs="Arial" w:eastAsia="Arial" w:hAnsi="Arial"/>
                <w:sz w:val="17"/>
                <w:szCs w:val="17"/>
                <w:color w:val="auto"/>
              </w:rPr>
              <w:t>- 2.98%</w:t>
            </w:r>
          </w:p>
        </w:tc>
        <w:tc>
          <w:tcPr>
            <w:tcW w:w="10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Arial" w:cs="Arial" w:eastAsia="Arial" w:hAnsi="Arial"/>
                <w:sz w:val="17"/>
                <w:szCs w:val="17"/>
                <w:color w:val="auto"/>
              </w:rPr>
              <w:t>1.71%</w:t>
            </w:r>
          </w:p>
        </w:tc>
        <w:tc>
          <w:tcPr>
            <w:tcW w:w="780" w:type="dxa"/>
            <w:vAlign w:val="bottom"/>
          </w:tcPr>
          <w:p>
            <w:pPr>
              <w:ind w:left="20"/>
              <w:spacing w:after="0" w:line="187" w:lineRule="exact"/>
              <w:rPr>
                <w:sz w:val="20"/>
                <w:szCs w:val="20"/>
                <w:color w:val="auto"/>
              </w:rPr>
            </w:pPr>
            <w:r>
              <w:rPr>
                <w:rFonts w:ascii="Arial" w:cs="Arial" w:eastAsia="Arial" w:hAnsi="Arial"/>
                <w:sz w:val="17"/>
                <w:szCs w:val="17"/>
                <w:color w:val="auto"/>
              </w:rPr>
              <w:t>- 2.36%</w:t>
            </w:r>
          </w:p>
        </w:tc>
      </w:tr>
      <w:tr>
        <w:trPr>
          <w:trHeight w:val="187"/>
        </w:trPr>
        <w:tc>
          <w:tcPr>
            <w:tcW w:w="37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Expected volatility</w:t>
            </w:r>
          </w:p>
        </w:tc>
        <w:tc>
          <w:tcPr>
            <w:tcW w:w="5900" w:type="dxa"/>
            <w:vAlign w:val="bottom"/>
            <w:gridSpan w:val="3"/>
            <w:shd w:val="clear" w:color="auto" w:fill="CCEEFF"/>
          </w:tcPr>
          <w:p>
            <w:pPr>
              <w:jc w:val="center"/>
              <w:ind w:left="4356"/>
              <w:spacing w:after="0" w:line="187" w:lineRule="exact"/>
              <w:rPr>
                <w:sz w:val="20"/>
                <w:szCs w:val="20"/>
                <w:color w:val="auto"/>
              </w:rPr>
            </w:pPr>
            <w:r>
              <w:rPr>
                <w:rFonts w:ascii="Arial" w:cs="Arial" w:eastAsia="Arial" w:hAnsi="Arial"/>
                <w:sz w:val="17"/>
                <w:szCs w:val="17"/>
                <w:color w:val="auto"/>
                <w:w w:val="99"/>
              </w:rPr>
              <w:t>58.9% -61.9%</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65.5%</w:t>
            </w:r>
          </w:p>
        </w:tc>
        <w:tc>
          <w:tcPr>
            <w:tcW w:w="7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- 76.8%</w:t>
            </w:r>
          </w:p>
        </w:tc>
      </w:tr>
      <w:tr>
        <w:trPr>
          <w:trHeight w:val="187"/>
        </w:trPr>
        <w:tc>
          <w:tcPr>
            <w:tcW w:w="3760" w:type="dxa"/>
            <w:vAlign w:val="bottom"/>
          </w:tcPr>
          <w:p>
            <w:pPr>
              <w:spacing w:after="0" w:line="187" w:lineRule="exact"/>
              <w:rPr>
                <w:sz w:val="20"/>
                <w:szCs w:val="20"/>
                <w:color w:val="auto"/>
              </w:rPr>
            </w:pPr>
            <w:r>
              <w:rPr>
                <w:rFonts w:ascii="Arial" w:cs="Arial" w:eastAsia="Arial" w:hAnsi="Arial"/>
                <w:sz w:val="17"/>
                <w:szCs w:val="17"/>
                <w:color w:val="auto"/>
              </w:rPr>
              <w:t>Expected dividend yield</w:t>
            </w:r>
          </w:p>
        </w:tc>
        <w:tc>
          <w:tcPr>
            <w:tcW w:w="5900" w:type="dxa"/>
            <w:vAlign w:val="bottom"/>
            <w:gridSpan w:val="3"/>
          </w:tcPr>
          <w:p>
            <w:pPr>
              <w:jc w:val="center"/>
              <w:ind w:left="4336"/>
              <w:spacing w:after="0" w:line="187" w:lineRule="exact"/>
              <w:rPr>
                <w:sz w:val="20"/>
                <w:szCs w:val="20"/>
                <w:color w:val="auto"/>
              </w:rPr>
            </w:pPr>
            <w:r>
              <w:rPr>
                <w:rFonts w:ascii="Arial" w:cs="Arial" w:eastAsia="Arial" w:hAnsi="Arial"/>
                <w:sz w:val="17"/>
                <w:szCs w:val="17"/>
                <w:color w:val="auto"/>
                <w:w w:val="99"/>
              </w:rPr>
              <w:t>0.00%</w:t>
            </w:r>
          </w:p>
        </w:tc>
        <w:tc>
          <w:tcPr>
            <w:tcW w:w="100" w:type="dxa"/>
            <w:vAlign w:val="bottom"/>
          </w:tcPr>
          <w:p>
            <w:pPr>
              <w:spacing w:after="0"/>
              <w:rPr>
                <w:sz w:val="16"/>
                <w:szCs w:val="16"/>
                <w:color w:val="auto"/>
              </w:rPr>
            </w:pPr>
          </w:p>
        </w:tc>
        <w:tc>
          <w:tcPr>
            <w:tcW w:w="1480" w:type="dxa"/>
            <w:vAlign w:val="bottom"/>
            <w:gridSpan w:val="2"/>
          </w:tcPr>
          <w:p>
            <w:pPr>
              <w:jc w:val="center"/>
              <w:spacing w:after="0" w:line="187" w:lineRule="exact"/>
              <w:rPr>
                <w:sz w:val="20"/>
                <w:szCs w:val="20"/>
                <w:color w:val="auto"/>
              </w:rPr>
            </w:pPr>
            <w:r>
              <w:rPr>
                <w:rFonts w:ascii="Arial" w:cs="Arial" w:eastAsia="Arial" w:hAnsi="Arial"/>
                <w:sz w:val="17"/>
                <w:szCs w:val="17"/>
                <w:color w:val="auto"/>
                <w:w w:val="99"/>
              </w:rPr>
              <w:t>0.00%</w:t>
            </w:r>
          </w:p>
        </w:tc>
      </w:tr>
      <w:tr>
        <w:trPr>
          <w:trHeight w:val="187"/>
        </w:trPr>
        <w:tc>
          <w:tcPr>
            <w:tcW w:w="37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Exercise price</w:t>
            </w:r>
          </w:p>
        </w:tc>
        <w:tc>
          <w:tcPr>
            <w:tcW w:w="512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$3.72</w:t>
            </w:r>
          </w:p>
        </w:tc>
        <w:tc>
          <w:tcPr>
            <w:tcW w:w="7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 $4.90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$6.50</w:t>
            </w:r>
          </w:p>
        </w:tc>
        <w:tc>
          <w:tcPr>
            <w:tcW w:w="7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 $6.67</w:t>
            </w:r>
          </w:p>
        </w:tc>
      </w:tr>
      <w:tr>
        <w:trPr>
          <w:trHeight w:val="229"/>
        </w:trPr>
        <w:tc>
          <w:tcPr>
            <w:tcW w:w="3760" w:type="dxa"/>
            <w:vAlign w:val="bottom"/>
          </w:tcPr>
          <w:p>
            <w:pPr>
              <w:spacing w:after="0"/>
              <w:rPr>
                <w:sz w:val="20"/>
                <w:szCs w:val="20"/>
                <w:color w:val="auto"/>
              </w:rPr>
            </w:pPr>
            <w:r>
              <w:rPr>
                <w:rFonts w:ascii="Arial" w:cs="Arial" w:eastAsia="Arial" w:hAnsi="Arial"/>
                <w:sz w:val="17"/>
                <w:szCs w:val="17"/>
                <w:color w:val="auto"/>
              </w:rPr>
              <w:t>Fair value of stock options</w:t>
            </w:r>
          </w:p>
        </w:tc>
        <w:tc>
          <w:tcPr>
            <w:tcW w:w="5120" w:type="dxa"/>
            <w:vAlign w:val="bottom"/>
            <w:gridSpan w:val="2"/>
          </w:tcPr>
          <w:p>
            <w:pPr>
              <w:jc w:val="right"/>
              <w:spacing w:after="0"/>
              <w:rPr>
                <w:sz w:val="20"/>
                <w:szCs w:val="20"/>
                <w:color w:val="auto"/>
              </w:rPr>
            </w:pPr>
            <w:r>
              <w:rPr>
                <w:rFonts w:ascii="Arial" w:cs="Arial" w:eastAsia="Arial" w:hAnsi="Arial"/>
                <w:sz w:val="17"/>
                <w:szCs w:val="17"/>
                <w:color w:val="auto"/>
              </w:rPr>
              <w:t>$2.19</w:t>
            </w:r>
          </w:p>
        </w:tc>
        <w:tc>
          <w:tcPr>
            <w:tcW w:w="780" w:type="dxa"/>
            <w:vAlign w:val="bottom"/>
          </w:tcPr>
          <w:p>
            <w:pPr>
              <w:ind w:left="20"/>
              <w:spacing w:after="0"/>
              <w:rPr>
                <w:sz w:val="20"/>
                <w:szCs w:val="20"/>
                <w:color w:val="auto"/>
              </w:rPr>
            </w:pPr>
            <w:r>
              <w:rPr>
                <w:rFonts w:ascii="Arial" w:cs="Arial" w:eastAsia="Arial" w:hAnsi="Arial"/>
                <w:sz w:val="17"/>
                <w:szCs w:val="17"/>
                <w:color w:val="auto"/>
              </w:rPr>
              <w:t>- $2.95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$4.05</w:t>
            </w:r>
          </w:p>
        </w:tc>
        <w:tc>
          <w:tcPr>
            <w:tcW w:w="780" w:type="dxa"/>
            <w:vAlign w:val="bottom"/>
          </w:tcPr>
          <w:p>
            <w:pPr>
              <w:ind w:left="20"/>
              <w:spacing w:after="0"/>
              <w:rPr>
                <w:sz w:val="20"/>
                <w:szCs w:val="20"/>
                <w:color w:val="auto"/>
              </w:rPr>
            </w:pPr>
            <w:r>
              <w:rPr>
                <w:rFonts w:ascii="Arial" w:cs="Arial" w:eastAsia="Arial" w:hAnsi="Arial"/>
                <w:sz w:val="17"/>
                <w:szCs w:val="17"/>
                <w:color w:val="auto"/>
              </w:rPr>
              <w:t>- $4.55</w:t>
            </w:r>
          </w:p>
        </w:tc>
      </w:tr>
      <w:tr>
        <w:trPr>
          <w:trHeight w:val="172"/>
        </w:trPr>
        <w:tc>
          <w:tcPr>
            <w:tcW w:w="3760" w:type="dxa"/>
            <w:vAlign w:val="bottom"/>
            <w:tcBorders>
              <w:bottom w:val="single" w:sz="8" w:color="auto"/>
            </w:tcBorders>
          </w:tcPr>
          <w:p>
            <w:pPr>
              <w:spacing w:after="0"/>
              <w:rPr>
                <w:sz w:val="14"/>
                <w:szCs w:val="14"/>
                <w:color w:val="auto"/>
              </w:rPr>
            </w:pPr>
          </w:p>
        </w:tc>
        <w:tc>
          <w:tcPr>
            <w:tcW w:w="512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378"/>
        </w:trPr>
        <w:tc>
          <w:tcPr>
            <w:tcW w:w="3760" w:type="dxa"/>
            <w:vAlign w:val="bottom"/>
          </w:tcPr>
          <w:p>
            <w:pPr>
              <w:spacing w:after="0"/>
              <w:rPr>
                <w:sz w:val="24"/>
                <w:szCs w:val="24"/>
                <w:color w:val="auto"/>
              </w:rPr>
            </w:pPr>
          </w:p>
        </w:tc>
        <w:tc>
          <w:tcPr>
            <w:tcW w:w="5120" w:type="dxa"/>
            <w:vAlign w:val="bottom"/>
            <w:gridSpan w:val="2"/>
          </w:tcPr>
          <w:p>
            <w:pPr>
              <w:jc w:val="right"/>
              <w:ind w:right="3024"/>
              <w:spacing w:after="0"/>
              <w:rPr>
                <w:sz w:val="20"/>
                <w:szCs w:val="20"/>
                <w:color w:val="auto"/>
              </w:rPr>
            </w:pPr>
            <w:r>
              <w:rPr>
                <w:rFonts w:ascii="Arial" w:cs="Arial" w:eastAsia="Arial" w:hAnsi="Arial"/>
                <w:sz w:val="16"/>
                <w:szCs w:val="16"/>
                <w:color w:val="auto"/>
              </w:rPr>
              <w:t>F-24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All restricted stock issued to-date were vested as of December 31, 2018, 96,039 of which vested in 2018 and had a weighted-average grant date fair value of $2.11. There was $0.2 million recognized for restricted stock for the year ending December 31,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992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67"/>
        </w:trPr>
        <w:tc>
          <w:tcPr>
            <w:tcW w:w="99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Current tax provision:</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7"/>
        </w:trPr>
        <w:tc>
          <w:tcPr>
            <w:tcW w:w="9920" w:type="dxa"/>
            <w:vAlign w:val="bottom"/>
          </w:tcPr>
          <w:p>
            <w:pPr>
              <w:ind w:left="260"/>
              <w:spacing w:after="0" w:line="187" w:lineRule="exact"/>
              <w:rPr>
                <w:sz w:val="20"/>
                <w:szCs w:val="20"/>
                <w:color w:val="auto"/>
              </w:rPr>
            </w:pPr>
            <w:r>
              <w:rPr>
                <w:rFonts w:ascii="Arial" w:cs="Arial" w:eastAsia="Arial" w:hAnsi="Arial"/>
                <w:sz w:val="17"/>
                <w:szCs w:val="17"/>
                <w:color w:val="auto"/>
              </w:rPr>
              <w:t>Current federal provision</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660" w:type="dxa"/>
            <w:vAlign w:val="bottom"/>
            <w:gridSpan w:val="3"/>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669</w:t>
            </w:r>
          </w:p>
        </w:tc>
      </w:tr>
      <w:tr>
        <w:trPr>
          <w:trHeight w:val="187"/>
        </w:trPr>
        <w:tc>
          <w:tcPr>
            <w:tcW w:w="99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Current state provision</w:t>
            </w:r>
          </w:p>
        </w:tc>
        <w:tc>
          <w:tcPr>
            <w:tcW w:w="1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9</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135</w:t>
            </w:r>
          </w:p>
        </w:tc>
      </w:tr>
      <w:tr>
        <w:trPr>
          <w:trHeight w:val="194"/>
        </w:trPr>
        <w:tc>
          <w:tcPr>
            <w:tcW w:w="9920" w:type="dxa"/>
            <w:vAlign w:val="bottom"/>
          </w:tcPr>
          <w:p>
            <w:pPr>
              <w:ind w:left="500"/>
              <w:spacing w:after="0" w:line="194" w:lineRule="exact"/>
              <w:rPr>
                <w:sz w:val="20"/>
                <w:szCs w:val="20"/>
                <w:color w:val="auto"/>
              </w:rPr>
            </w:pPr>
            <w:r>
              <w:rPr>
                <w:rFonts w:ascii="Arial" w:cs="Arial" w:eastAsia="Arial" w:hAnsi="Arial"/>
                <w:sz w:val="17"/>
                <w:szCs w:val="17"/>
                <w:color w:val="auto"/>
              </w:rPr>
              <w:t>Total current provision</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804</w:t>
            </w:r>
          </w:p>
        </w:tc>
        <w:tc>
          <w:tcPr>
            <w:tcW w:w="60" w:type="dxa"/>
            <w:vAlign w:val="bottom"/>
          </w:tcPr>
          <w:p>
            <w:pPr>
              <w:spacing w:after="0"/>
              <w:rPr>
                <w:sz w:val="16"/>
                <w:szCs w:val="16"/>
                <w:color w:val="auto"/>
              </w:rPr>
            </w:pPr>
          </w:p>
        </w:tc>
      </w:tr>
      <w:tr>
        <w:trPr>
          <w:trHeight w:val="187"/>
        </w:trPr>
        <w:tc>
          <w:tcPr>
            <w:tcW w:w="9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Deferred tax provision:</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9920" w:type="dxa"/>
            <w:vAlign w:val="bottom"/>
          </w:tcPr>
          <w:p>
            <w:pPr>
              <w:ind w:left="260"/>
              <w:spacing w:after="0" w:line="187" w:lineRule="exact"/>
              <w:rPr>
                <w:sz w:val="20"/>
                <w:szCs w:val="20"/>
                <w:color w:val="auto"/>
              </w:rPr>
            </w:pPr>
            <w:r>
              <w:rPr>
                <w:rFonts w:ascii="Arial" w:cs="Arial" w:eastAsia="Arial" w:hAnsi="Arial"/>
                <w:sz w:val="17"/>
                <w:szCs w:val="17"/>
                <w:color w:val="auto"/>
              </w:rPr>
              <w:t>Deferred federal provision</w:t>
            </w:r>
          </w:p>
        </w:tc>
        <w:tc>
          <w:tcPr>
            <w:tcW w:w="100" w:type="dxa"/>
            <w:vAlign w:val="bottom"/>
          </w:tcPr>
          <w:p>
            <w:pPr>
              <w:spacing w:after="0"/>
              <w:rPr>
                <w:sz w:val="16"/>
                <w:szCs w:val="16"/>
                <w:color w:val="auto"/>
              </w:rPr>
            </w:pPr>
          </w:p>
        </w:tc>
        <w:tc>
          <w:tcPr>
            <w:tcW w:w="660" w:type="dxa"/>
            <w:vAlign w:val="bottom"/>
            <w:gridSpan w:val="3"/>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r>
      <w:tr>
        <w:trPr>
          <w:trHeight w:val="187"/>
        </w:trPr>
        <w:tc>
          <w:tcPr>
            <w:tcW w:w="99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Deferred state provision</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r>
      <w:tr>
        <w:trPr>
          <w:trHeight w:val="194"/>
        </w:trPr>
        <w:tc>
          <w:tcPr>
            <w:tcW w:w="9920" w:type="dxa"/>
            <w:vAlign w:val="bottom"/>
          </w:tcPr>
          <w:p>
            <w:pPr>
              <w:ind w:left="500"/>
              <w:spacing w:after="0" w:line="194" w:lineRule="exact"/>
              <w:rPr>
                <w:sz w:val="20"/>
                <w:szCs w:val="20"/>
                <w:color w:val="auto"/>
              </w:rPr>
            </w:pPr>
            <w:r>
              <w:rPr>
                <w:rFonts w:ascii="Arial" w:cs="Arial" w:eastAsia="Arial" w:hAnsi="Arial"/>
                <w:sz w:val="17"/>
                <w:szCs w:val="17"/>
                <w:color w:val="auto"/>
              </w:rPr>
              <w:t>Total tax provision</w:t>
            </w: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w:t>
            </w:r>
          </w:p>
        </w:tc>
        <w:tc>
          <w:tcPr>
            <w:tcW w:w="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804</w:t>
            </w:r>
          </w:p>
        </w:tc>
        <w:tc>
          <w:tcPr>
            <w:tcW w:w="60" w:type="dxa"/>
            <w:vAlign w:val="bottom"/>
          </w:tcPr>
          <w:p>
            <w:pPr>
              <w:spacing w:after="0"/>
              <w:rPr>
                <w:sz w:val="16"/>
                <w:szCs w:val="16"/>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Tax Rate Reconciliation</w:t>
      </w:r>
    </w:p>
    <w:p>
      <w:pPr>
        <w:spacing w:after="0" w:line="39" w:lineRule="exact"/>
        <w:rPr>
          <w:sz w:val="20"/>
          <w:szCs w:val="20"/>
          <w:color w:val="auto"/>
        </w:rPr>
      </w:pPr>
    </w:p>
    <w:p>
      <w:pPr>
        <w:ind w:right="540"/>
        <w:spacing w:after="0" w:line="244" w:lineRule="auto"/>
        <w:rPr>
          <w:sz w:val="20"/>
          <w:szCs w:val="20"/>
          <w:color w:val="auto"/>
        </w:rPr>
      </w:pPr>
      <w:r>
        <w:rPr>
          <w:rFonts w:ascii="Arial" w:cs="Arial" w:eastAsia="Arial" w:hAnsi="Arial"/>
          <w:sz w:val="17"/>
          <w:szCs w:val="17"/>
          <w:color w:val="auto"/>
        </w:rPr>
        <w:t>A reconciliation of income tax expense/(benefit) computed at the statutory federal rate to income taxes as reflected in the consolidated financial statements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54"/>
        </w:trPr>
        <w:tc>
          <w:tcPr>
            <w:tcW w:w="3940" w:type="dxa"/>
            <w:vAlign w:val="bottom"/>
            <w:tcBorders>
              <w:bottom w:val="single" w:sz="8" w:color="CCEEFF"/>
            </w:tcBorders>
          </w:tcPr>
          <w:p>
            <w:pPr>
              <w:spacing w:after="0"/>
              <w:rPr>
                <w:sz w:val="13"/>
                <w:szCs w:val="13"/>
                <w:color w:val="auto"/>
              </w:rPr>
            </w:pPr>
          </w:p>
        </w:tc>
        <w:tc>
          <w:tcPr>
            <w:tcW w:w="418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41"/>
              <w:spacing w:after="0" w:line="154"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7"/>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3"/>
                <w:szCs w:val="13"/>
                <w:color w:val="auto"/>
              </w:rPr>
            </w:pPr>
          </w:p>
        </w:tc>
      </w:tr>
      <w:tr>
        <w:trPr>
          <w:trHeight w:val="181"/>
        </w:trPr>
        <w:tc>
          <w:tcPr>
            <w:tcW w:w="39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Pre-tax book income</w:t>
            </w:r>
          </w:p>
        </w:tc>
        <w:tc>
          <w:tcPr>
            <w:tcW w:w="41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ind w:right="800"/>
              <w:spacing w:after="0" w:line="180" w:lineRule="exact"/>
              <w:rPr>
                <w:sz w:val="20"/>
                <w:szCs w:val="20"/>
                <w:color w:val="auto"/>
              </w:rPr>
            </w:pPr>
            <w:r>
              <w:rPr>
                <w:rFonts w:ascii="Arial" w:cs="Arial" w:eastAsia="Arial" w:hAnsi="Arial"/>
                <w:sz w:val="17"/>
                <w:szCs w:val="17"/>
                <w:color w:val="auto"/>
              </w:rPr>
              <w:t>21.0%</w:t>
            </w:r>
          </w:p>
        </w:tc>
        <w:tc>
          <w:tcPr>
            <w:tcW w:w="122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21.0%</w:t>
            </w:r>
          </w:p>
        </w:tc>
      </w:tr>
      <w:tr>
        <w:trPr>
          <w:trHeight w:val="187"/>
        </w:trPr>
        <w:tc>
          <w:tcPr>
            <w:tcW w:w="3940" w:type="dxa"/>
            <w:vAlign w:val="bottom"/>
          </w:tcPr>
          <w:p>
            <w:pPr>
              <w:ind w:left="260"/>
              <w:spacing w:after="0" w:line="187" w:lineRule="exact"/>
              <w:rPr>
                <w:sz w:val="20"/>
                <w:szCs w:val="20"/>
                <w:color w:val="auto"/>
              </w:rPr>
            </w:pPr>
            <w:r>
              <w:rPr>
                <w:rFonts w:ascii="Arial" w:cs="Arial" w:eastAsia="Arial" w:hAnsi="Arial"/>
                <w:sz w:val="17"/>
                <w:szCs w:val="17"/>
                <w:color w:val="auto"/>
              </w:rPr>
              <w:t>Stock-based compensation</w:t>
            </w:r>
          </w:p>
        </w:tc>
        <w:tc>
          <w:tcPr>
            <w:tcW w:w="6080" w:type="dxa"/>
            <w:vAlign w:val="bottom"/>
            <w:gridSpan w:val="3"/>
          </w:tcPr>
          <w:p>
            <w:pPr>
              <w:jc w:val="right"/>
              <w:ind w:right="880"/>
              <w:spacing w:after="0" w:line="187" w:lineRule="exact"/>
              <w:rPr>
                <w:sz w:val="20"/>
                <w:szCs w:val="20"/>
                <w:color w:val="auto"/>
              </w:rPr>
            </w:pPr>
            <w:r>
              <w:rPr>
                <w:rFonts w:ascii="Arial" w:cs="Arial" w:eastAsia="Arial" w:hAnsi="Arial"/>
                <w:sz w:val="17"/>
                <w:szCs w:val="17"/>
                <w:color w:val="auto"/>
              </w:rPr>
              <w:t>(0.4)</w:t>
            </w:r>
          </w:p>
        </w:tc>
        <w:tc>
          <w:tcPr>
            <w:tcW w:w="122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(0.4)</w:t>
            </w:r>
          </w:p>
        </w:tc>
      </w:tr>
      <w:tr>
        <w:trPr>
          <w:trHeight w:val="187"/>
        </w:trPr>
        <w:tc>
          <w:tcPr>
            <w:tcW w:w="394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State tax—net of federal</w:t>
            </w:r>
          </w:p>
        </w:tc>
        <w:tc>
          <w:tcPr>
            <w:tcW w:w="51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6.9</w:t>
            </w:r>
          </w:p>
        </w:tc>
        <w:tc>
          <w:tcPr>
            <w:tcW w:w="9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6.6</w:t>
            </w:r>
          </w:p>
        </w:tc>
      </w:tr>
      <w:tr>
        <w:trPr>
          <w:trHeight w:val="187"/>
        </w:trPr>
        <w:tc>
          <w:tcPr>
            <w:tcW w:w="3940" w:type="dxa"/>
            <w:vAlign w:val="bottom"/>
          </w:tcPr>
          <w:p>
            <w:pPr>
              <w:ind w:left="260"/>
              <w:spacing w:after="0" w:line="187" w:lineRule="exact"/>
              <w:rPr>
                <w:sz w:val="20"/>
                <w:szCs w:val="20"/>
                <w:color w:val="auto"/>
              </w:rPr>
            </w:pPr>
            <w:r>
              <w:rPr>
                <w:rFonts w:ascii="Arial" w:cs="Arial" w:eastAsia="Arial" w:hAnsi="Arial"/>
                <w:sz w:val="17"/>
                <w:szCs w:val="17"/>
                <w:color w:val="auto"/>
              </w:rPr>
              <w:t>State credits</w:t>
            </w:r>
          </w:p>
        </w:tc>
        <w:tc>
          <w:tcPr>
            <w:tcW w:w="51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1.7</w:t>
            </w:r>
          </w:p>
        </w:tc>
        <w:tc>
          <w:tcPr>
            <w:tcW w:w="940" w:type="dxa"/>
            <w:vAlign w:val="bottom"/>
          </w:tcPr>
          <w:p>
            <w:pPr>
              <w:spacing w:after="0"/>
              <w:rPr>
                <w:sz w:val="16"/>
                <w:szCs w:val="16"/>
                <w:color w:val="auto"/>
              </w:rPr>
            </w:pPr>
          </w:p>
        </w:tc>
        <w:tc>
          <w:tcPr>
            <w:tcW w:w="122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0.6</w:t>
            </w:r>
          </w:p>
        </w:tc>
      </w:tr>
      <w:tr>
        <w:trPr>
          <w:trHeight w:val="187"/>
        </w:trPr>
        <w:tc>
          <w:tcPr>
            <w:tcW w:w="394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Federal credits</w:t>
            </w:r>
          </w:p>
        </w:tc>
        <w:tc>
          <w:tcPr>
            <w:tcW w:w="51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2.7</w:t>
            </w:r>
          </w:p>
        </w:tc>
        <w:tc>
          <w:tcPr>
            <w:tcW w:w="9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1.1</w:t>
            </w:r>
          </w:p>
        </w:tc>
      </w:tr>
      <w:tr>
        <w:trPr>
          <w:trHeight w:val="187"/>
        </w:trPr>
        <w:tc>
          <w:tcPr>
            <w:tcW w:w="3940" w:type="dxa"/>
            <w:vAlign w:val="bottom"/>
          </w:tcPr>
          <w:p>
            <w:pPr>
              <w:ind w:left="260"/>
              <w:spacing w:after="0" w:line="187" w:lineRule="exact"/>
              <w:rPr>
                <w:sz w:val="20"/>
                <w:szCs w:val="20"/>
                <w:color w:val="auto"/>
              </w:rPr>
            </w:pPr>
            <w:r>
              <w:rPr>
                <w:rFonts w:ascii="Arial" w:cs="Arial" w:eastAsia="Arial" w:hAnsi="Arial"/>
                <w:sz w:val="17"/>
                <w:szCs w:val="17"/>
                <w:color w:val="auto"/>
              </w:rPr>
              <w:t>Valuation allowance</w:t>
            </w:r>
          </w:p>
        </w:tc>
        <w:tc>
          <w:tcPr>
            <w:tcW w:w="6080" w:type="dxa"/>
            <w:vAlign w:val="bottom"/>
            <w:gridSpan w:val="3"/>
          </w:tcPr>
          <w:p>
            <w:pPr>
              <w:jc w:val="right"/>
              <w:ind w:right="880"/>
              <w:spacing w:after="0" w:line="187" w:lineRule="exact"/>
              <w:rPr>
                <w:sz w:val="20"/>
                <w:szCs w:val="20"/>
                <w:color w:val="auto"/>
              </w:rPr>
            </w:pPr>
            <w:r>
              <w:rPr>
                <w:rFonts w:ascii="Arial" w:cs="Arial" w:eastAsia="Arial" w:hAnsi="Arial"/>
                <w:sz w:val="17"/>
                <w:szCs w:val="17"/>
                <w:color w:val="auto"/>
              </w:rPr>
              <w:t>(34.1)</w:t>
            </w:r>
          </w:p>
        </w:tc>
        <w:tc>
          <w:tcPr>
            <w:tcW w:w="122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(32.1)</w:t>
            </w:r>
          </w:p>
        </w:tc>
      </w:tr>
      <w:tr>
        <w:trPr>
          <w:trHeight w:val="187"/>
        </w:trPr>
        <w:tc>
          <w:tcPr>
            <w:tcW w:w="394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Rate change</w:t>
            </w:r>
          </w:p>
        </w:tc>
        <w:tc>
          <w:tcPr>
            <w:tcW w:w="51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1.0</w:t>
            </w:r>
          </w:p>
        </w:tc>
        <w:tc>
          <w:tcPr>
            <w:tcW w:w="9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(0.1)</w:t>
            </w:r>
          </w:p>
        </w:tc>
      </w:tr>
      <w:tr>
        <w:trPr>
          <w:trHeight w:val="187"/>
        </w:trPr>
        <w:tc>
          <w:tcPr>
            <w:tcW w:w="3940" w:type="dxa"/>
            <w:vAlign w:val="bottom"/>
          </w:tcPr>
          <w:p>
            <w:pPr>
              <w:ind w:left="260"/>
              <w:spacing w:after="0" w:line="187" w:lineRule="exact"/>
              <w:rPr>
                <w:sz w:val="20"/>
                <w:szCs w:val="20"/>
                <w:color w:val="auto"/>
              </w:rPr>
            </w:pPr>
            <w:r>
              <w:rPr>
                <w:rFonts w:ascii="Arial" w:cs="Arial" w:eastAsia="Arial" w:hAnsi="Arial"/>
                <w:sz w:val="17"/>
                <w:szCs w:val="17"/>
                <w:color w:val="auto"/>
              </w:rPr>
              <w:t>Other permanent differences</w:t>
            </w:r>
          </w:p>
        </w:tc>
        <w:tc>
          <w:tcPr>
            <w:tcW w:w="4180" w:type="dxa"/>
            <w:vAlign w:val="bottom"/>
          </w:tcPr>
          <w:p>
            <w:pPr>
              <w:spacing w:after="0"/>
              <w:rPr>
                <w:sz w:val="16"/>
                <w:szCs w:val="16"/>
                <w:color w:val="auto"/>
              </w:rPr>
            </w:pPr>
          </w:p>
        </w:tc>
        <w:tc>
          <w:tcPr>
            <w:tcW w:w="960" w:type="dxa"/>
            <w:vAlign w:val="bottom"/>
          </w:tcPr>
          <w:p>
            <w:pPr>
              <w:jc w:val="right"/>
              <w:spacing w:after="0" w:line="187" w:lineRule="exact"/>
              <w:rPr>
                <w:sz w:val="20"/>
                <w:szCs w:val="20"/>
                <w:color w:val="auto"/>
              </w:rPr>
            </w:pPr>
            <w:r>
              <w:rPr>
                <w:rFonts w:ascii="Arial" w:cs="Arial" w:eastAsia="Arial" w:hAnsi="Arial"/>
                <w:sz w:val="17"/>
                <w:szCs w:val="17"/>
                <w:color w:val="auto"/>
              </w:rPr>
              <w:t>1.2</w:t>
            </w:r>
          </w:p>
        </w:tc>
        <w:tc>
          <w:tcPr>
            <w:tcW w:w="940" w:type="dxa"/>
            <w:vAlign w:val="bottom"/>
          </w:tcPr>
          <w:p>
            <w:pPr>
              <w:spacing w:after="0"/>
              <w:rPr>
                <w:sz w:val="16"/>
                <w:szCs w:val="16"/>
                <w:color w:val="auto"/>
              </w:rPr>
            </w:pPr>
          </w:p>
        </w:tc>
        <w:tc>
          <w:tcPr>
            <w:tcW w:w="122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0.9</w:t>
            </w:r>
          </w:p>
        </w:tc>
      </w:tr>
      <w:tr>
        <w:trPr>
          <w:trHeight w:val="27"/>
        </w:trPr>
        <w:tc>
          <w:tcPr>
            <w:tcW w:w="3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7"/>
        </w:trPr>
        <w:tc>
          <w:tcPr>
            <w:tcW w:w="394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(2.4)%</w:t>
            </w:r>
          </w:p>
        </w:tc>
      </w:tr>
      <w:tr>
        <w:trPr>
          <w:trHeight w:val="20"/>
        </w:trPr>
        <w:tc>
          <w:tcPr>
            <w:tcW w:w="39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7"/>
        </w:trPr>
        <w:tc>
          <w:tcPr>
            <w:tcW w:w="39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3"/>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378"/>
        </w:trPr>
        <w:tc>
          <w:tcPr>
            <w:tcW w:w="3940" w:type="dxa"/>
            <w:vAlign w:val="bottom"/>
          </w:tcPr>
          <w:p>
            <w:pPr>
              <w:spacing w:after="0"/>
              <w:rPr>
                <w:sz w:val="24"/>
                <w:szCs w:val="24"/>
                <w:color w:val="auto"/>
              </w:rPr>
            </w:pPr>
          </w:p>
        </w:tc>
        <w:tc>
          <w:tcPr>
            <w:tcW w:w="6080" w:type="dxa"/>
            <w:vAlign w:val="bottom"/>
            <w:gridSpan w:val="3"/>
          </w:tcPr>
          <w:p>
            <w:pPr>
              <w:jc w:val="right"/>
              <w:ind w:right="4240"/>
              <w:spacing w:after="0"/>
              <w:rPr>
                <w:sz w:val="20"/>
                <w:szCs w:val="20"/>
                <w:color w:val="auto"/>
              </w:rPr>
            </w:pPr>
            <w:r>
              <w:rPr>
                <w:rFonts w:ascii="Arial" w:cs="Arial" w:eastAsia="Arial" w:hAnsi="Arial"/>
                <w:sz w:val="16"/>
                <w:szCs w:val="16"/>
                <w:color w:val="auto"/>
              </w:rPr>
              <w:t>F-25</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Significant Components of Deferred Taxes</w:t>
      </w:r>
    </w:p>
    <w:p>
      <w:pPr>
        <w:spacing w:after="0" w:line="40"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Significant components of the Company’s net deferred tax assets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335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93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7"/>
              <w:spacing w:after="0" w:line="154"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167"/>
        </w:trPr>
        <w:tc>
          <w:tcPr>
            <w:tcW w:w="93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9320" w:type="dxa"/>
            <w:vAlign w:val="bottom"/>
          </w:tcPr>
          <w:p>
            <w:pPr>
              <w:spacing w:after="0" w:line="187" w:lineRule="exact"/>
              <w:rPr>
                <w:sz w:val="20"/>
                <w:szCs w:val="20"/>
                <w:color w:val="auto"/>
              </w:rPr>
            </w:pPr>
            <w:r>
              <w:rPr>
                <w:rFonts w:ascii="Arial" w:cs="Arial" w:eastAsia="Arial" w:hAnsi="Arial"/>
                <w:sz w:val="17"/>
                <w:szCs w:val="17"/>
                <w:color w:val="auto"/>
              </w:rPr>
              <w:t>Capitalized start-up costs</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1,331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1,151</w:t>
            </w:r>
          </w:p>
        </w:tc>
      </w:tr>
      <w:tr>
        <w:trPr>
          <w:trHeight w:val="187"/>
        </w:trPr>
        <w:tc>
          <w:tcPr>
            <w:tcW w:w="93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Operating lease liability</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4,101</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3,821</w:t>
            </w:r>
          </w:p>
        </w:tc>
      </w:tr>
      <w:tr>
        <w:trPr>
          <w:trHeight w:val="187"/>
        </w:trPr>
        <w:tc>
          <w:tcPr>
            <w:tcW w:w="9320" w:type="dxa"/>
            <w:vAlign w:val="bottom"/>
          </w:tcPr>
          <w:p>
            <w:pPr>
              <w:spacing w:after="0" w:line="187" w:lineRule="exact"/>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6"/>
                <w:szCs w:val="16"/>
                <w:color w:val="auto"/>
              </w:rPr>
            </w:pPr>
          </w:p>
        </w:tc>
        <w:tc>
          <w:tcPr>
            <w:tcW w:w="104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27</w:t>
            </w:r>
          </w:p>
        </w:tc>
        <w:tc>
          <w:tcPr>
            <w:tcW w:w="100" w:type="dxa"/>
            <w:vAlign w:val="bottom"/>
          </w:tcPr>
          <w:p>
            <w:pPr>
              <w:spacing w:after="0"/>
              <w:rPr>
                <w:sz w:val="16"/>
                <w:szCs w:val="16"/>
                <w:color w:val="auto"/>
              </w:rPr>
            </w:pPr>
          </w:p>
        </w:tc>
        <w:tc>
          <w:tcPr>
            <w:tcW w:w="6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w:t>
            </w:r>
          </w:p>
        </w:tc>
      </w:tr>
      <w:tr>
        <w:trPr>
          <w:trHeight w:val="187"/>
        </w:trPr>
        <w:tc>
          <w:tcPr>
            <w:tcW w:w="93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542</w:t>
            </w:r>
          </w:p>
        </w:tc>
      </w:tr>
      <w:tr>
        <w:trPr>
          <w:trHeight w:val="187"/>
        </w:trPr>
        <w:tc>
          <w:tcPr>
            <w:tcW w:w="9320" w:type="dxa"/>
            <w:vAlign w:val="bottom"/>
          </w:tcPr>
          <w:p>
            <w:pPr>
              <w:spacing w:after="0" w:line="187" w:lineRule="exact"/>
              <w:rPr>
                <w:sz w:val="20"/>
                <w:szCs w:val="20"/>
                <w:color w:val="auto"/>
              </w:rPr>
            </w:pPr>
            <w:r>
              <w:rPr>
                <w:rFonts w:ascii="Arial" w:cs="Arial" w:eastAsia="Arial" w:hAnsi="Arial"/>
                <w:sz w:val="17"/>
                <w:szCs w:val="17"/>
                <w:color w:val="auto"/>
              </w:rPr>
              <w:t>Net operating losses</w:t>
            </w:r>
          </w:p>
        </w:tc>
        <w:tc>
          <w:tcPr>
            <w:tcW w:w="100" w:type="dxa"/>
            <w:vAlign w:val="bottom"/>
          </w:tcPr>
          <w:p>
            <w:pPr>
              <w:spacing w:after="0"/>
              <w:rPr>
                <w:sz w:val="16"/>
                <w:szCs w:val="16"/>
                <w:color w:val="auto"/>
              </w:rPr>
            </w:pPr>
          </w:p>
        </w:tc>
        <w:tc>
          <w:tcPr>
            <w:tcW w:w="104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10,301</w:t>
            </w:r>
          </w:p>
        </w:tc>
        <w:tc>
          <w:tcPr>
            <w:tcW w:w="100" w:type="dxa"/>
            <w:vAlign w:val="bottom"/>
          </w:tcPr>
          <w:p>
            <w:pPr>
              <w:spacing w:after="0"/>
              <w:rPr>
                <w:sz w:val="16"/>
                <w:szCs w:val="16"/>
                <w:color w:val="auto"/>
              </w:rPr>
            </w:pPr>
          </w:p>
        </w:tc>
        <w:tc>
          <w:tcPr>
            <w:tcW w:w="6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575</w:t>
            </w:r>
          </w:p>
        </w:tc>
      </w:tr>
      <w:tr>
        <w:trPr>
          <w:trHeight w:val="187"/>
        </w:trPr>
        <w:tc>
          <w:tcPr>
            <w:tcW w:w="93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R&amp;D and investment tax credits</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2,985</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441</w:t>
            </w:r>
          </w:p>
        </w:tc>
      </w:tr>
      <w:tr>
        <w:trPr>
          <w:trHeight w:val="194"/>
        </w:trPr>
        <w:tc>
          <w:tcPr>
            <w:tcW w:w="9320" w:type="dxa"/>
            <w:vAlign w:val="bottom"/>
          </w:tcPr>
          <w:p>
            <w:pPr>
              <w:spacing w:after="0" w:line="187" w:lineRule="exact"/>
              <w:rPr>
                <w:sz w:val="20"/>
                <w:szCs w:val="20"/>
                <w:color w:val="auto"/>
              </w:rPr>
            </w:pPr>
            <w:r>
              <w:rPr>
                <w:rFonts w:ascii="Arial" w:cs="Arial" w:eastAsia="Arial" w:hAnsi="Arial"/>
                <w:sz w:val="17"/>
                <w:szCs w:val="17"/>
                <w:color w:val="auto"/>
              </w:rPr>
              <w:t>Deferred revenue</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2,593</w:t>
            </w: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25,271</w:t>
            </w:r>
          </w:p>
        </w:tc>
        <w:tc>
          <w:tcPr>
            <w:tcW w:w="100" w:type="dxa"/>
            <w:vAlign w:val="bottom"/>
          </w:tcPr>
          <w:p>
            <w:pPr>
              <w:spacing w:after="0"/>
              <w:rPr>
                <w:sz w:val="16"/>
                <w:szCs w:val="16"/>
                <w:color w:val="auto"/>
              </w:rPr>
            </w:pP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Total deferred tax asset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21,606</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31,801</w:t>
            </w:r>
          </w:p>
        </w:tc>
      </w:tr>
      <w:tr>
        <w:trPr>
          <w:trHeight w:val="301"/>
        </w:trPr>
        <w:tc>
          <w:tcPr>
            <w:tcW w:w="9320" w:type="dxa"/>
            <w:vAlign w:val="bottom"/>
          </w:tcPr>
          <w:p>
            <w:pPr>
              <w:spacing w:after="0"/>
              <w:rPr>
                <w:sz w:val="20"/>
                <w:szCs w:val="20"/>
                <w:color w:val="auto"/>
              </w:rPr>
            </w:pPr>
            <w:r>
              <w:rPr>
                <w:rFonts w:ascii="Arial" w:cs="Arial" w:eastAsia="Arial" w:hAnsi="Arial"/>
                <w:sz w:val="17"/>
                <w:szCs w:val="17"/>
                <w:color w:val="auto"/>
              </w:rPr>
              <w:t>Valuation allowance</w:t>
            </w: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w w:val="97"/>
              </w:rPr>
              <w:t>(16,387)</w:t>
            </w: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(27,058)</w:t>
            </w: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Net deferred tax assets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5,219</w:t>
            </w:r>
          </w:p>
        </w:tc>
        <w:tc>
          <w:tcPr>
            <w:tcW w:w="4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4,743</w:t>
            </w:r>
          </w:p>
        </w:tc>
        <w:tc>
          <w:tcPr>
            <w:tcW w:w="100" w:type="dxa"/>
            <w:vAlign w:val="bottom"/>
            <w:shd w:val="clear" w:color="auto" w:fill="CCEEFF"/>
          </w:tcPr>
          <w:p>
            <w:pPr>
              <w:spacing w:after="0"/>
              <w:rPr>
                <w:sz w:val="16"/>
                <w:szCs w:val="16"/>
                <w:color w:val="auto"/>
              </w:rPr>
            </w:pPr>
          </w:p>
        </w:tc>
      </w:tr>
      <w:tr>
        <w:trPr>
          <w:trHeight w:val="294"/>
        </w:trPr>
        <w:tc>
          <w:tcPr>
            <w:tcW w:w="93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93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Right-of-use asset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(4,416)</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(4,017)</w:t>
            </w:r>
          </w:p>
        </w:tc>
      </w:tr>
      <w:tr>
        <w:trPr>
          <w:trHeight w:val="187"/>
        </w:trPr>
        <w:tc>
          <w:tcPr>
            <w:tcW w:w="9320" w:type="dxa"/>
            <w:vAlign w:val="bottom"/>
          </w:tcPr>
          <w:p>
            <w:pPr>
              <w:spacing w:after="0" w:line="187" w:lineRule="exact"/>
              <w:rPr>
                <w:sz w:val="20"/>
                <w:szCs w:val="20"/>
                <w:color w:val="auto"/>
              </w:rPr>
            </w:pPr>
            <w:r>
              <w:rPr>
                <w:rFonts w:ascii="Arial" w:cs="Arial" w:eastAsia="Arial" w:hAnsi="Arial"/>
                <w:sz w:val="17"/>
                <w:szCs w:val="17"/>
                <w:color w:val="auto"/>
              </w:rPr>
              <w:t>Fixed assets</w:t>
            </w:r>
          </w:p>
        </w:tc>
        <w:tc>
          <w:tcPr>
            <w:tcW w:w="100" w:type="dxa"/>
            <w:vAlign w:val="bottom"/>
          </w:tcPr>
          <w:p>
            <w:pPr>
              <w:spacing w:after="0"/>
              <w:rPr>
                <w:sz w:val="16"/>
                <w:szCs w:val="16"/>
                <w:color w:val="auto"/>
              </w:rPr>
            </w:pPr>
          </w:p>
        </w:tc>
        <w:tc>
          <w:tcPr>
            <w:tcW w:w="104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(803)</w:t>
            </w:r>
          </w:p>
        </w:tc>
        <w:tc>
          <w:tcPr>
            <w:tcW w:w="100" w:type="dxa"/>
            <w:vAlign w:val="bottom"/>
          </w:tcPr>
          <w:p>
            <w:pPr>
              <w:spacing w:after="0"/>
              <w:rPr>
                <w:sz w:val="16"/>
                <w:szCs w:val="16"/>
                <w:color w:val="auto"/>
              </w:rPr>
            </w:pPr>
          </w:p>
        </w:tc>
        <w:tc>
          <w:tcPr>
            <w:tcW w:w="6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(726)</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Total deferred tax liability</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(5,219)</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(4,743)</w:t>
            </w:r>
          </w:p>
        </w:tc>
      </w:tr>
      <w:tr>
        <w:trPr>
          <w:trHeight w:val="194"/>
        </w:trPr>
        <w:tc>
          <w:tcPr>
            <w:tcW w:w="9320" w:type="dxa"/>
            <w:vAlign w:val="bottom"/>
          </w:tcPr>
          <w:p>
            <w:pPr>
              <w:ind w:left="260"/>
              <w:spacing w:after="0" w:line="194" w:lineRule="exact"/>
              <w:rPr>
                <w:sz w:val="20"/>
                <w:szCs w:val="20"/>
                <w:color w:val="auto"/>
              </w:rPr>
            </w:pPr>
            <w:r>
              <w:rPr>
                <w:rFonts w:ascii="Arial" w:cs="Arial" w:eastAsia="Arial" w:hAnsi="Arial"/>
                <w:sz w:val="17"/>
                <w:szCs w:val="17"/>
                <w:color w:val="auto"/>
              </w:rPr>
              <w:t>Net deferred tax assets</w:t>
            </w: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9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has evaluated the positive and negative evidence bearing upon the realizability of the deferred tax assets. As of December 31, 2018, and December 31, 2019, based on the Company’s historical operating losses, the Company has concluded that it is more-likely-than-not that the benefit of its deferred tax assets will not be realized. Accordingly, the Company has provided a full valuation allowance for the deferred tax assets as of December 31, 2018 and December 31, 2019. The valuation allowance for deferred tax assets as of December 31, 2018 and 2019 was $16.4 million and $27.1 million, respectively. The net valuation allowance increase of $10.7 million during the year ended December 31, 2019 was primarily due to the decrease in net operating loss and tax credits carryforward and an increase in deferred revenue recognized during the year.</w:t>
      </w:r>
    </w:p>
    <w:p>
      <w:pPr>
        <w:spacing w:after="0" w:line="67"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Under the provisions of the Internal Revenue Code (“IRC),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various financings since its inception which may have resulted in a change in control as defined by Sections 382 and 383 of the IRC, and it may complete future financings that could result in a change in control in the future. In 2020, the Company completed a study of ownership changes from inception through May 31, 2020, to assess whether an ownership change has occurred or whether there have been multiple ownership changes since its formation. The result of this study indicated that the Company experienced ownership changes as defined by IRS Section 382 of the Code, however there are no net operating loss carryforwards that will be limited and expire unused as a result of such ownership changes.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454" w:right="3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the Company has no gross federal net operating loss carryforwards.</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of December 31, 2019, the Company has total gross state net operating loss carryforwards of $8.2 million which may be available to offset future income tax liabilities that will begin to expire in 2038.</w:t>
      </w:r>
    </w:p>
    <w:p>
      <w:pPr>
        <w:spacing w:after="0" w:line="94"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At December 31, 2019, the Company has research credit carryforwards of $0.4 million and $0.1 million for federal and state income tax purposes, respectively, which are available to offset future federal and state income tax expense, if any, at various dates through 2039.</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will recognize interest and/or penalties related to uncertain tax benefits in income tax expense as they arise. As of December 31, 2018 and 2019, the Company had no accrued interest or penalties related to uncertain tax benefits.</w:t>
      </w:r>
    </w:p>
    <w:p>
      <w:pPr>
        <w:spacing w:after="0" w:line="94"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The Company files income tax returns in the United States, California, Massachusetts and Maryland. The federal and state income tax returns are generally subject to tax examinations for the tax years ended December 31, 2015 through December 31, 2019.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w:t>
      </w:r>
    </w:p>
    <w:p>
      <w:pPr>
        <w:spacing w:after="0" w:line="103"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The Coronavirus Aid, Relief and Economic Security (CARES) Act was enacted on March 27, 2020. The CARES Act is an approximately $2 trillion emergency economic stimulus package in response to the Coronavirus outbreak, which among other things contains numerous income tax provisions. Some of these tax provisions are expected to be effective retroactively for years ending before the date of enactment. The Company is currently evaluating the impact of the CARES Act on its consolidated financial position, results of operations and cash flow, but does not expect the impact to be 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Per Share</w:t>
      </w:r>
    </w:p>
    <w:p>
      <w:pPr>
        <w:spacing w:after="0" w:line="71"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Basic and diluted loss per share is computed by dividing net loss attributable to common stockholders by the weighted-average common shares outstanding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jc w:val="right"/>
              <w:ind w:right="201"/>
              <w:spacing w:after="0"/>
              <w:rPr>
                <w:sz w:val="20"/>
                <w:szCs w:val="20"/>
                <w:color w:val="auto"/>
              </w:rPr>
            </w:pPr>
            <w:r>
              <w:rPr>
                <w:rFonts w:ascii="Arial" w:cs="Arial" w:eastAsia="Arial" w:hAnsi="Arial"/>
                <w:sz w:val="14"/>
                <w:szCs w:val="14"/>
                <w:b w:val="1"/>
                <w:bCs w:val="1"/>
                <w:color w:val="auto"/>
              </w:rPr>
              <w:t>YEAR ENDED DECEMBER 31,</w:t>
            </w:r>
          </w:p>
        </w:tc>
      </w:tr>
      <w:tr>
        <w:trPr>
          <w:trHeight w:val="154"/>
        </w:trPr>
        <w:tc>
          <w:tcPr>
            <w:tcW w:w="87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180"/>
              <w:spacing w:after="0" w:line="154"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8"/>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167"/>
        </w:trPr>
        <w:tc>
          <w:tcPr>
            <w:tcW w:w="874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8740" w:type="dxa"/>
            <w:vAlign w:val="bottom"/>
          </w:tcPr>
          <w:p>
            <w:pPr>
              <w:ind w:left="260"/>
              <w:spacing w:after="0" w:line="187"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521"/>
              <w:spacing w:after="0" w:line="187" w:lineRule="exact"/>
              <w:rPr>
                <w:sz w:val="20"/>
                <w:szCs w:val="20"/>
                <w:color w:val="auto"/>
              </w:rPr>
            </w:pPr>
            <w:r>
              <w:rPr>
                <w:rFonts w:ascii="Arial" w:cs="Arial" w:eastAsia="Arial" w:hAnsi="Arial"/>
                <w:sz w:val="17"/>
                <w:szCs w:val="17"/>
                <w:color w:val="auto"/>
              </w:rPr>
              <w:t>(15,711)</w:t>
            </w:r>
          </w:p>
        </w:tc>
        <w:tc>
          <w:tcPr>
            <w:tcW w:w="12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(34,099)</w:t>
            </w:r>
          </w:p>
        </w:tc>
      </w:tr>
      <w:tr>
        <w:trPr>
          <w:trHeight w:val="187"/>
        </w:trPr>
        <w:tc>
          <w:tcPr>
            <w:tcW w:w="874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Accrual of preferred stock dividends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21"/>
              <w:spacing w:after="0" w:line="187" w:lineRule="exact"/>
              <w:rPr>
                <w:sz w:val="20"/>
                <w:szCs w:val="20"/>
                <w:color w:val="auto"/>
              </w:rPr>
            </w:pPr>
            <w:r>
              <w:rPr>
                <w:rFonts w:ascii="Arial" w:cs="Arial" w:eastAsia="Arial" w:hAnsi="Arial"/>
                <w:sz w:val="17"/>
                <w:szCs w:val="17"/>
                <w:color w:val="auto"/>
              </w:rPr>
              <w:t>(8,396)</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(8,468)</w:t>
            </w:r>
          </w:p>
        </w:tc>
      </w:tr>
      <w:tr>
        <w:trPr>
          <w:trHeight w:val="194"/>
        </w:trPr>
        <w:tc>
          <w:tcPr>
            <w:tcW w:w="8740" w:type="dxa"/>
            <w:vAlign w:val="bottom"/>
          </w:tcPr>
          <w:p>
            <w:pPr>
              <w:ind w:left="260"/>
              <w:spacing w:after="0" w:line="194" w:lineRule="exact"/>
              <w:rPr>
                <w:sz w:val="20"/>
                <w:szCs w:val="20"/>
                <w:color w:val="auto"/>
              </w:rPr>
            </w:pPr>
            <w:r>
              <w:rPr>
                <w:rFonts w:ascii="Arial" w:cs="Arial" w:eastAsia="Arial" w:hAnsi="Arial"/>
                <w:sz w:val="17"/>
                <w:szCs w:val="17"/>
                <w:color w:val="auto"/>
              </w:rPr>
              <w:t>Net loss attributable to common stockholders—basic and diluted</w:t>
            </w: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ind w:left="200"/>
              <w:spacing w:after="0" w:line="194" w:lineRule="exact"/>
              <w:rPr>
                <w:sz w:val="20"/>
                <w:szCs w:val="20"/>
                <w:color w:val="auto"/>
              </w:rPr>
            </w:pPr>
            <w:r>
              <w:rPr>
                <w:rFonts w:ascii="Arial" w:cs="Arial" w:eastAsia="Arial" w:hAnsi="Arial"/>
                <w:sz w:val="17"/>
                <w:szCs w:val="17"/>
                <w:color w:val="auto"/>
                <w:w w:val="93"/>
              </w:rPr>
              <w:t>(24,107</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(42,567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87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7"/>
        </w:trPr>
        <w:tc>
          <w:tcPr>
            <w:tcW w:w="8740" w:type="dxa"/>
            <w:vAlign w:val="bottom"/>
          </w:tcPr>
          <w:p>
            <w:pPr>
              <w:ind w:left="260"/>
              <w:spacing w:after="0" w:line="187" w:lineRule="exact"/>
              <w:rPr>
                <w:sz w:val="20"/>
                <w:szCs w:val="20"/>
                <w:color w:val="auto"/>
              </w:rPr>
            </w:pPr>
            <w:r>
              <w:rPr>
                <w:rFonts w:ascii="Arial" w:cs="Arial" w:eastAsia="Arial" w:hAnsi="Arial"/>
                <w:sz w:val="17"/>
                <w:szCs w:val="17"/>
                <w:color w:val="auto"/>
              </w:rPr>
              <w:t>Weighted-average common stock outstanding—basic and diluted</w:t>
            </w:r>
          </w:p>
        </w:tc>
        <w:tc>
          <w:tcPr>
            <w:tcW w:w="100" w:type="dxa"/>
            <w:vAlign w:val="bottom"/>
          </w:tcPr>
          <w:p>
            <w:pPr>
              <w:spacing w:after="0"/>
              <w:rPr>
                <w:sz w:val="16"/>
                <w:szCs w:val="16"/>
                <w:color w:val="auto"/>
              </w:rPr>
            </w:pPr>
          </w:p>
        </w:tc>
        <w:tc>
          <w:tcPr>
            <w:tcW w:w="1420" w:type="dxa"/>
            <w:vAlign w:val="bottom"/>
            <w:gridSpan w:val="2"/>
          </w:tcPr>
          <w:p>
            <w:pPr>
              <w:jc w:val="right"/>
              <w:ind w:right="581"/>
              <w:spacing w:after="0" w:line="187" w:lineRule="exact"/>
              <w:rPr>
                <w:sz w:val="20"/>
                <w:szCs w:val="20"/>
                <w:color w:val="auto"/>
              </w:rPr>
            </w:pPr>
            <w:r>
              <w:rPr>
                <w:rFonts w:ascii="Arial" w:cs="Arial" w:eastAsia="Arial" w:hAnsi="Arial"/>
                <w:sz w:val="17"/>
                <w:szCs w:val="17"/>
                <w:color w:val="auto"/>
                <w:w w:val="97"/>
              </w:rPr>
              <w:t>1,293,103</w:t>
            </w:r>
          </w:p>
        </w:tc>
        <w:tc>
          <w:tcPr>
            <w:tcW w:w="120" w:type="dxa"/>
            <w:vAlign w:val="bottom"/>
          </w:tcPr>
          <w:p>
            <w:pPr>
              <w:spacing w:after="0"/>
              <w:rPr>
                <w:sz w:val="16"/>
                <w:szCs w:val="16"/>
                <w:color w:val="auto"/>
              </w:rPr>
            </w:pPr>
          </w:p>
        </w:tc>
        <w:tc>
          <w:tcPr>
            <w:tcW w:w="860" w:type="dxa"/>
            <w:vAlign w:val="bottom"/>
            <w:gridSpan w:val="2"/>
          </w:tcPr>
          <w:p>
            <w:pPr>
              <w:jc w:val="right"/>
              <w:ind w:right="21"/>
              <w:spacing w:after="0" w:line="187" w:lineRule="exact"/>
              <w:rPr>
                <w:sz w:val="20"/>
                <w:szCs w:val="20"/>
                <w:color w:val="auto"/>
              </w:rPr>
            </w:pPr>
            <w:r>
              <w:rPr>
                <w:rFonts w:ascii="Arial" w:cs="Arial" w:eastAsia="Arial" w:hAnsi="Arial"/>
                <w:sz w:val="17"/>
                <w:szCs w:val="17"/>
                <w:color w:val="auto"/>
                <w:w w:val="97"/>
              </w:rPr>
              <w:t>1,371,905</w:t>
            </w: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87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1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521"/>
              <w:spacing w:after="0" w:line="180" w:lineRule="exact"/>
              <w:rPr>
                <w:sz w:val="20"/>
                <w:szCs w:val="20"/>
                <w:color w:val="auto"/>
              </w:rPr>
            </w:pPr>
            <w:r>
              <w:rPr>
                <w:rFonts w:ascii="Arial" w:cs="Arial" w:eastAsia="Arial" w:hAnsi="Arial"/>
                <w:sz w:val="17"/>
                <w:szCs w:val="17"/>
                <w:color w:val="auto"/>
              </w:rPr>
              <w:t>(18.64)</w:t>
            </w:r>
          </w:p>
        </w:tc>
        <w:tc>
          <w:tcPr>
            <w:tcW w:w="1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(31.03)</w:t>
            </w: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78"/>
        </w:trPr>
        <w:tc>
          <w:tcPr>
            <w:tcW w:w="8740" w:type="dxa"/>
            <w:vAlign w:val="bottom"/>
          </w:tcPr>
          <w:p>
            <w:pPr>
              <w:ind w:left="5460"/>
              <w:spacing w:after="0"/>
              <w:rPr>
                <w:sz w:val="20"/>
                <w:szCs w:val="20"/>
                <w:color w:val="auto"/>
              </w:rPr>
            </w:pPr>
            <w:r>
              <w:rPr>
                <w:rFonts w:ascii="Arial" w:cs="Arial" w:eastAsia="Arial" w:hAnsi="Arial"/>
                <w:sz w:val="16"/>
                <w:szCs w:val="16"/>
                <w:color w:val="auto"/>
              </w:rPr>
              <w:t>F-27</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Company’s potentially dilutive securities, which include Preferred Stock and stock options,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common stock equivalents, which include the following shares of preferred stock converting into the Company’s common stock at a ratio of 8.4335-to-one, from the computation of diluted net loss per share attributable to common stockholders as of December 31, 2018 and 2019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335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26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640" w:type="dxa"/>
            <w:vAlign w:val="bottom"/>
            <w:tcBorders>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60"/>
              <w:spacing w:after="0" w:line="154"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38"/>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81"/>
        </w:trPr>
        <w:tc>
          <w:tcPr>
            <w:tcW w:w="86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Series Seed Preferred Stock</w:t>
            </w:r>
          </w:p>
        </w:tc>
        <w:tc>
          <w:tcPr>
            <w:tcW w:w="11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474,298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474,298</w:t>
            </w:r>
          </w:p>
        </w:tc>
        <w:tc>
          <w:tcPr>
            <w:tcW w:w="80" w:type="dxa"/>
            <w:vAlign w:val="bottom"/>
            <w:shd w:val="clear" w:color="auto" w:fill="CCEEFF"/>
          </w:tcPr>
          <w:p>
            <w:pPr>
              <w:spacing w:after="0"/>
              <w:rPr>
                <w:sz w:val="15"/>
                <w:szCs w:val="15"/>
                <w:color w:val="auto"/>
              </w:rPr>
            </w:pPr>
          </w:p>
        </w:tc>
      </w:tr>
      <w:tr>
        <w:trPr>
          <w:trHeight w:val="187"/>
        </w:trPr>
        <w:tc>
          <w:tcPr>
            <w:tcW w:w="8640" w:type="dxa"/>
            <w:vAlign w:val="bottom"/>
          </w:tcPr>
          <w:p>
            <w:pPr>
              <w:spacing w:after="0" w:line="187" w:lineRule="exact"/>
              <w:rPr>
                <w:sz w:val="20"/>
                <w:szCs w:val="20"/>
                <w:color w:val="auto"/>
              </w:rPr>
            </w:pPr>
            <w:r>
              <w:rPr>
                <w:rFonts w:ascii="Arial" w:cs="Arial" w:eastAsia="Arial" w:hAnsi="Arial"/>
                <w:sz w:val="17"/>
                <w:szCs w:val="17"/>
                <w:color w:val="auto"/>
              </w:rPr>
              <w:t>Series A Preferred Stock</w:t>
            </w:r>
          </w:p>
        </w:tc>
        <w:tc>
          <w:tcPr>
            <w:tcW w:w="120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12,941,857</w:t>
            </w:r>
          </w:p>
        </w:tc>
        <w:tc>
          <w:tcPr>
            <w:tcW w:w="140" w:type="dxa"/>
            <w:vAlign w:val="bottom"/>
          </w:tcPr>
          <w:p>
            <w:pPr>
              <w:spacing w:after="0"/>
              <w:rPr>
                <w:sz w:val="16"/>
                <w:szCs w:val="16"/>
                <w:color w:val="auto"/>
              </w:rPr>
            </w:pPr>
          </w:p>
        </w:tc>
        <w:tc>
          <w:tcPr>
            <w:tcW w:w="126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12,941,857</w:t>
            </w:r>
          </w:p>
        </w:tc>
      </w:tr>
      <w:tr>
        <w:trPr>
          <w:trHeight w:val="187"/>
        </w:trPr>
        <w:tc>
          <w:tcPr>
            <w:tcW w:w="86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Options to purchase common stock</w:t>
            </w:r>
          </w:p>
        </w:tc>
        <w:tc>
          <w:tcPr>
            <w:tcW w:w="120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1,357,029</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2,310,886</w:t>
            </w:r>
          </w:p>
        </w:tc>
      </w:tr>
      <w:tr>
        <w:trPr>
          <w:trHeight w:val="194"/>
        </w:trPr>
        <w:tc>
          <w:tcPr>
            <w:tcW w:w="864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14,773,184</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15,727,041</w:t>
            </w:r>
          </w:p>
        </w:tc>
        <w:tc>
          <w:tcPr>
            <w:tcW w:w="80" w:type="dxa"/>
            <w:vAlign w:val="bottom"/>
          </w:tcPr>
          <w:p>
            <w:pPr>
              <w:spacing w:after="0"/>
              <w:rPr>
                <w:sz w:val="16"/>
                <w:szCs w:val="16"/>
                <w:color w:val="auto"/>
              </w:rPr>
            </w:pPr>
          </w:p>
        </w:tc>
      </w:tr>
      <w:tr>
        <w:trPr>
          <w:trHeight w:val="20"/>
        </w:trPr>
        <w:tc>
          <w:tcPr>
            <w:tcW w:w="8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4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unaudited pro forma basic and diluted net loss per share attributable to common stockholders for the year ended December 31, 2019 has been prepared to give effect to the automatic conversion of all outstanding shares of redeemable convertible preferred stock upon the closing of the proposed initial public offering into 13,416,155 shares of common stock as if the conversion had occurred on the later of January 1, 2019 or the issuance of the redeemable convertible preferred stock. The unaudited pro forma net loss attributable to common stockholders used in the calculation of unaudited pro forma basic and diluted net loss per share attributable to common stockholders does not include the effects of Preferred Stock dividends because the calculation gives effect to the automatic conversion of all shares of Preferred Stock outstanding as of December 31, 2019 into shares of common stock as if the proposed IPO had occurred on the later of January 1, 2019 or the issuance date of the preferred stock.</w:t>
      </w:r>
    </w:p>
    <w:p>
      <w:pPr>
        <w:spacing w:after="0" w:line="12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The unaudited pro forma basic and diluted weighted-average common shares outstanding used in the calculation of unaudited pro forma basic and diluted net loss per share attributable to common stockholders for the year ended December 31, 2019 has been prepared to give effect, upon a qualified IPO, to the automatic conversion of all outstanding shares of convertible preferred stock into common stock as if the proposed IPO had occurred on the later of January 1, 2019 or the issuance date of the preferred stock. Pro forma basic and diluted net loss per share attributable to common stockholders was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r>
      <w:tr>
        <w:trPr>
          <w:trHeight w:val="160"/>
        </w:trPr>
        <w:tc>
          <w:tcPr>
            <w:tcW w:w="10180" w:type="dxa"/>
            <w:vAlign w:val="bottom"/>
          </w:tcPr>
          <w:p>
            <w:pPr>
              <w:spacing w:after="0"/>
              <w:rPr>
                <w:sz w:val="13"/>
                <w:szCs w:val="13"/>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w:t>
            </w:r>
          </w:p>
        </w:tc>
      </w:tr>
      <w:tr>
        <w:trPr>
          <w:trHeight w:val="160"/>
        </w:trPr>
        <w:tc>
          <w:tcPr>
            <w:tcW w:w="10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99"/>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3"/>
                <w:szCs w:val="13"/>
                <w:color w:val="auto"/>
              </w:rPr>
            </w:pPr>
          </w:p>
        </w:tc>
      </w:tr>
      <w:tr>
        <w:trPr>
          <w:trHeight w:val="176"/>
        </w:trPr>
        <w:tc>
          <w:tcPr>
            <w:tcW w:w="10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54"/>
        </w:trPr>
        <w:tc>
          <w:tcPr>
            <w:tcW w:w="10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19"/>
              <w:spacing w:after="0" w:line="154"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tcPr>
          <w:p>
            <w:pPr>
              <w:spacing w:after="0"/>
              <w:rPr>
                <w:sz w:val="13"/>
                <w:szCs w:val="13"/>
                <w:color w:val="auto"/>
              </w:rPr>
            </w:pPr>
          </w:p>
        </w:tc>
      </w:tr>
      <w:tr>
        <w:trPr>
          <w:trHeight w:val="187"/>
        </w:trPr>
        <w:tc>
          <w:tcPr>
            <w:tcW w:w="101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Numerator:</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10180" w:type="dxa"/>
            <w:vAlign w:val="bottom"/>
          </w:tcPr>
          <w:p>
            <w:pPr>
              <w:ind w:left="260"/>
              <w:spacing w:after="0" w:line="187" w:lineRule="exact"/>
              <w:rPr>
                <w:sz w:val="20"/>
                <w:szCs w:val="20"/>
                <w:color w:val="auto"/>
              </w:rPr>
            </w:pPr>
            <w:r>
              <w:rPr>
                <w:rFonts w:ascii="Arial" w:cs="Arial" w:eastAsia="Arial" w:hAnsi="Arial"/>
                <w:sz w:val="17"/>
                <w:szCs w:val="17"/>
                <w:color w:val="auto"/>
              </w:rPr>
              <w:t>Net loss attributable to common stockholders—basic and diluted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(42,567)</w:t>
            </w:r>
          </w:p>
        </w:tc>
      </w:tr>
      <w:tr>
        <w:trPr>
          <w:trHeight w:val="187"/>
        </w:trPr>
        <w:tc>
          <w:tcPr>
            <w:tcW w:w="101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Accrual of preferred stock dividends</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1"/>
              <w:spacing w:after="0" w:line="187" w:lineRule="exact"/>
              <w:rPr>
                <w:sz w:val="20"/>
                <w:szCs w:val="20"/>
                <w:color w:val="auto"/>
              </w:rPr>
            </w:pPr>
            <w:r>
              <w:rPr>
                <w:rFonts w:ascii="Arial" w:cs="Arial" w:eastAsia="Arial" w:hAnsi="Arial"/>
                <w:sz w:val="17"/>
                <w:szCs w:val="17"/>
                <w:color w:val="auto"/>
              </w:rPr>
              <w:t>8,468</w:t>
            </w:r>
          </w:p>
        </w:tc>
      </w:tr>
      <w:tr>
        <w:trPr>
          <w:trHeight w:val="194"/>
        </w:trPr>
        <w:tc>
          <w:tcPr>
            <w:tcW w:w="10180" w:type="dxa"/>
            <w:vAlign w:val="bottom"/>
          </w:tcPr>
          <w:p>
            <w:pPr>
              <w:ind w:left="260"/>
              <w:spacing w:after="0" w:line="194" w:lineRule="exact"/>
              <w:rPr>
                <w:sz w:val="20"/>
                <w:szCs w:val="20"/>
                <w:color w:val="auto"/>
              </w:rPr>
            </w:pPr>
            <w:r>
              <w:rPr>
                <w:rFonts w:ascii="Arial" w:cs="Arial" w:eastAsia="Arial" w:hAnsi="Arial"/>
                <w:sz w:val="17"/>
                <w:szCs w:val="17"/>
                <w:color w:val="auto"/>
              </w:rPr>
              <w:t>Pro forma net loss attributable to common stockholders—basic and diluted</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(34,099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0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101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Denominator:</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7"/>
        </w:trPr>
        <w:tc>
          <w:tcPr>
            <w:tcW w:w="10180" w:type="dxa"/>
            <w:vAlign w:val="bottom"/>
          </w:tcPr>
          <w:p>
            <w:pPr>
              <w:ind w:left="260"/>
              <w:spacing w:after="0" w:line="187" w:lineRule="exact"/>
              <w:rPr>
                <w:sz w:val="20"/>
                <w:szCs w:val="20"/>
                <w:color w:val="auto"/>
              </w:rPr>
            </w:pPr>
            <w:r>
              <w:rPr>
                <w:rFonts w:ascii="Arial" w:cs="Arial" w:eastAsia="Arial" w:hAnsi="Arial"/>
                <w:sz w:val="17"/>
                <w:szCs w:val="17"/>
                <w:color w:val="auto"/>
              </w:rPr>
              <w:t>Weighted-average common stock outstanding—basic and diluted</w:t>
            </w:r>
          </w:p>
        </w:tc>
        <w:tc>
          <w:tcPr>
            <w:tcW w:w="80" w:type="dxa"/>
            <w:vAlign w:val="bottom"/>
          </w:tcPr>
          <w:p>
            <w:pPr>
              <w:spacing w:after="0"/>
              <w:rPr>
                <w:sz w:val="16"/>
                <w:szCs w:val="16"/>
                <w:color w:val="auto"/>
              </w:rPr>
            </w:pPr>
          </w:p>
        </w:tc>
        <w:tc>
          <w:tcPr>
            <w:tcW w:w="980" w:type="dxa"/>
            <w:vAlign w:val="bottom"/>
            <w:gridSpan w:val="2"/>
          </w:tcPr>
          <w:p>
            <w:pPr>
              <w:jc w:val="right"/>
              <w:ind w:right="21"/>
              <w:spacing w:after="0" w:line="187" w:lineRule="exact"/>
              <w:rPr>
                <w:sz w:val="20"/>
                <w:szCs w:val="20"/>
                <w:color w:val="auto"/>
              </w:rPr>
            </w:pPr>
            <w:r>
              <w:rPr>
                <w:rFonts w:ascii="Arial" w:cs="Arial" w:eastAsia="Arial" w:hAnsi="Arial"/>
                <w:sz w:val="17"/>
                <w:szCs w:val="17"/>
                <w:color w:val="auto"/>
              </w:rPr>
              <w:t>1,371,905</w:t>
            </w:r>
          </w:p>
        </w:tc>
      </w:tr>
      <w:tr>
        <w:trPr>
          <w:trHeight w:val="159"/>
        </w:trPr>
        <w:tc>
          <w:tcPr>
            <w:tcW w:w="10180" w:type="dxa"/>
            <w:vAlign w:val="bottom"/>
            <w:shd w:val="clear" w:color="auto" w:fill="CCEEFF"/>
          </w:tcPr>
          <w:p>
            <w:pPr>
              <w:ind w:left="260"/>
              <w:spacing w:after="0" w:line="159" w:lineRule="exact"/>
              <w:rPr>
                <w:sz w:val="20"/>
                <w:szCs w:val="20"/>
                <w:color w:val="auto"/>
              </w:rPr>
            </w:pPr>
            <w:r>
              <w:rPr>
                <w:rFonts w:ascii="Arial" w:cs="Arial" w:eastAsia="Arial" w:hAnsi="Arial"/>
                <w:sz w:val="17"/>
                <w:szCs w:val="17"/>
                <w:color w:val="auto"/>
              </w:rPr>
              <w:t>Pro forma adjustment to reflect automatic conversion of convertible preferred stock to common stock upon the completion</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5"/>
        </w:trPr>
        <w:tc>
          <w:tcPr>
            <w:tcW w:w="101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of the proposed initial public offering</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13,416,155</w:t>
            </w:r>
          </w:p>
        </w:tc>
      </w:tr>
      <w:tr>
        <w:trPr>
          <w:trHeight w:val="194"/>
        </w:trPr>
        <w:tc>
          <w:tcPr>
            <w:tcW w:w="10180" w:type="dxa"/>
            <w:vAlign w:val="bottom"/>
          </w:tcPr>
          <w:p>
            <w:pPr>
              <w:ind w:left="260"/>
              <w:spacing w:after="0" w:line="194" w:lineRule="exact"/>
              <w:rPr>
                <w:sz w:val="20"/>
                <w:szCs w:val="20"/>
                <w:color w:val="auto"/>
              </w:rPr>
            </w:pPr>
            <w:r>
              <w:rPr>
                <w:rFonts w:ascii="Arial" w:cs="Arial" w:eastAsia="Arial" w:hAnsi="Arial"/>
                <w:sz w:val="17"/>
                <w:szCs w:val="17"/>
                <w:color w:val="auto"/>
              </w:rPr>
              <w:t>Pro forma weighted-average common stock outstanding—basic and diluted</w:t>
            </w:r>
          </w:p>
        </w:tc>
        <w:tc>
          <w:tcPr>
            <w:tcW w:w="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14,788,060</w:t>
            </w:r>
          </w:p>
        </w:tc>
        <w:tc>
          <w:tcPr>
            <w:tcW w:w="100" w:type="dxa"/>
            <w:vAlign w:val="bottom"/>
          </w:tcPr>
          <w:p>
            <w:pPr>
              <w:spacing w:after="0"/>
              <w:rPr>
                <w:sz w:val="16"/>
                <w:szCs w:val="16"/>
                <w:color w:val="auto"/>
              </w:rPr>
            </w:pPr>
          </w:p>
        </w:tc>
      </w:tr>
      <w:tr>
        <w:trPr>
          <w:trHeight w:val="20"/>
        </w:trPr>
        <w:tc>
          <w:tcPr>
            <w:tcW w:w="10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101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Pro forma net loss per share attributable to common stockholders—basic and 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(2.31)</w:t>
            </w:r>
          </w:p>
        </w:tc>
      </w:tr>
      <w:tr>
        <w:trPr>
          <w:trHeight w:val="20"/>
        </w:trPr>
        <w:tc>
          <w:tcPr>
            <w:tcW w:w="10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0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64"/>
        </w:trPr>
        <w:tc>
          <w:tcPr>
            <w:tcW w:w="10180" w:type="dxa"/>
            <w:vAlign w:val="bottom"/>
          </w:tcPr>
          <w:p>
            <w:pPr>
              <w:ind w:left="5460"/>
              <w:spacing w:after="0"/>
              <w:rPr>
                <w:sz w:val="20"/>
                <w:szCs w:val="20"/>
                <w:color w:val="auto"/>
              </w:rPr>
            </w:pPr>
            <w:r>
              <w:rPr>
                <w:rFonts w:ascii="Arial" w:cs="Arial" w:eastAsia="Arial" w:hAnsi="Arial"/>
                <w:sz w:val="16"/>
                <w:szCs w:val="16"/>
                <w:color w:val="auto"/>
              </w:rPr>
              <w:t>F-28</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Defined Contribution Plan</w:t>
      </w:r>
    </w:p>
    <w:p>
      <w:pPr>
        <w:spacing w:after="0" w:line="71"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The Company has a 401(k) retirement plan (the 401(k) Plan), whereby all full-time employees may contribute up to 90% of their pre-tax compensation, up to the maximum allowable amount set by the Internal Revenue Service. The Company matches 100% of contributions to the 401(k) Plan up to a maximum of $6,000 per year for each full-time employee. During each of the years ended December 31, 2018 and 2019, the Company contributed approximately $0.4 million to the 401(k)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evaluated subsequent events from the balance sheet date through the issuance date of these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and has not identified any requiring disclosure except as noted below.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President and Chief Executive Officer Termination</w:t>
      </w:r>
    </w:p>
    <w:p>
      <w:pPr>
        <w:spacing w:after="0" w:line="40" w:lineRule="exact"/>
        <w:rPr>
          <w:sz w:val="20"/>
          <w:szCs w:val="20"/>
          <w:color w:val="auto"/>
        </w:rPr>
      </w:pPr>
    </w:p>
    <w:p>
      <w:pPr>
        <w:ind w:right="520"/>
        <w:spacing w:after="0" w:line="239" w:lineRule="auto"/>
        <w:rPr>
          <w:sz w:val="20"/>
          <w:szCs w:val="20"/>
          <w:color w:val="auto"/>
        </w:rPr>
      </w:pPr>
      <w:r>
        <w:rPr>
          <w:rFonts w:ascii="Arial" w:cs="Arial" w:eastAsia="Arial" w:hAnsi="Arial"/>
          <w:sz w:val="17"/>
          <w:szCs w:val="17"/>
          <w:color w:val="auto"/>
        </w:rPr>
        <w:t>On March 3, 2020 (“Separation Date”), the Company’s president and chief executive officer (“CEO”) terminated employment with the Company. Pursuant to the severance agreement, the Company will pay the CEO $0.8 million in the eighteen months following the Separation Date. The Company repurchased all of the CEO’s exercised shares for total consideration of $0.1 million. The CEO also relinquished his right to purchase vested options, for total consideration paid by the Company of $0.7 million.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Financing and Term Loan</w:t>
      </w:r>
    </w:p>
    <w:p>
      <w:pPr>
        <w:spacing w:after="0" w:line="4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June and July, 2020, the Company closed a $150.0 million series B redeemable convertible preferred stock financing (“Series B Financing”) with existing and new investors. As part of the Series B Financing, the Company issued 142,857,142 redeemable convertible series B preferred stock shares (“Series B Preferred Stock”), at a purchase price of $1.05 per share, for aggregate gross proceeds of $150.0 million. Series B Preferred Stock shares accrue dividends of $0.084 per annum, payable only if and when declared by the Company’s board of directors, and Series B Preferred Stock is only redeemable in the event of a deemed liquidation. Shares of Series B Preferred Stock vote pro rata with common stock, and the Series B stockholders are entitled to elect two members of the Company’s board of directors.</w:t>
      </w:r>
    </w:p>
    <w:p>
      <w:pPr>
        <w:spacing w:after="0" w:line="1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contemplation of the Series B Financing, the Company also entered into a Credit Agreement and Guaranty (“Credit Agreement”), under which the Company may borrow up to $20.0 million from Perceptive Credit Holdings III, LP (“Perceptive”) in two tranches. Because of Perceptive’s participation in the Series B Financing, the Company’s considers them to be a related party. At the closing of the Series B Financing, the Company borrowed $12.5 million, or $12.0 million net of costs, and has the opportunity to draw down another $7.5 million subject to the satisfaction of certain milestones relating to the filing of an IND for certain of the Company’s pipeline targets. As part of the Credit Agreement, the Company issued Perceptive warrants to purchase 2,857,142 shares of Series B preferred stock exercisable for $1.05 per share. The Company will make interest-only payments until December 5, 2022, at which point the Company will make payments of principal equal to 2% of the loans extended under the Credit Agreement until maturity. The Company paid a closing fee of $0.4 million related to the loan and has the right to prepay the loan plus interest in its entirety prior to the maturity date by paying the applicable prepayment fee. If the Company does not prepay the loan, the entire unpaid principal balance becomes due on the maturity date, June 5, 2024. The Company is also subject to customary financial covenants in the Credit Agreement that dictate accelerated repayment upon the occurrence of certain events of default, none of which are expected to occur based on the Company’s current liquidity.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July 2020, the Company granted options to purchase 1,467,424 shares of common stock to employees and certain consultants at an exercise price of $4.98 per share, which represents fair value as of the grant dates. In September 2020, the Company approved the issuance of stock options to Marc A. Cohen, our Co-Founder, Executive Chairman and interim Chief Executive Officer, and Andrew Hirsch, our President, Director and Chief Executive Officer-elect, which election will be effective upon the effectiveness of the registration statement, representing 1.5% and 3.5%, respectively, of the Company’s fully-diluted shares measured at such time (including the shares to be sold in this offering and excluding the shares reserved for future awards under the Company’s equity incentive plans) at an exercise price per share equal to the initial public offering price per share. These options vest quarterly over four years subject to cliff vesting after six months. Mr. Cohen’s grant is subject to full acceleration upon a sale of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240"/>
          </w:cols>
          <w:pgMar w:left="320" w:top="454" w:right="3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Company. Mr. Hirsch’s option is subject to full acceleration upon a sale of the Company and the termination of his employment thereafter pursuant to the terms of his employment agreement, subject to the execution of an effective release of claims in favor of the Company.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Company’s board of directors approved a one-for-8.4335 reverse stock split of its issued and outstanding common stock and stock options and a proportional adjustment to the existing conversion ratios for the Company’s convertible preferred stock effective as of September 25, 2020. Accordingly, all shares of common stock, per share amounts, and additional paid in capital amounts for all periods presented in the accompanying consolidated financial statements and notes thereto have been retroactively adjusted, where applicable, to reflect the reverse stock split.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39"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The impact of the COVID-19 coronavirus outbreak on the financial performance of the Company will depend on future developments, including the duration and spread of the outbreak and related governmental advisories and restrictions. These developments and the impact of COVID-19 on the financial markets and the overall economy are highly uncertain and cannot be predicted. If the financial markets and/or the overall economy are impacted for an extended period, the Company’s results may be materially adversely affected. The Company is currently unable to determine the extent of the impact of the pandemic to its operations and financial condition, as clinical trials have not started. Once the Company begins its clinical trials, it will assess any potential delays as a result of the pandemic and their financial impact.</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80"/>
          </w:cols>
          <w:pgMar w:left="320" w:top="454" w:right="39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jc w:val="center"/>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0"/>
        </w:trPr>
        <w:tc>
          <w:tcPr>
            <w:tcW w:w="7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6"/>
        </w:trPr>
        <w:tc>
          <w:tcPr>
            <w:tcW w:w="7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56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560" w:type="dxa"/>
            <w:vAlign w:val="bottom"/>
          </w:tcPr>
          <w:p>
            <w:pPr>
              <w:spacing w:after="0" w:line="187" w:lineRule="exact"/>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90,549</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107,652</w:t>
            </w:r>
          </w:p>
        </w:tc>
        <w:tc>
          <w:tcPr>
            <w:tcW w:w="1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112,152</w:t>
            </w:r>
          </w:p>
        </w:tc>
        <w:tc>
          <w:tcPr>
            <w:tcW w:w="0" w:type="dxa"/>
            <w:vAlign w:val="bottom"/>
          </w:tcPr>
          <w:p>
            <w:pPr>
              <w:spacing w:after="0"/>
              <w:rPr>
                <w:sz w:val="1"/>
                <w:szCs w:val="1"/>
                <w:color w:val="auto"/>
              </w:rPr>
            </w:pPr>
          </w:p>
        </w:tc>
      </w:tr>
      <w:tr>
        <w:trPr>
          <w:trHeight w:val="187"/>
        </w:trPr>
        <w:tc>
          <w:tcPr>
            <w:tcW w:w="7560" w:type="dxa"/>
            <w:vAlign w:val="bottom"/>
          </w:tcPr>
          <w:p>
            <w:pPr>
              <w:ind w:left="260"/>
              <w:spacing w:after="0" w:line="187" w:lineRule="exact"/>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4,623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8,546</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8,546</w:t>
            </w: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1,595</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3,278</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3,278</w:t>
            </w:r>
          </w:p>
        </w:tc>
        <w:tc>
          <w:tcPr>
            <w:tcW w:w="0" w:type="dxa"/>
            <w:vAlign w:val="bottom"/>
          </w:tcPr>
          <w:p>
            <w:pPr>
              <w:spacing w:after="0"/>
              <w:rPr>
                <w:sz w:val="1"/>
                <w:szCs w:val="1"/>
                <w:color w:val="auto"/>
              </w:rPr>
            </w:pPr>
          </w:p>
        </w:tc>
      </w:tr>
      <w:tr>
        <w:trPr>
          <w:trHeight w:val="187"/>
        </w:trPr>
        <w:tc>
          <w:tcPr>
            <w:tcW w:w="7560" w:type="dxa"/>
            <w:vAlign w:val="bottom"/>
          </w:tcPr>
          <w:p>
            <w:pPr>
              <w:ind w:left="260"/>
              <w:spacing w:after="0" w:line="187" w:lineRule="exact"/>
              <w:rPr>
                <w:sz w:val="20"/>
                <w:szCs w:val="20"/>
                <w:color w:val="auto"/>
              </w:rPr>
            </w:pPr>
            <w:r>
              <w:rPr>
                <w:rFonts w:ascii="Arial" w:cs="Arial" w:eastAsia="Arial" w:hAnsi="Arial"/>
                <w:sz w:val="17"/>
                <w:szCs w:val="17"/>
                <w:color w:val="auto"/>
              </w:rPr>
              <w:t>Short-term investments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4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103,942</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103,942</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56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Total current assets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96,767</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223,418</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227,918</w:t>
            </w:r>
          </w:p>
        </w:tc>
        <w:tc>
          <w:tcPr>
            <w:tcW w:w="0" w:type="dxa"/>
            <w:vAlign w:val="bottom"/>
          </w:tcPr>
          <w:p>
            <w:pPr>
              <w:spacing w:after="0"/>
              <w:rPr>
                <w:sz w:val="1"/>
                <w:szCs w:val="1"/>
                <w:color w:val="auto"/>
              </w:rPr>
            </w:pPr>
          </w:p>
        </w:tc>
      </w:tr>
      <w:tr>
        <w:trPr>
          <w:trHeight w:val="187"/>
        </w:trPr>
        <w:tc>
          <w:tcPr>
            <w:tcW w:w="7560" w:type="dxa"/>
            <w:vAlign w:val="bottom"/>
          </w:tcPr>
          <w:p>
            <w:pPr>
              <w:spacing w:after="0" w:line="187" w:lineRule="exact"/>
              <w:rPr>
                <w:sz w:val="20"/>
                <w:szCs w:val="20"/>
                <w:color w:val="auto"/>
              </w:rPr>
            </w:pPr>
            <w:r>
              <w:rPr>
                <w:rFonts w:ascii="Arial" w:cs="Arial" w:eastAsia="Arial" w:hAnsi="Arial"/>
                <w:sz w:val="17"/>
                <w:szCs w:val="17"/>
                <w:color w:val="auto"/>
              </w:rPr>
              <w:t>Property and equipment,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4,463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3,720</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3,720</w:t>
            </w: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Right-of-use asset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14,453</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13,852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13,852</w:t>
            </w:r>
          </w:p>
        </w:tc>
        <w:tc>
          <w:tcPr>
            <w:tcW w:w="0" w:type="dxa"/>
            <w:vAlign w:val="bottom"/>
          </w:tcPr>
          <w:p>
            <w:pPr>
              <w:spacing w:after="0"/>
              <w:rPr>
                <w:sz w:val="1"/>
                <w:szCs w:val="1"/>
                <w:color w:val="auto"/>
              </w:rPr>
            </w:pPr>
          </w:p>
        </w:tc>
      </w:tr>
      <w:tr>
        <w:trPr>
          <w:trHeight w:val="187"/>
        </w:trPr>
        <w:tc>
          <w:tcPr>
            <w:tcW w:w="7560" w:type="dxa"/>
            <w:vAlign w:val="bottom"/>
          </w:tcPr>
          <w:p>
            <w:pPr>
              <w:spacing w:after="0" w:line="187" w:lineRule="exact"/>
              <w:rPr>
                <w:sz w:val="20"/>
                <w:szCs w:val="20"/>
                <w:color w:val="auto"/>
              </w:rPr>
            </w:pPr>
            <w:r>
              <w:rPr>
                <w:rFonts w:ascii="Arial" w:cs="Arial" w:eastAsia="Arial" w:hAnsi="Arial"/>
                <w:sz w:val="17"/>
                <w:szCs w:val="17"/>
                <w:color w:val="auto"/>
              </w:rPr>
              <w:t>Restricted cash</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7" w:lineRule="exact"/>
              <w:rPr>
                <w:sz w:val="20"/>
                <w:szCs w:val="20"/>
                <w:color w:val="auto"/>
              </w:rPr>
            </w:pPr>
            <w:r>
              <w:rPr>
                <w:rFonts w:ascii="Arial" w:cs="Arial" w:eastAsia="Arial" w:hAnsi="Arial"/>
                <w:sz w:val="17"/>
                <w:szCs w:val="17"/>
                <w:color w:val="auto"/>
              </w:rPr>
              <w:t>2,577</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2,577</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56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Total assets</w:t>
            </w:r>
          </w:p>
        </w:tc>
        <w:tc>
          <w:tcPr>
            <w:tcW w:w="2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118,260</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243,567</w:t>
            </w:r>
          </w:p>
        </w:tc>
        <w:tc>
          <w:tcPr>
            <w:tcW w:w="1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248,067</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line="191" w:lineRule="exact"/>
              <w:rPr>
                <w:sz w:val="20"/>
                <w:szCs w:val="20"/>
                <w:color w:val="auto"/>
              </w:rPr>
            </w:pPr>
            <w:r>
              <w:rPr>
                <w:rFonts w:ascii="Arial" w:cs="Arial" w:eastAsia="Arial" w:hAnsi="Arial"/>
                <w:sz w:val="17"/>
                <w:szCs w:val="17"/>
                <w:b w:val="1"/>
                <w:bCs w:val="1"/>
                <w:color w:val="auto"/>
              </w:rPr>
              <w:t>Total Liabilities, Redeemable Convertible Preferred Stock and</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560" w:type="dxa"/>
            <w:vAlign w:val="bottom"/>
          </w:tcPr>
          <w:p>
            <w:pPr>
              <w:spacing w:after="0"/>
              <w:rPr>
                <w:sz w:val="20"/>
                <w:szCs w:val="20"/>
                <w:color w:val="auto"/>
              </w:rPr>
            </w:pPr>
            <w:r>
              <w:rPr>
                <w:rFonts w:ascii="Arial" w:cs="Arial" w:eastAsia="Arial" w:hAnsi="Arial"/>
                <w:sz w:val="17"/>
                <w:szCs w:val="17"/>
                <w:b w:val="1"/>
                <w:bCs w:val="1"/>
                <w:color w:val="auto"/>
              </w:rPr>
              <w:t>Stockholders’ Deficit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Current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60" w:type="dxa"/>
            <w:vAlign w:val="bottom"/>
          </w:tcPr>
          <w:p>
            <w:pPr>
              <w:ind w:left="260"/>
              <w:spacing w:after="0" w:line="187" w:lineRule="exact"/>
              <w:rPr>
                <w:sz w:val="20"/>
                <w:szCs w:val="20"/>
                <w:color w:val="auto"/>
              </w:rPr>
            </w:pPr>
            <w:r>
              <w:rPr>
                <w:rFonts w:ascii="Arial" w:cs="Arial" w:eastAsia="Arial" w:hAnsi="Arial"/>
                <w:sz w:val="17"/>
                <w:szCs w:val="17"/>
                <w:color w:val="auto"/>
              </w:rPr>
              <w:t>Accounts payable</w:t>
            </w:r>
          </w:p>
        </w:tc>
        <w:tc>
          <w:tcPr>
            <w:tcW w:w="240" w:type="dxa"/>
            <w:vAlign w:val="bottom"/>
            <w:gridSpan w:val="2"/>
          </w:tcPr>
          <w:p>
            <w:pPr>
              <w:spacing w:after="0" w:line="187"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5,385</w:t>
            </w:r>
          </w:p>
        </w:tc>
        <w:tc>
          <w:tcPr>
            <w:tcW w:w="400" w:type="dxa"/>
            <w:vAlign w:val="bottom"/>
          </w:tcPr>
          <w:p>
            <w:pPr>
              <w:spacing w:after="0"/>
              <w:rPr>
                <w:sz w:val="16"/>
                <w:szCs w:val="16"/>
                <w:color w:val="auto"/>
              </w:rPr>
            </w:pP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5,861</w:t>
            </w:r>
          </w:p>
        </w:tc>
        <w:tc>
          <w:tcPr>
            <w:tcW w:w="100" w:type="dxa"/>
            <w:vAlign w:val="bottom"/>
          </w:tcPr>
          <w:p>
            <w:pPr>
              <w:spacing w:after="0" w:line="187"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5,861</w:t>
            </w: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Accrued expenses and other current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6,671</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6,129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6,129</w:t>
            </w:r>
          </w:p>
        </w:tc>
        <w:tc>
          <w:tcPr>
            <w:tcW w:w="0" w:type="dxa"/>
            <w:vAlign w:val="bottom"/>
          </w:tcPr>
          <w:p>
            <w:pPr>
              <w:spacing w:after="0"/>
              <w:rPr>
                <w:sz w:val="1"/>
                <w:szCs w:val="1"/>
                <w:color w:val="auto"/>
              </w:rPr>
            </w:pPr>
          </w:p>
        </w:tc>
      </w:tr>
      <w:tr>
        <w:trPr>
          <w:trHeight w:val="187"/>
        </w:trPr>
        <w:tc>
          <w:tcPr>
            <w:tcW w:w="7560" w:type="dxa"/>
            <w:vAlign w:val="bottom"/>
          </w:tcPr>
          <w:p>
            <w:pPr>
              <w:ind w:left="260"/>
              <w:spacing w:after="0" w:line="187" w:lineRule="exact"/>
              <w:rPr>
                <w:sz w:val="20"/>
                <w:szCs w:val="20"/>
                <w:color w:val="auto"/>
              </w:rPr>
            </w:pPr>
            <w:r>
              <w:rPr>
                <w:rFonts w:ascii="Arial" w:cs="Arial" w:eastAsia="Arial" w:hAnsi="Arial"/>
                <w:sz w:val="17"/>
                <w:szCs w:val="17"/>
                <w:color w:val="auto"/>
              </w:rPr>
              <w:t>Deferred revenue, current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20,705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22,165</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22,165</w:t>
            </w: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Operating lease liability, current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880</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959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194"/>
        </w:trPr>
        <w:tc>
          <w:tcPr>
            <w:tcW w:w="7560" w:type="dxa"/>
            <w:vAlign w:val="bottom"/>
          </w:tcPr>
          <w:p>
            <w:pPr>
              <w:ind w:left="760"/>
              <w:spacing w:after="0" w:line="194" w:lineRule="exact"/>
              <w:rPr>
                <w:sz w:val="20"/>
                <w:szCs w:val="20"/>
                <w:color w:val="auto"/>
              </w:rPr>
            </w:pPr>
            <w:r>
              <w:rPr>
                <w:rFonts w:ascii="Arial" w:cs="Arial" w:eastAsia="Arial" w:hAnsi="Arial"/>
                <w:sz w:val="17"/>
                <w:szCs w:val="17"/>
                <w:color w:val="auto"/>
              </w:rPr>
              <w:t>Total current liabilities</w:t>
            </w: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33,641</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35,114</w:t>
            </w: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35,114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Deferred revenue, net of current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72,718</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67,137</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67,137</w:t>
            </w:r>
          </w:p>
        </w:tc>
        <w:tc>
          <w:tcPr>
            <w:tcW w:w="0" w:type="dxa"/>
            <w:vAlign w:val="bottom"/>
          </w:tcPr>
          <w:p>
            <w:pPr>
              <w:spacing w:after="0"/>
              <w:rPr>
                <w:sz w:val="1"/>
                <w:szCs w:val="1"/>
                <w:color w:val="auto"/>
              </w:rPr>
            </w:pPr>
          </w:p>
        </w:tc>
      </w:tr>
      <w:tr>
        <w:trPr>
          <w:trHeight w:val="187"/>
        </w:trPr>
        <w:tc>
          <w:tcPr>
            <w:tcW w:w="7560" w:type="dxa"/>
            <w:vAlign w:val="bottom"/>
          </w:tcPr>
          <w:p>
            <w:pPr>
              <w:spacing w:after="0" w:line="187" w:lineRule="exact"/>
              <w:rPr>
                <w:sz w:val="20"/>
                <w:szCs w:val="20"/>
                <w:color w:val="auto"/>
              </w:rPr>
            </w:pPr>
            <w:r>
              <w:rPr>
                <w:rFonts w:ascii="Arial" w:cs="Arial" w:eastAsia="Arial" w:hAnsi="Arial"/>
                <w:sz w:val="17"/>
                <w:szCs w:val="17"/>
                <w:color w:val="auto"/>
              </w:rPr>
              <w:t>Operating lease liability, net of current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12,869</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12,361</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12,361</w:t>
            </w: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Warrant liability</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2,325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7560" w:type="dxa"/>
            <w:vAlign w:val="bottom"/>
          </w:tcPr>
          <w:p>
            <w:pPr>
              <w:spacing w:after="0" w:line="187" w:lineRule="exact"/>
              <w:rPr>
                <w:sz w:val="20"/>
                <w:szCs w:val="20"/>
                <w:color w:val="auto"/>
              </w:rPr>
            </w:pPr>
            <w:r>
              <w:rPr>
                <w:rFonts w:ascii="Arial" w:cs="Arial" w:eastAsia="Arial" w:hAnsi="Arial"/>
                <w:sz w:val="17"/>
                <w:szCs w:val="17"/>
                <w:color w:val="auto"/>
              </w:rPr>
              <w:t>Long-term debt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4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9,674</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9,674</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56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Total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119,228</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126,611</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124,286</w:t>
            </w:r>
          </w:p>
        </w:tc>
        <w:tc>
          <w:tcPr>
            <w:tcW w:w="0" w:type="dxa"/>
            <w:vAlign w:val="bottom"/>
          </w:tcPr>
          <w:p>
            <w:pPr>
              <w:spacing w:after="0"/>
              <w:rPr>
                <w:sz w:val="1"/>
                <w:szCs w:val="1"/>
                <w:color w:val="auto"/>
              </w:rPr>
            </w:pPr>
          </w:p>
        </w:tc>
      </w:tr>
      <w:tr>
        <w:trPr>
          <w:trHeight w:val="194"/>
        </w:trPr>
        <w:tc>
          <w:tcPr>
            <w:tcW w:w="7560" w:type="dxa"/>
            <w:vAlign w:val="bottom"/>
          </w:tcPr>
          <w:p>
            <w:pPr>
              <w:spacing w:after="0" w:line="194" w:lineRule="exact"/>
              <w:rPr>
                <w:sz w:val="20"/>
                <w:szCs w:val="20"/>
                <w:color w:val="auto"/>
              </w:rPr>
            </w:pPr>
            <w:r>
              <w:rPr>
                <w:rFonts w:ascii="Arial" w:cs="Arial" w:eastAsia="Arial" w:hAnsi="Arial"/>
                <w:sz w:val="17"/>
                <w:szCs w:val="17"/>
                <w:color w:val="auto"/>
              </w:rPr>
              <w:t>Commitments and Contingencies (see Note 5 and Note 8)</w:t>
            </w: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56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Series Seed redeemable convertible preferred stock, par value of $0.0005 per share; 4,000,000</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shares authorized as of December 31, 2019 and June 30, 2020; 4,000,000 shares issued</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and outstanding at December 31, 2019 and June 30, 2020; liquidation and redemption value</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of $1,000 as of December 31, 2019 and June 30, 2020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9"/>
        </w:trPr>
        <w:tc>
          <w:tcPr>
            <w:tcW w:w="7560" w:type="dxa"/>
            <w:vAlign w:val="bottom"/>
          </w:tcPr>
          <w:p>
            <w:pPr>
              <w:spacing w:after="0" w:line="159" w:lineRule="exact"/>
              <w:rPr>
                <w:sz w:val="20"/>
                <w:szCs w:val="20"/>
                <w:color w:val="auto"/>
              </w:rPr>
            </w:pPr>
            <w:r>
              <w:rPr>
                <w:rFonts w:ascii="Arial" w:cs="Arial" w:eastAsia="Arial" w:hAnsi="Arial"/>
                <w:sz w:val="17"/>
                <w:szCs w:val="17"/>
                <w:color w:val="auto"/>
              </w:rPr>
              <w:t>Series A redeemable convertible preferred stock, par value of $0.0005 per share; 110,000,000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560" w:type="dxa"/>
            <w:vAlign w:val="bottom"/>
          </w:tcPr>
          <w:p>
            <w:pPr>
              <w:ind w:left="260"/>
              <w:spacing w:after="0" w:line="187" w:lineRule="exact"/>
              <w:rPr>
                <w:sz w:val="20"/>
                <w:szCs w:val="20"/>
                <w:color w:val="auto"/>
              </w:rPr>
            </w:pPr>
            <w:r>
              <w:rPr>
                <w:rFonts w:ascii="Arial" w:cs="Arial" w:eastAsia="Arial" w:hAnsi="Arial"/>
                <w:sz w:val="17"/>
                <w:szCs w:val="17"/>
                <w:color w:val="auto"/>
              </w:rPr>
              <w:t>shares authorized as of December 31, 2019 and June 30, 2020; 109,145,900 shares issued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60" w:type="dxa"/>
            <w:vAlign w:val="bottom"/>
          </w:tcPr>
          <w:p>
            <w:pPr>
              <w:ind w:left="260"/>
              <w:spacing w:after="0" w:line="187" w:lineRule="exact"/>
              <w:rPr>
                <w:sz w:val="20"/>
                <w:szCs w:val="20"/>
                <w:color w:val="auto"/>
              </w:rPr>
            </w:pPr>
            <w:r>
              <w:rPr>
                <w:rFonts w:ascii="Arial" w:cs="Arial" w:eastAsia="Arial" w:hAnsi="Arial"/>
                <w:sz w:val="17"/>
                <w:szCs w:val="17"/>
                <w:color w:val="auto"/>
              </w:rPr>
              <w:t>and outstanding at December 31, 2019 and June 30, 2020; liquidation and redemption value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60" w:type="dxa"/>
            <w:vAlign w:val="bottom"/>
          </w:tcPr>
          <w:p>
            <w:pPr>
              <w:ind w:left="260"/>
              <w:spacing w:after="0"/>
              <w:rPr>
                <w:sz w:val="20"/>
                <w:szCs w:val="20"/>
                <w:color w:val="auto"/>
              </w:rPr>
            </w:pPr>
            <w:r>
              <w:rPr>
                <w:rFonts w:ascii="Arial" w:cs="Arial" w:eastAsia="Arial" w:hAnsi="Arial"/>
                <w:sz w:val="17"/>
                <w:szCs w:val="17"/>
                <w:color w:val="auto"/>
              </w:rPr>
              <w:t>of $109,995 as of December 31, 2019 and June 30,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109,995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109,995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9"/>
        </w:trPr>
        <w:tc>
          <w:tcPr>
            <w:tcW w:w="756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Series B redeemable convertible preferred stock, par value of $0.0005 per share; 0 and</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150,000,000 shares authorized as of December 31, 2019 and June 30, 2020; 138,571,428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shares issued and outstanding at June 30, 2020; liquidation and redemption value of $0 and</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$141,026 as of December 31, 2019 and June 30, 2020, respectively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141,026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7560" w:type="dxa"/>
            <w:vAlign w:val="bottom"/>
          </w:tcPr>
          <w:p>
            <w:pPr>
              <w:spacing w:after="0" w:line="187" w:lineRule="exact"/>
              <w:rPr>
                <w:sz w:val="20"/>
                <w:szCs w:val="20"/>
                <w:color w:val="auto"/>
              </w:rPr>
            </w:pPr>
            <w:r>
              <w:rPr>
                <w:rFonts w:ascii="Arial" w:cs="Arial" w:eastAsia="Arial" w:hAnsi="Arial"/>
                <w:sz w:val="17"/>
                <w:szCs w:val="17"/>
                <w:color w:val="auto"/>
              </w:rPr>
              <w:t>Stockholders’ deficit: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560" w:type="dxa"/>
            <w:vAlign w:val="bottom"/>
            <w:shd w:val="clear" w:color="auto" w:fill="CCEEFF"/>
          </w:tcPr>
          <w:p>
            <w:pPr>
              <w:ind w:left="260"/>
              <w:spacing w:after="0" w:line="159" w:lineRule="exact"/>
              <w:rPr>
                <w:sz w:val="20"/>
                <w:szCs w:val="20"/>
                <w:color w:val="auto"/>
              </w:rPr>
            </w:pPr>
            <w:r>
              <w:rPr>
                <w:rFonts w:ascii="Arial" w:cs="Arial" w:eastAsia="Arial" w:hAnsi="Arial"/>
                <w:sz w:val="17"/>
                <w:szCs w:val="17"/>
                <w:color w:val="auto"/>
              </w:rPr>
              <w:t>Common stock, par value of $0.0001 per share; 180,000,000 and 370,000,000 shares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authorized as of December 2019 and June 30, 2020; 1,426,641 and 1,490,336 shares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issued and outstanding at December 31, 2019 and June 30, 2020, respectively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7"/>
        </w:trPr>
        <w:tc>
          <w:tcPr>
            <w:tcW w:w="7560" w:type="dxa"/>
            <w:vAlign w:val="bottom"/>
          </w:tcPr>
          <w:p>
            <w:pPr>
              <w:ind w:left="260"/>
              <w:spacing w:after="0" w:line="187" w:lineRule="exact"/>
              <w:rPr>
                <w:sz w:val="20"/>
                <w:szCs w:val="20"/>
                <w:color w:val="auto"/>
              </w:rPr>
            </w:pPr>
            <w:r>
              <w:rPr>
                <w:rFonts w:ascii="Arial" w:cs="Arial" w:eastAsia="Arial" w:hAnsi="Arial"/>
                <w:sz w:val="17"/>
                <w:szCs w:val="17"/>
                <w:color w:val="auto"/>
              </w:rPr>
              <w:t>Additional paid-in capital</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5,525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5,130</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263,972</w:t>
            </w:r>
          </w:p>
        </w:tc>
        <w:tc>
          <w:tcPr>
            <w:tcW w:w="0" w:type="dxa"/>
            <w:vAlign w:val="bottom"/>
          </w:tcPr>
          <w:p>
            <w:pPr>
              <w:spacing w:after="0"/>
              <w:rPr>
                <w:sz w:val="1"/>
                <w:szCs w:val="1"/>
                <w:color w:val="auto"/>
              </w:rPr>
            </w:pPr>
          </w:p>
        </w:tc>
      </w:tr>
      <w:tr>
        <w:trPr>
          <w:trHeight w:val="187"/>
        </w:trPr>
        <w:tc>
          <w:tcPr>
            <w:tcW w:w="756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Accumulated other comprehensive loss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7"/>
        </w:trPr>
        <w:tc>
          <w:tcPr>
            <w:tcW w:w="7560" w:type="dxa"/>
            <w:vAlign w:val="bottom"/>
          </w:tcPr>
          <w:p>
            <w:pPr>
              <w:ind w:left="260"/>
              <w:spacing w:after="0" w:line="187" w:lineRule="exact"/>
              <w:rPr>
                <w:sz w:val="20"/>
                <w:szCs w:val="20"/>
                <w:color w:val="auto"/>
              </w:rPr>
            </w:pPr>
            <w:r>
              <w:rPr>
                <w:rFonts w:ascii="Arial" w:cs="Arial" w:eastAsia="Arial" w:hAnsi="Arial"/>
                <w:sz w:val="17"/>
                <w:szCs w:val="17"/>
                <w:color w:val="auto"/>
              </w:rPr>
              <w:t>Accumulated deficit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right"/>
              <w:ind w:right="360"/>
              <w:spacing w:after="0" w:line="187" w:lineRule="exact"/>
              <w:rPr>
                <w:sz w:val="20"/>
                <w:szCs w:val="20"/>
                <w:color w:val="auto"/>
              </w:rPr>
            </w:pPr>
            <w:r>
              <w:rPr>
                <w:rFonts w:ascii="Arial" w:cs="Arial" w:eastAsia="Arial" w:hAnsi="Arial"/>
                <w:sz w:val="17"/>
                <w:szCs w:val="17"/>
                <w:color w:val="auto"/>
              </w:rPr>
              <w:t>(117,488)</w:t>
            </w:r>
          </w:p>
        </w:tc>
        <w:tc>
          <w:tcPr>
            <w:tcW w:w="100" w:type="dxa"/>
            <w:vAlign w:val="bottom"/>
          </w:tcPr>
          <w:p>
            <w:pPr>
              <w:spacing w:after="0"/>
              <w:rPr>
                <w:sz w:val="16"/>
                <w:szCs w:val="16"/>
                <w:color w:val="auto"/>
              </w:rPr>
            </w:pPr>
          </w:p>
        </w:tc>
        <w:tc>
          <w:tcPr>
            <w:tcW w:w="112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w w:val="98"/>
              </w:rPr>
              <w:t>(140,193)</w:t>
            </w:r>
          </w:p>
        </w:tc>
        <w:tc>
          <w:tcPr>
            <w:tcW w:w="100" w:type="dxa"/>
            <w:vAlign w:val="bottom"/>
          </w:tcPr>
          <w:p>
            <w:pPr>
              <w:spacing w:after="0"/>
              <w:rPr>
                <w:sz w:val="16"/>
                <w:szCs w:val="16"/>
                <w:color w:val="auto"/>
              </w:rPr>
            </w:pPr>
          </w:p>
        </w:tc>
        <w:tc>
          <w:tcPr>
            <w:tcW w:w="8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(140,193)</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56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Total stockholders’ deficit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(111,963)</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w w:val="98"/>
              </w:rPr>
              <w:t>(135,065)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123,781</w:t>
            </w:r>
          </w:p>
        </w:tc>
        <w:tc>
          <w:tcPr>
            <w:tcW w:w="0" w:type="dxa"/>
            <w:vAlign w:val="bottom"/>
          </w:tcPr>
          <w:p>
            <w:pPr>
              <w:spacing w:after="0"/>
              <w:rPr>
                <w:sz w:val="1"/>
                <w:szCs w:val="1"/>
                <w:color w:val="auto"/>
              </w:rPr>
            </w:pPr>
          </w:p>
        </w:tc>
      </w:tr>
      <w:tr>
        <w:trPr>
          <w:trHeight w:val="194"/>
        </w:trPr>
        <w:tc>
          <w:tcPr>
            <w:tcW w:w="7560" w:type="dxa"/>
            <w:vAlign w:val="bottom"/>
          </w:tcPr>
          <w:p>
            <w:pPr>
              <w:ind w:left="500"/>
              <w:spacing w:after="0" w:line="194" w:lineRule="exact"/>
              <w:rPr>
                <w:sz w:val="20"/>
                <w:szCs w:val="20"/>
                <w:color w:val="auto"/>
              </w:rPr>
            </w:pPr>
            <w:r>
              <w:rPr>
                <w:rFonts w:ascii="Arial" w:cs="Arial" w:eastAsia="Arial" w:hAnsi="Arial"/>
                <w:sz w:val="17"/>
                <w:szCs w:val="17"/>
                <w:color w:val="auto"/>
              </w:rPr>
              <w:t>Total liabilities, redeemable convertible preferred stock and stockholders’ deficit</w:t>
            </w:r>
          </w:p>
        </w:tc>
        <w:tc>
          <w:tcPr>
            <w:tcW w:w="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118,260</w:t>
            </w:r>
          </w:p>
        </w:tc>
        <w:tc>
          <w:tcPr>
            <w:tcW w:w="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243,567</w:t>
            </w:r>
          </w:p>
        </w:tc>
        <w:tc>
          <w:tcPr>
            <w:tcW w:w="4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248,067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40"/>
          </w:cols>
          <w:pgMar w:left="320" w:top="454"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and Comprehensive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jc w:val="center"/>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4"/>
        </w:trPr>
        <w:tc>
          <w:tcPr>
            <w:tcW w:w="750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7"/>
              <w:spacing w:after="0" w:line="154"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6"/>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5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Revenue from collaboration agreements</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7,807</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16,486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500" w:type="dxa"/>
            <w:vAlign w:val="bottom"/>
          </w:tcPr>
          <w:p>
            <w:pPr>
              <w:spacing w:after="0" w:line="187" w:lineRule="exact"/>
              <w:rPr>
                <w:sz w:val="20"/>
                <w:szCs w:val="20"/>
                <w:color w:val="auto"/>
              </w:rPr>
            </w:pPr>
            <w:r>
              <w:rPr>
                <w:rFonts w:ascii="Arial" w:cs="Arial" w:eastAsia="Arial" w:hAnsi="Arial"/>
                <w:sz w:val="17"/>
                <w:szCs w:val="17"/>
                <w:color w:val="auto"/>
              </w:rPr>
              <w:t>Operating expenses: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General and administrative</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1"/>
              <w:spacing w:after="0" w:line="187" w:lineRule="exact"/>
              <w:rPr>
                <w:sz w:val="20"/>
                <w:szCs w:val="20"/>
                <w:color w:val="auto"/>
              </w:rPr>
            </w:pPr>
            <w:r>
              <w:rPr>
                <w:rFonts w:ascii="Arial" w:cs="Arial" w:eastAsia="Arial" w:hAnsi="Arial"/>
                <w:sz w:val="17"/>
                <w:szCs w:val="17"/>
                <w:color w:val="auto"/>
              </w:rPr>
              <w:t>3,667</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5,611</w:t>
            </w:r>
          </w:p>
        </w:tc>
        <w:tc>
          <w:tcPr>
            <w:tcW w:w="0" w:type="dxa"/>
            <w:vAlign w:val="bottom"/>
          </w:tcPr>
          <w:p>
            <w:pPr>
              <w:spacing w:after="0"/>
              <w:rPr>
                <w:sz w:val="1"/>
                <w:szCs w:val="1"/>
                <w:color w:val="auto"/>
              </w:rPr>
            </w:pPr>
          </w:p>
        </w:tc>
      </w:tr>
      <w:tr>
        <w:trPr>
          <w:trHeight w:val="187"/>
        </w:trPr>
        <w:tc>
          <w:tcPr>
            <w:tcW w:w="7500" w:type="dxa"/>
            <w:vAlign w:val="bottom"/>
          </w:tcPr>
          <w:p>
            <w:pPr>
              <w:ind w:left="260"/>
              <w:spacing w:after="0" w:line="187" w:lineRule="exact"/>
              <w:rPr>
                <w:sz w:val="20"/>
                <w:szCs w:val="20"/>
                <w:color w:val="auto"/>
              </w:rPr>
            </w:pPr>
            <w:r>
              <w:rPr>
                <w:rFonts w:ascii="Arial" w:cs="Arial" w:eastAsia="Arial" w:hAnsi="Arial"/>
                <w:sz w:val="17"/>
                <w:szCs w:val="17"/>
                <w:color w:val="auto"/>
              </w:rPr>
              <w:t>Research and development</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81"/>
              <w:spacing w:after="0" w:line="187" w:lineRule="exact"/>
              <w:rPr>
                <w:sz w:val="20"/>
                <w:szCs w:val="20"/>
                <w:color w:val="auto"/>
              </w:rPr>
            </w:pPr>
            <w:r>
              <w:rPr>
                <w:rFonts w:ascii="Arial" w:cs="Arial" w:eastAsia="Arial" w:hAnsi="Arial"/>
                <w:sz w:val="17"/>
                <w:szCs w:val="17"/>
                <w:color w:val="auto"/>
              </w:rPr>
              <w:t>19,093</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34,072</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50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Total operating expenses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1"/>
              <w:spacing w:after="0" w:line="187" w:lineRule="exact"/>
              <w:rPr>
                <w:sz w:val="20"/>
                <w:szCs w:val="20"/>
                <w:color w:val="auto"/>
              </w:rPr>
            </w:pPr>
            <w:r>
              <w:rPr>
                <w:rFonts w:ascii="Arial" w:cs="Arial" w:eastAsia="Arial" w:hAnsi="Arial"/>
                <w:sz w:val="17"/>
                <w:szCs w:val="17"/>
                <w:color w:val="auto"/>
              </w:rPr>
              <w:t>22,760</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39,683</w:t>
            </w:r>
          </w:p>
        </w:tc>
        <w:tc>
          <w:tcPr>
            <w:tcW w:w="0" w:type="dxa"/>
            <w:vAlign w:val="bottom"/>
          </w:tcPr>
          <w:p>
            <w:pPr>
              <w:spacing w:after="0"/>
              <w:rPr>
                <w:sz w:val="1"/>
                <w:szCs w:val="1"/>
                <w:color w:val="auto"/>
              </w:rPr>
            </w:pPr>
          </w:p>
        </w:tc>
      </w:tr>
      <w:tr>
        <w:trPr>
          <w:trHeight w:val="194"/>
        </w:trPr>
        <w:tc>
          <w:tcPr>
            <w:tcW w:w="7500" w:type="dxa"/>
            <w:vAlign w:val="bottom"/>
          </w:tcPr>
          <w:p>
            <w:pPr>
              <w:ind w:left="500"/>
              <w:spacing w:after="0" w:line="194" w:lineRule="exact"/>
              <w:rPr>
                <w:sz w:val="20"/>
                <w:szCs w:val="20"/>
                <w:color w:val="auto"/>
              </w:rPr>
            </w:pPr>
            <w:r>
              <w:rPr>
                <w:rFonts w:ascii="Arial" w:cs="Arial" w:eastAsia="Arial" w:hAnsi="Arial"/>
                <w:sz w:val="17"/>
                <w:szCs w:val="17"/>
                <w:color w:val="auto"/>
              </w:rPr>
              <w:t>Operating loss</w:t>
            </w:r>
          </w:p>
        </w:tc>
        <w:tc>
          <w:tcPr>
            <w:tcW w:w="1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(14,953)</w:t>
            </w:r>
          </w:p>
        </w:tc>
        <w:tc>
          <w:tcPr>
            <w:tcW w:w="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(23,197)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income, net:</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00" w:type="dxa"/>
            <w:vAlign w:val="bottom"/>
          </w:tcPr>
          <w:p>
            <w:pPr>
              <w:ind w:left="260"/>
              <w:spacing w:after="0" w:line="187" w:lineRule="exact"/>
              <w:rPr>
                <w:sz w:val="20"/>
                <w:szCs w:val="20"/>
                <w:color w:val="auto"/>
              </w:rPr>
            </w:pPr>
            <w:r>
              <w:rPr>
                <w:rFonts w:ascii="Arial" w:cs="Arial" w:eastAsia="Arial" w:hAnsi="Arial"/>
                <w:sz w:val="17"/>
                <w:szCs w:val="17"/>
                <w:color w:val="auto"/>
              </w:rPr>
              <w:t>Interest income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81"/>
              <w:spacing w:after="0" w:line="187" w:lineRule="exact"/>
              <w:rPr>
                <w:sz w:val="20"/>
                <w:szCs w:val="20"/>
                <w:color w:val="auto"/>
              </w:rPr>
            </w:pPr>
            <w:r>
              <w:rPr>
                <w:rFonts w:ascii="Arial" w:cs="Arial" w:eastAsia="Arial" w:hAnsi="Arial"/>
                <w:sz w:val="17"/>
                <w:szCs w:val="17"/>
                <w:color w:val="auto"/>
              </w:rPr>
              <w:t>928</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Interest expense</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1"/>
              <w:spacing w:after="0" w:line="18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87"/>
        </w:trPr>
        <w:tc>
          <w:tcPr>
            <w:tcW w:w="7500" w:type="dxa"/>
            <w:vAlign w:val="bottom"/>
          </w:tcPr>
          <w:p>
            <w:pPr>
              <w:ind w:left="260"/>
              <w:spacing w:after="0" w:line="187" w:lineRule="exact"/>
              <w:rPr>
                <w:sz w:val="20"/>
                <w:szCs w:val="20"/>
                <w:color w:val="auto"/>
              </w:rPr>
            </w:pPr>
            <w:r>
              <w:rPr>
                <w:rFonts w:ascii="Arial" w:cs="Arial" w:eastAsia="Arial" w:hAnsi="Arial"/>
                <w:sz w:val="17"/>
                <w:szCs w:val="17"/>
                <w:color w:val="auto"/>
              </w:rPr>
              <w:t>Other (expense) income, net</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81"/>
              <w:spacing w:after="0" w:line="187" w:lineRule="exact"/>
              <w:rPr>
                <w:sz w:val="20"/>
                <w:szCs w:val="20"/>
                <w:color w:val="auto"/>
              </w:rPr>
            </w:pPr>
            <w:r>
              <w:rPr>
                <w:rFonts w:ascii="Arial" w:cs="Arial" w:eastAsia="Arial" w:hAnsi="Arial"/>
                <w:sz w:val="17"/>
                <w:szCs w:val="17"/>
                <w:color w:val="auto"/>
              </w:rPr>
              <w:t>293</w:t>
            </w:r>
          </w:p>
        </w:tc>
        <w:tc>
          <w:tcPr>
            <w:tcW w:w="100" w:type="dxa"/>
            <w:vAlign w:val="bottom"/>
          </w:tcPr>
          <w:p>
            <w:pPr>
              <w:spacing w:after="0"/>
              <w:rPr>
                <w:sz w:val="16"/>
                <w:szCs w:val="16"/>
                <w:color w:val="auto"/>
              </w:rPr>
            </w:pPr>
          </w:p>
        </w:tc>
        <w:tc>
          <w:tcPr>
            <w:tcW w:w="96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50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Total other income, net</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1"/>
              <w:spacing w:after="0" w:line="187" w:lineRule="exact"/>
              <w:rPr>
                <w:sz w:val="20"/>
                <w:szCs w:val="20"/>
                <w:color w:val="auto"/>
              </w:rPr>
            </w:pPr>
            <w:r>
              <w:rPr>
                <w:rFonts w:ascii="Arial" w:cs="Arial" w:eastAsia="Arial" w:hAnsi="Arial"/>
                <w:sz w:val="17"/>
                <w:szCs w:val="17"/>
                <w:color w:val="auto"/>
              </w:rPr>
              <w:t>1,221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Loss before income taxes</w:t>
            </w:r>
          </w:p>
        </w:tc>
        <w:tc>
          <w:tcPr>
            <w:tcW w:w="1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(13,732)</w:t>
            </w:r>
          </w:p>
        </w:tc>
        <w:tc>
          <w:tcPr>
            <w:tcW w:w="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(23,040)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Income tax (expense) benefit</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21"/>
              <w:spacing w:after="0" w:line="187" w:lineRule="exact"/>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Net loss</w:t>
            </w:r>
          </w:p>
        </w:tc>
        <w:tc>
          <w:tcPr>
            <w:tcW w:w="1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(13,982)</w:t>
            </w:r>
          </w:p>
        </w:tc>
        <w:tc>
          <w:tcPr>
            <w:tcW w:w="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(22,705)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comprehensive loss: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00" w:type="dxa"/>
            <w:vAlign w:val="bottom"/>
          </w:tcPr>
          <w:p>
            <w:pPr>
              <w:ind w:left="260"/>
              <w:spacing w:after="0" w:line="187" w:lineRule="exact"/>
              <w:rPr>
                <w:sz w:val="20"/>
                <w:szCs w:val="20"/>
                <w:color w:val="auto"/>
              </w:rPr>
            </w:pPr>
            <w:r>
              <w:rPr>
                <w:rFonts w:ascii="Arial" w:cs="Arial" w:eastAsia="Arial" w:hAnsi="Arial"/>
                <w:sz w:val="17"/>
                <w:szCs w:val="17"/>
                <w:color w:val="auto"/>
              </w:rPr>
              <w:t>Unrealized loss on investments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21"/>
              <w:spacing w:after="0" w:line="187" w:lineRule="exact"/>
              <w:rPr>
                <w:sz w:val="20"/>
                <w:szCs w:val="20"/>
                <w:color w:val="auto"/>
              </w:rPr>
            </w:pPr>
            <w:r>
              <w:rPr>
                <w:rFonts w:ascii="Arial" w:cs="Arial" w:eastAsia="Arial" w:hAnsi="Arial"/>
                <w:sz w:val="17"/>
                <w:szCs w:val="17"/>
                <w:color w:val="auto"/>
              </w:rPr>
              <w:t>(4)</w:t>
            </w:r>
          </w:p>
        </w:tc>
        <w:tc>
          <w:tcPr>
            <w:tcW w:w="100" w:type="dxa"/>
            <w:vAlign w:val="bottom"/>
          </w:tcPr>
          <w:p>
            <w:pPr>
              <w:spacing w:after="0"/>
              <w:rPr>
                <w:sz w:val="16"/>
                <w:szCs w:val="16"/>
                <w:color w:val="auto"/>
              </w:rPr>
            </w:pPr>
          </w:p>
        </w:tc>
        <w:tc>
          <w:tcPr>
            <w:tcW w:w="96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Comprehensive loss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21"/>
              <w:spacing w:after="0" w:line="187" w:lineRule="exact"/>
              <w:rPr>
                <w:sz w:val="20"/>
                <w:szCs w:val="20"/>
                <w:color w:val="auto"/>
              </w:rPr>
            </w:pPr>
            <w:r>
              <w:rPr>
                <w:rFonts w:ascii="Arial" w:cs="Arial" w:eastAsia="Arial" w:hAnsi="Arial"/>
                <w:sz w:val="17"/>
                <w:szCs w:val="17"/>
                <w:color w:val="auto"/>
              </w:rPr>
              <w:t>(13,986)</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(22,707)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7"/>
                <w:szCs w:val="17"/>
                <w:color w:val="auto"/>
              </w:rPr>
              <w:t>Accrual of preferred stock dividends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(4,199)</w:t>
            </w:r>
          </w:p>
        </w:tc>
        <w:tc>
          <w:tcPr>
            <w:tcW w:w="6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(5,019)</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Net loss attributable to common stockholders—basic and diluted (Note 12)</w:t>
            </w:r>
          </w:p>
        </w:tc>
        <w:tc>
          <w:tcPr>
            <w:tcW w:w="12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21"/>
              <w:spacing w:after="0" w:line="180" w:lineRule="exact"/>
              <w:rPr>
                <w:sz w:val="20"/>
                <w:szCs w:val="20"/>
                <w:color w:val="auto"/>
              </w:rPr>
            </w:pPr>
            <w:r>
              <w:rPr>
                <w:rFonts w:ascii="Arial" w:cs="Arial" w:eastAsia="Arial" w:hAnsi="Arial"/>
                <w:sz w:val="17"/>
                <w:szCs w:val="17"/>
                <w:color w:val="auto"/>
              </w:rPr>
              <w:t>(18,181)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line="180" w:lineRule="exact"/>
              <w:rPr>
                <w:sz w:val="20"/>
                <w:szCs w:val="20"/>
                <w:color w:val="auto"/>
              </w:rPr>
            </w:pPr>
            <w:r>
              <w:rPr>
                <w:rFonts w:ascii="Arial" w:cs="Arial" w:eastAsia="Arial" w:hAnsi="Arial"/>
                <w:sz w:val="17"/>
                <w:szCs w:val="17"/>
                <w:color w:val="auto"/>
              </w:rPr>
              <w:t>(27,724)</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1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vMerge w:val="restart"/>
          </w:tcPr>
          <w:p>
            <w:pPr>
              <w:jc w:val="right"/>
              <w:ind w:right="5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(13.53</w:t>
            </w:r>
          </w:p>
        </w:tc>
        <w:tc>
          <w:tcPr>
            <w:tcW w:w="6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(18.87)</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Weighted-average common stock outstanding—basic and diluted</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581"/>
              <w:spacing w:after="0" w:line="180" w:lineRule="exact"/>
              <w:rPr>
                <w:sz w:val="20"/>
                <w:szCs w:val="20"/>
                <w:color w:val="auto"/>
              </w:rPr>
            </w:pPr>
            <w:r>
              <w:rPr>
                <w:rFonts w:ascii="Arial" w:cs="Arial" w:eastAsia="Arial" w:hAnsi="Arial"/>
                <w:sz w:val="17"/>
                <w:szCs w:val="17"/>
                <w:color w:val="auto"/>
                <w:w w:val="97"/>
              </w:rPr>
              <w:t>1,343,739</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1,469,571</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7"/>
                <w:szCs w:val="17"/>
                <w:color w:val="auto"/>
              </w:rPr>
              <w:t>Pro forma weighted-average common stock outstanding—basic and diluted</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98"/>
              </w:rPr>
              <w:t>17,233,018</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Pro forma net loss per share attributable to common stockholders—basic and diluted</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line="180"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240"/>
          </w:cols>
          <w:pgMar w:left="320" w:top="454"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Redeemable Convertible Preferred Stock and Stockholder’s Deficit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2019 and 2020</w:t>
      </w:r>
    </w:p>
    <w:p>
      <w:pPr>
        <w:jc w:val="center"/>
        <w:spacing w:after="0" w:line="229" w:lineRule="auto"/>
        <w:rPr>
          <w:sz w:val="20"/>
          <w:szCs w:val="20"/>
          <w:color w:val="auto"/>
        </w:rPr>
      </w:pPr>
      <w:r>
        <w:rPr>
          <w:rFonts w:ascii="Arial" w:cs="Arial" w:eastAsia="Arial" w:hAnsi="Arial"/>
          <w:sz w:val="17"/>
          <w:szCs w:val="17"/>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60" w:type="dxa"/>
            <w:vAlign w:val="bottom"/>
          </w:tcPr>
          <w:p>
            <w:pPr>
              <w:spacing w:after="0"/>
              <w:rPr>
                <w:sz w:val="10"/>
                <w:szCs w:val="10"/>
                <w:color w:val="auto"/>
              </w:rPr>
            </w:pPr>
          </w:p>
        </w:tc>
        <w:tc>
          <w:tcPr>
            <w:tcW w:w="1200" w:type="dxa"/>
            <w:vAlign w:val="bottom"/>
            <w:gridSpan w:val="6"/>
          </w:tcPr>
          <w:p>
            <w:pPr>
              <w:jc w:val="center"/>
              <w:ind w:right="140"/>
              <w:spacing w:after="0"/>
              <w:rPr>
                <w:sz w:val="20"/>
                <w:szCs w:val="20"/>
                <w:color w:val="auto"/>
              </w:rPr>
            </w:pPr>
            <w:r>
              <w:rPr>
                <w:rFonts w:ascii="Arial" w:cs="Arial" w:eastAsia="Arial" w:hAnsi="Arial"/>
                <w:sz w:val="10"/>
                <w:szCs w:val="10"/>
                <w:b w:val="1"/>
                <w:bCs w:val="1"/>
                <w:color w:val="auto"/>
                <w:w w:val="98"/>
              </w:rPr>
              <w:t>SERIES SEED</w:t>
            </w:r>
          </w:p>
        </w:tc>
        <w:tc>
          <w:tcPr>
            <w:tcW w:w="1280" w:type="dxa"/>
            <w:vAlign w:val="bottom"/>
            <w:gridSpan w:val="5"/>
          </w:tcPr>
          <w:p>
            <w:pPr>
              <w:jc w:val="center"/>
              <w:ind w:right="140"/>
              <w:spacing w:after="0"/>
              <w:rPr>
                <w:sz w:val="20"/>
                <w:szCs w:val="20"/>
                <w:color w:val="auto"/>
              </w:rPr>
            </w:pPr>
            <w:r>
              <w:rPr>
                <w:rFonts w:ascii="Arial" w:cs="Arial" w:eastAsia="Arial" w:hAnsi="Arial"/>
                <w:sz w:val="10"/>
                <w:szCs w:val="10"/>
                <w:b w:val="1"/>
                <w:bCs w:val="1"/>
                <w:color w:val="auto"/>
                <w:w w:val="98"/>
              </w:rPr>
              <w:t>SERIES A</w:t>
            </w:r>
          </w:p>
        </w:tc>
        <w:tc>
          <w:tcPr>
            <w:tcW w:w="820" w:type="dxa"/>
            <w:vAlign w:val="bottom"/>
            <w:gridSpan w:val="3"/>
          </w:tcPr>
          <w:p>
            <w:pPr>
              <w:jc w:val="center"/>
              <w:ind w:left="311"/>
              <w:spacing w:after="0"/>
              <w:rPr>
                <w:sz w:val="20"/>
                <w:szCs w:val="20"/>
                <w:color w:val="auto"/>
              </w:rPr>
            </w:pPr>
            <w:r>
              <w:rPr>
                <w:rFonts w:ascii="Arial" w:cs="Arial" w:eastAsia="Arial" w:hAnsi="Arial"/>
                <w:sz w:val="10"/>
                <w:szCs w:val="10"/>
                <w:b w:val="1"/>
                <w:bCs w:val="1"/>
                <w:color w:val="auto"/>
                <w:w w:val="98"/>
              </w:rPr>
              <w:t>SERIES B</w:t>
            </w: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0"/>
        </w:trPr>
        <w:tc>
          <w:tcPr>
            <w:tcW w:w="2760" w:type="dxa"/>
            <w:vAlign w:val="bottom"/>
          </w:tcPr>
          <w:p>
            <w:pPr>
              <w:spacing w:after="0"/>
              <w:rPr>
                <w:sz w:val="10"/>
                <w:szCs w:val="10"/>
                <w:color w:val="auto"/>
              </w:rPr>
            </w:pPr>
          </w:p>
        </w:tc>
        <w:tc>
          <w:tcPr>
            <w:tcW w:w="1200" w:type="dxa"/>
            <w:vAlign w:val="bottom"/>
            <w:gridSpan w:val="6"/>
          </w:tcPr>
          <w:p>
            <w:pPr>
              <w:jc w:val="center"/>
              <w:ind w:right="140"/>
              <w:spacing w:after="0"/>
              <w:rPr>
                <w:sz w:val="20"/>
                <w:szCs w:val="20"/>
                <w:color w:val="auto"/>
              </w:rPr>
            </w:pPr>
            <w:r>
              <w:rPr>
                <w:rFonts w:ascii="Arial" w:cs="Arial" w:eastAsia="Arial" w:hAnsi="Arial"/>
                <w:sz w:val="10"/>
                <w:szCs w:val="10"/>
                <w:b w:val="1"/>
                <w:bCs w:val="1"/>
                <w:color w:val="auto"/>
                <w:w w:val="99"/>
              </w:rPr>
              <w:t>REDEEMABLE</w:t>
            </w:r>
          </w:p>
        </w:tc>
        <w:tc>
          <w:tcPr>
            <w:tcW w:w="128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7"/>
              </w:rPr>
              <w:t>REDEEMABLE</w:t>
            </w:r>
          </w:p>
        </w:tc>
        <w:tc>
          <w:tcPr>
            <w:tcW w:w="140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0"/>
                <w:szCs w:val="10"/>
                <w:b w:val="1"/>
                <w:bCs w:val="1"/>
                <w:color w:val="auto"/>
                <w:w w:val="99"/>
              </w:rPr>
              <w:t>REDEEMABLE</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ACCUMULATED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TOTAL</w:t>
            </w:r>
          </w:p>
        </w:tc>
      </w:tr>
      <w:tr>
        <w:trPr>
          <w:trHeight w:val="120"/>
        </w:trPr>
        <w:tc>
          <w:tcPr>
            <w:tcW w:w="2760" w:type="dxa"/>
            <w:vAlign w:val="bottom"/>
          </w:tcPr>
          <w:p>
            <w:pPr>
              <w:spacing w:after="0"/>
              <w:rPr>
                <w:sz w:val="10"/>
                <w:szCs w:val="10"/>
                <w:color w:val="auto"/>
              </w:rPr>
            </w:pPr>
          </w:p>
        </w:tc>
        <w:tc>
          <w:tcPr>
            <w:tcW w:w="1200" w:type="dxa"/>
            <w:vAlign w:val="bottom"/>
            <w:gridSpan w:val="6"/>
          </w:tcPr>
          <w:p>
            <w:pPr>
              <w:jc w:val="center"/>
              <w:ind w:right="140"/>
              <w:spacing w:after="0"/>
              <w:rPr>
                <w:sz w:val="20"/>
                <w:szCs w:val="20"/>
                <w:color w:val="auto"/>
              </w:rPr>
            </w:pPr>
            <w:r>
              <w:rPr>
                <w:rFonts w:ascii="Arial" w:cs="Arial" w:eastAsia="Arial" w:hAnsi="Arial"/>
                <w:sz w:val="10"/>
                <w:szCs w:val="10"/>
                <w:b w:val="1"/>
                <w:bCs w:val="1"/>
                <w:color w:val="auto"/>
                <w:w w:val="97"/>
              </w:rPr>
              <w:t>CONVERTIBLE</w:t>
            </w:r>
          </w:p>
        </w:tc>
        <w:tc>
          <w:tcPr>
            <w:tcW w:w="1280" w:type="dxa"/>
            <w:vAlign w:val="bottom"/>
            <w:gridSpan w:val="5"/>
          </w:tcPr>
          <w:p>
            <w:pPr>
              <w:jc w:val="center"/>
              <w:ind w:right="140"/>
              <w:spacing w:after="0"/>
              <w:rPr>
                <w:sz w:val="20"/>
                <w:szCs w:val="20"/>
                <w:color w:val="auto"/>
              </w:rPr>
            </w:pPr>
            <w:r>
              <w:rPr>
                <w:rFonts w:ascii="Arial" w:cs="Arial" w:eastAsia="Arial" w:hAnsi="Arial"/>
                <w:sz w:val="10"/>
                <w:szCs w:val="10"/>
                <w:b w:val="1"/>
                <w:bCs w:val="1"/>
                <w:color w:val="auto"/>
                <w:w w:val="97"/>
              </w:rPr>
              <w:t>CONVERTIBLE</w:t>
            </w:r>
          </w:p>
        </w:tc>
        <w:tc>
          <w:tcPr>
            <w:tcW w:w="140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0"/>
                <w:szCs w:val="10"/>
                <w:b w:val="1"/>
                <w:bCs w:val="1"/>
                <w:color w:val="auto"/>
                <w:w w:val="97"/>
              </w:rPr>
              <w:t>CONVERTIBLE</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STOCK</w:t>
            </w:r>
          </w:p>
        </w:tc>
      </w:tr>
      <w:tr>
        <w:trPr>
          <w:trHeight w:val="129"/>
        </w:trPr>
        <w:tc>
          <w:tcPr>
            <w:tcW w:w="2760" w:type="dxa"/>
            <w:vAlign w:val="bottom"/>
          </w:tcPr>
          <w:p>
            <w:pPr>
              <w:spacing w:after="0"/>
              <w:rPr>
                <w:sz w:val="11"/>
                <w:szCs w:val="11"/>
                <w:color w:val="auto"/>
              </w:rPr>
            </w:pPr>
          </w:p>
        </w:tc>
        <w:tc>
          <w:tcPr>
            <w:tcW w:w="1200" w:type="dxa"/>
            <w:vAlign w:val="bottom"/>
            <w:gridSpan w:val="6"/>
          </w:tcPr>
          <w:p>
            <w:pPr>
              <w:jc w:val="center"/>
              <w:ind w:right="140"/>
              <w:spacing w:after="0"/>
              <w:rPr>
                <w:sz w:val="20"/>
                <w:szCs w:val="20"/>
                <w:color w:val="auto"/>
              </w:rPr>
            </w:pPr>
            <w:r>
              <w:rPr>
                <w:rFonts w:ascii="Arial" w:cs="Arial" w:eastAsia="Arial" w:hAnsi="Arial"/>
                <w:sz w:val="10"/>
                <w:szCs w:val="10"/>
                <w:b w:val="1"/>
                <w:bCs w:val="1"/>
                <w:color w:val="auto"/>
                <w:w w:val="98"/>
              </w:rPr>
              <w:t>PREFERRED STOCK</w:t>
            </w:r>
          </w:p>
        </w:tc>
        <w:tc>
          <w:tcPr>
            <w:tcW w:w="1280" w:type="dxa"/>
            <w:vAlign w:val="bottom"/>
            <w:gridSpan w:val="5"/>
          </w:tcPr>
          <w:p>
            <w:pPr>
              <w:jc w:val="center"/>
              <w:ind w:right="140"/>
              <w:spacing w:after="0"/>
              <w:rPr>
                <w:sz w:val="20"/>
                <w:szCs w:val="20"/>
                <w:color w:val="auto"/>
              </w:rPr>
            </w:pPr>
            <w:r>
              <w:rPr>
                <w:rFonts w:ascii="Arial" w:cs="Arial" w:eastAsia="Arial" w:hAnsi="Arial"/>
                <w:sz w:val="10"/>
                <w:szCs w:val="10"/>
                <w:b w:val="1"/>
                <w:bCs w:val="1"/>
                <w:color w:val="auto"/>
                <w:w w:val="98"/>
              </w:rPr>
              <w:t>PREFERRED STOCK</w:t>
            </w:r>
          </w:p>
        </w:tc>
        <w:tc>
          <w:tcPr>
            <w:tcW w:w="140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0"/>
                <w:szCs w:val="10"/>
                <w:b w:val="1"/>
                <w:bCs w:val="1"/>
                <w:color w:val="auto"/>
                <w:w w:val="98"/>
              </w:rPr>
              <w:t>PREFERRED STOCK</w:t>
            </w:r>
          </w:p>
        </w:tc>
        <w:tc>
          <w:tcPr>
            <w:tcW w:w="80" w:type="dxa"/>
            <w:vAlign w:val="bottom"/>
          </w:tcPr>
          <w:p>
            <w:pPr>
              <w:spacing w:after="0"/>
              <w:rPr>
                <w:sz w:val="11"/>
                <w:szCs w:val="11"/>
                <w:color w:val="auto"/>
              </w:rPr>
            </w:pPr>
          </w:p>
        </w:tc>
        <w:tc>
          <w:tcPr>
            <w:tcW w:w="980" w:type="dxa"/>
            <w:vAlign w:val="bottom"/>
            <w:gridSpan w:val="3"/>
          </w:tcPr>
          <w:p>
            <w:pPr>
              <w:ind w:left="120"/>
              <w:spacing w:after="0"/>
              <w:rPr>
                <w:sz w:val="20"/>
                <w:szCs w:val="20"/>
                <w:color w:val="auto"/>
              </w:rPr>
            </w:pPr>
            <w:r>
              <w:rPr>
                <w:rFonts w:ascii="Arial" w:cs="Arial" w:eastAsia="Arial" w:hAnsi="Arial"/>
                <w:sz w:val="10"/>
                <w:szCs w:val="10"/>
                <w:b w:val="1"/>
                <w:bCs w:val="1"/>
                <w:color w:val="auto"/>
                <w:w w:val="99"/>
              </w:rPr>
              <w:t>COMMON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7"/>
              </w:rPr>
              <w:t>COMPREHENSIVE</w:t>
            </w:r>
          </w:p>
        </w:tc>
        <w:tc>
          <w:tcPr>
            <w:tcW w:w="920" w:type="dxa"/>
            <w:vAlign w:val="bottom"/>
            <w:gridSpan w:val="3"/>
          </w:tcPr>
          <w:p>
            <w:pPr>
              <w:spacing w:after="0"/>
              <w:rPr>
                <w:sz w:val="20"/>
                <w:szCs w:val="20"/>
                <w:color w:val="auto"/>
              </w:rPr>
            </w:pPr>
            <w:r>
              <w:rPr>
                <w:rFonts w:ascii="Arial" w:cs="Arial" w:eastAsia="Arial" w:hAnsi="Arial"/>
                <w:sz w:val="10"/>
                <w:szCs w:val="10"/>
                <w:b w:val="1"/>
                <w:bCs w:val="1"/>
                <w:color w:val="auto"/>
              </w:rPr>
              <w:t>ACCUMULATED</w:t>
            </w:r>
          </w:p>
        </w:tc>
        <w:tc>
          <w:tcPr>
            <w:tcW w:w="580" w:type="dxa"/>
            <w:vAlign w:val="bottom"/>
            <w:gridSpan w:val="3"/>
          </w:tcPr>
          <w:p>
            <w:pPr>
              <w:spacing w:after="0"/>
              <w:rPr>
                <w:sz w:val="20"/>
                <w:szCs w:val="20"/>
                <w:color w:val="auto"/>
              </w:rPr>
            </w:pPr>
            <w:r>
              <w:rPr>
                <w:rFonts w:ascii="Arial" w:cs="Arial" w:eastAsia="Arial" w:hAnsi="Arial"/>
                <w:sz w:val="10"/>
                <w:szCs w:val="10"/>
                <w:b w:val="1"/>
                <w:bCs w:val="1"/>
                <w:color w:val="auto"/>
              </w:rPr>
              <w:t>HOLDERS’</w:t>
            </w:r>
          </w:p>
        </w:tc>
      </w:tr>
      <w:tr>
        <w:trPr>
          <w:trHeight w:val="114"/>
        </w:trPr>
        <w:tc>
          <w:tcPr>
            <w:tcW w:w="2760" w:type="dxa"/>
            <w:vAlign w:val="bottom"/>
          </w:tcPr>
          <w:p>
            <w:pPr>
              <w:spacing w:after="0"/>
              <w:rPr>
                <w:sz w:val="9"/>
                <w:szCs w:val="9"/>
                <w:color w:val="auto"/>
              </w:rPr>
            </w:pPr>
          </w:p>
        </w:tc>
        <w:tc>
          <w:tcPr>
            <w:tcW w:w="620" w:type="dxa"/>
            <w:vAlign w:val="bottom"/>
            <w:tcBorders>
              <w:top w:val="single" w:sz="8" w:color="auto"/>
            </w:tcBorders>
            <w:gridSpan w:val="3"/>
          </w:tcPr>
          <w:p>
            <w:pPr>
              <w:ind w:left="40"/>
              <w:spacing w:after="0" w:line="114" w:lineRule="exact"/>
              <w:rPr>
                <w:sz w:val="20"/>
                <w:szCs w:val="20"/>
                <w:color w:val="auto"/>
              </w:rPr>
            </w:pPr>
            <w:r>
              <w:rPr>
                <w:rFonts w:ascii="Arial" w:cs="Arial" w:eastAsia="Arial" w:hAnsi="Arial"/>
                <w:sz w:val="10"/>
                <w:szCs w:val="10"/>
                <w:b w:val="1"/>
                <w:bCs w:val="1"/>
                <w:color w:val="auto"/>
              </w:rPr>
              <w:t>SHARES</w:t>
            </w:r>
          </w:p>
        </w:tc>
        <w:tc>
          <w:tcPr>
            <w:tcW w:w="44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0"/>
                <w:szCs w:val="10"/>
                <w:b w:val="1"/>
                <w:bCs w:val="1"/>
                <w:color w:val="auto"/>
                <w:w w:val="95"/>
              </w:rPr>
              <w:t>AMOUNT</w:t>
            </w:r>
          </w:p>
        </w:tc>
        <w:tc>
          <w:tcPr>
            <w:tcW w:w="140" w:type="dxa"/>
            <w:vAlign w:val="bottom"/>
          </w:tcPr>
          <w:p>
            <w:pPr>
              <w:spacing w:after="0"/>
              <w:rPr>
                <w:sz w:val="9"/>
                <w:szCs w:val="9"/>
                <w:color w:val="auto"/>
              </w:rPr>
            </w:pPr>
          </w:p>
        </w:tc>
        <w:tc>
          <w:tcPr>
            <w:tcW w:w="640" w:type="dxa"/>
            <w:vAlign w:val="bottom"/>
            <w:tcBorders>
              <w:top w:val="single" w:sz="8" w:color="auto"/>
            </w:tcBorders>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9"/>
                <w:szCs w:val="9"/>
                <w:color w:val="auto"/>
              </w:rPr>
            </w:pPr>
          </w:p>
        </w:tc>
        <w:tc>
          <w:tcPr>
            <w:tcW w:w="740" w:type="dxa"/>
            <w:vAlign w:val="bottom"/>
            <w:tcBorders>
              <w:top w:val="single" w:sz="8" w:color="auto"/>
            </w:tcBorders>
            <w:gridSpan w:val="2"/>
          </w:tcPr>
          <w:p>
            <w:pPr>
              <w:ind w:left="100"/>
              <w:spacing w:after="0" w:line="114" w:lineRule="exact"/>
              <w:rPr>
                <w:sz w:val="20"/>
                <w:szCs w:val="20"/>
                <w:color w:val="auto"/>
              </w:rPr>
            </w:pPr>
            <w:r>
              <w:rPr>
                <w:rFonts w:ascii="Arial" w:cs="Arial" w:eastAsia="Arial" w:hAnsi="Arial"/>
                <w:sz w:val="10"/>
                <w:szCs w:val="10"/>
                <w:b w:val="1"/>
                <w:bCs w:val="1"/>
                <w:color w:val="auto"/>
              </w:rPr>
              <w:t>SHARES</w:t>
            </w:r>
          </w:p>
        </w:tc>
        <w:tc>
          <w:tcPr>
            <w:tcW w:w="44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0"/>
                <w:szCs w:val="10"/>
                <w:b w:val="1"/>
                <w:bCs w:val="1"/>
                <w:color w:val="auto"/>
                <w:w w:val="95"/>
              </w:rPr>
              <w:t>AMOUNT</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rPr>
              <w:t>SHARES</w:t>
            </w:r>
          </w:p>
        </w:tc>
        <w:tc>
          <w:tcPr>
            <w:tcW w:w="44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ind w:right="51"/>
              <w:spacing w:after="0" w:line="114" w:lineRule="exact"/>
              <w:rPr>
                <w:sz w:val="20"/>
                <w:szCs w:val="20"/>
                <w:color w:val="auto"/>
              </w:rPr>
            </w:pPr>
            <w:r>
              <w:rPr>
                <w:rFonts w:ascii="Arial" w:cs="Arial" w:eastAsia="Arial" w:hAnsi="Arial"/>
                <w:sz w:val="10"/>
                <w:szCs w:val="10"/>
                <w:b w:val="1"/>
                <w:bCs w:val="1"/>
                <w:color w:val="auto"/>
                <w:w w:val="96"/>
              </w:rPr>
              <w:t>CAPITAL</w:t>
            </w:r>
          </w:p>
        </w:tc>
        <w:tc>
          <w:tcPr>
            <w:tcW w:w="1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6"/>
              </w:rPr>
              <w:t>INCOME (LOSS)</w:t>
            </w: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131"/>
              <w:spacing w:after="0" w:line="114" w:lineRule="exact"/>
              <w:rPr>
                <w:sz w:val="20"/>
                <w:szCs w:val="20"/>
                <w:color w:val="auto"/>
              </w:rPr>
            </w:pPr>
            <w:r>
              <w:rPr>
                <w:rFonts w:ascii="Arial" w:cs="Arial" w:eastAsia="Arial" w:hAnsi="Arial"/>
                <w:sz w:val="10"/>
                <w:szCs w:val="10"/>
                <w:b w:val="1"/>
                <w:bCs w:val="1"/>
                <w:color w:val="auto"/>
              </w:rPr>
              <w:t>DEFICIT</w:t>
            </w: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ind w:right="11"/>
              <w:spacing w:after="0" w:line="114" w:lineRule="exact"/>
              <w:rPr>
                <w:sz w:val="20"/>
                <w:szCs w:val="20"/>
                <w:color w:val="auto"/>
              </w:rPr>
            </w:pPr>
            <w:r>
              <w:rPr>
                <w:rFonts w:ascii="Arial" w:cs="Arial" w:eastAsia="Arial" w:hAnsi="Arial"/>
                <w:sz w:val="10"/>
                <w:szCs w:val="10"/>
                <w:b w:val="1"/>
                <w:bCs w:val="1"/>
                <w:color w:val="auto"/>
              </w:rPr>
              <w:t>DEFICIT</w:t>
            </w:r>
          </w:p>
        </w:tc>
        <w:tc>
          <w:tcPr>
            <w:tcW w:w="60" w:type="dxa"/>
            <w:vAlign w:val="bottom"/>
          </w:tcPr>
          <w:p>
            <w:pPr>
              <w:spacing w:after="0"/>
              <w:rPr>
                <w:sz w:val="9"/>
                <w:szCs w:val="9"/>
                <w:color w:val="auto"/>
              </w:rPr>
            </w:pPr>
          </w:p>
        </w:tc>
      </w:tr>
      <w:tr>
        <w:trPr>
          <w:trHeight w:val="114"/>
        </w:trPr>
        <w:tc>
          <w:tcPr>
            <w:tcW w:w="276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0"/>
                <w:szCs w:val="10"/>
                <w:color w:val="auto"/>
              </w:rPr>
              <w:t>Balance as of December 31, 2018</w:t>
            </w:r>
          </w:p>
        </w:tc>
        <w:tc>
          <w:tcPr>
            <w:tcW w:w="4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4,000,000</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3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1,000</w:t>
            </w: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109,145,900</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w w:val="94"/>
              </w:rPr>
              <w:t>$ 109,995</w:t>
            </w: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CCEEFF"/>
              <w:right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1,338,956</w:t>
            </w:r>
          </w:p>
        </w:tc>
        <w:tc>
          <w:tcPr>
            <w:tcW w:w="1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w w:val="79"/>
              </w:rPr>
              <w:t>—</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3,639</w:t>
            </w: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(83,389)</w:t>
            </w: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(79,750)</w:t>
            </w:r>
          </w:p>
        </w:tc>
        <w:tc>
          <w:tcPr>
            <w:tcW w:w="60" w:type="dxa"/>
            <w:vAlign w:val="bottom"/>
            <w:tcBorders>
              <w:top w:val="single" w:sz="8" w:color="CCEEFF"/>
            </w:tcBorders>
            <w:shd w:val="clear" w:color="auto" w:fill="CCEEFF"/>
          </w:tcPr>
          <w:p>
            <w:pPr>
              <w:spacing w:after="0"/>
              <w:rPr>
                <w:sz w:val="9"/>
                <w:szCs w:val="9"/>
                <w:color w:val="auto"/>
              </w:rPr>
            </w:pPr>
          </w:p>
        </w:tc>
      </w:tr>
      <w:tr>
        <w:trPr>
          <w:trHeight w:val="120"/>
        </w:trPr>
        <w:tc>
          <w:tcPr>
            <w:tcW w:w="2760" w:type="dxa"/>
            <w:vAlign w:val="bottom"/>
          </w:tcPr>
          <w:p>
            <w:pPr>
              <w:spacing w:after="0"/>
              <w:rPr>
                <w:sz w:val="20"/>
                <w:szCs w:val="20"/>
                <w:color w:val="auto"/>
              </w:rPr>
            </w:pPr>
            <w:r>
              <w:rPr>
                <w:rFonts w:ascii="Arial" w:cs="Arial" w:eastAsia="Arial" w:hAnsi="Arial"/>
                <w:sz w:val="10"/>
                <w:szCs w:val="10"/>
                <w:color w:val="auto"/>
              </w:rPr>
              <w:t>Exercise of stock options</w:t>
            </w:r>
          </w:p>
        </w:tc>
        <w:tc>
          <w:tcPr>
            <w:tcW w:w="6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15,417</w:t>
            </w:r>
          </w:p>
        </w:tc>
        <w:tc>
          <w:tcPr>
            <w:tcW w:w="340" w:type="dxa"/>
            <w:vAlign w:val="bottom"/>
          </w:tcPr>
          <w:p>
            <w:pPr>
              <w:spacing w:after="0"/>
              <w:rPr>
                <w:sz w:val="10"/>
                <w:szCs w:val="10"/>
                <w:color w:val="auto"/>
              </w:rPr>
            </w:pPr>
          </w:p>
        </w:tc>
        <w:tc>
          <w:tcPr>
            <w:tcW w:w="180" w:type="dxa"/>
            <w:vAlign w:val="bottom"/>
            <w:gridSpan w:val="2"/>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47</w:t>
            </w:r>
          </w:p>
        </w:tc>
        <w:tc>
          <w:tcPr>
            <w:tcW w:w="40" w:type="dxa"/>
            <w:vAlign w:val="bottom"/>
          </w:tcPr>
          <w:p>
            <w:pPr>
              <w:spacing w:after="0"/>
              <w:rPr>
                <w:sz w:val="10"/>
                <w:szCs w:val="1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47</w:t>
            </w:r>
          </w:p>
        </w:tc>
      </w:tr>
      <w:tr>
        <w:trPr>
          <w:trHeight w:val="120"/>
        </w:trPr>
        <w:tc>
          <w:tcPr>
            <w:tcW w:w="276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286</w:t>
            </w:r>
          </w:p>
        </w:tc>
        <w:tc>
          <w:tcPr>
            <w:tcW w:w="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286</w:t>
            </w:r>
          </w:p>
        </w:tc>
      </w:tr>
      <w:tr>
        <w:trPr>
          <w:trHeight w:val="120"/>
        </w:trPr>
        <w:tc>
          <w:tcPr>
            <w:tcW w:w="2760" w:type="dxa"/>
            <w:vAlign w:val="bottom"/>
          </w:tcPr>
          <w:p>
            <w:pPr>
              <w:spacing w:after="0"/>
              <w:rPr>
                <w:sz w:val="20"/>
                <w:szCs w:val="20"/>
                <w:color w:val="auto"/>
              </w:rPr>
            </w:pPr>
            <w:r>
              <w:rPr>
                <w:rFonts w:ascii="Arial" w:cs="Arial" w:eastAsia="Arial" w:hAnsi="Arial"/>
                <w:sz w:val="10"/>
                <w:szCs w:val="10"/>
                <w:color w:val="auto"/>
              </w:rPr>
              <w:t>Repurchase of common stock</w:t>
            </w:r>
          </w:p>
        </w:tc>
        <w:tc>
          <w:tcPr>
            <w:tcW w:w="6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0"/>
                <w:szCs w:val="10"/>
                <w:color w:val="auto"/>
              </w:rPr>
            </w:pPr>
          </w:p>
        </w:tc>
        <w:tc>
          <w:tcPr>
            <w:tcW w:w="180" w:type="dxa"/>
            <w:vAlign w:val="bottom"/>
            <w:gridSpan w:val="2"/>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(15)</w:t>
            </w:r>
          </w:p>
        </w:tc>
        <w:tc>
          <w:tcPr>
            <w:tcW w:w="40" w:type="dxa"/>
            <w:vAlign w:val="bottom"/>
          </w:tcPr>
          <w:p>
            <w:pPr>
              <w:spacing w:after="0"/>
              <w:rPr>
                <w:sz w:val="10"/>
                <w:szCs w:val="1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(15)</w:t>
            </w:r>
          </w:p>
        </w:tc>
      </w:tr>
      <w:tr>
        <w:trPr>
          <w:trHeight w:val="120"/>
        </w:trPr>
        <w:tc>
          <w:tcPr>
            <w:tcW w:w="2760" w:type="dxa"/>
            <w:vAlign w:val="bottom"/>
            <w:shd w:val="clear" w:color="auto" w:fill="CCEEFF"/>
          </w:tcPr>
          <w:p>
            <w:pPr>
              <w:spacing w:after="0"/>
              <w:rPr>
                <w:sz w:val="20"/>
                <w:szCs w:val="20"/>
                <w:color w:val="auto"/>
              </w:rPr>
            </w:pPr>
            <w:r>
              <w:rPr>
                <w:rFonts w:ascii="Arial" w:cs="Arial" w:eastAsia="Arial" w:hAnsi="Arial"/>
                <w:sz w:val="10"/>
                <w:szCs w:val="10"/>
                <w:color w:val="auto"/>
              </w:rPr>
              <w:t>Net unrealized gain on available-for-sale securities</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w:t>
            </w:r>
          </w:p>
        </w:tc>
      </w:tr>
      <w:tr>
        <w:trPr>
          <w:trHeight w:val="120"/>
        </w:trPr>
        <w:tc>
          <w:tcPr>
            <w:tcW w:w="2760" w:type="dxa"/>
            <w:vAlign w:val="bottom"/>
          </w:tcPr>
          <w:p>
            <w:pPr>
              <w:spacing w:after="0"/>
              <w:rPr>
                <w:sz w:val="20"/>
                <w:szCs w:val="20"/>
                <w:color w:val="auto"/>
              </w:rPr>
            </w:pPr>
            <w:r>
              <w:rPr>
                <w:rFonts w:ascii="Arial" w:cs="Arial" w:eastAsia="Arial" w:hAnsi="Arial"/>
                <w:sz w:val="10"/>
                <w:szCs w:val="10"/>
                <w:color w:val="auto"/>
              </w:rPr>
              <w:t>Net loss</w:t>
            </w:r>
          </w:p>
        </w:tc>
        <w:tc>
          <w:tcPr>
            <w:tcW w:w="6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0"/>
                <w:szCs w:val="10"/>
                <w:color w:val="auto"/>
              </w:rPr>
            </w:pPr>
          </w:p>
        </w:tc>
        <w:tc>
          <w:tcPr>
            <w:tcW w:w="180" w:type="dxa"/>
            <w:vAlign w:val="bottom"/>
            <w:gridSpan w:val="2"/>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(13,982)</w:t>
            </w:r>
          </w:p>
        </w:tc>
        <w:tc>
          <w:tcPr>
            <w:tcW w:w="6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(13,982)</w:t>
            </w:r>
          </w:p>
        </w:tc>
      </w:tr>
      <w:tr>
        <w:trPr>
          <w:trHeight w:val="27"/>
        </w:trPr>
        <w:tc>
          <w:tcPr>
            <w:tcW w:w="2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20"/>
        </w:trPr>
        <w:tc>
          <w:tcPr>
            <w:tcW w:w="2760" w:type="dxa"/>
            <w:vAlign w:val="bottom"/>
            <w:shd w:val="clear" w:color="auto" w:fill="CCEEFF"/>
          </w:tcPr>
          <w:p>
            <w:pPr>
              <w:spacing w:after="0"/>
              <w:rPr>
                <w:sz w:val="20"/>
                <w:szCs w:val="20"/>
                <w:color w:val="auto"/>
              </w:rPr>
            </w:pPr>
            <w:r>
              <w:rPr>
                <w:rFonts w:ascii="Arial" w:cs="Arial" w:eastAsia="Arial" w:hAnsi="Arial"/>
                <w:sz w:val="10"/>
                <w:szCs w:val="10"/>
                <w:color w:val="auto"/>
              </w:rPr>
              <w:t>Balance as of June 30, 2019</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4,000,000</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109,145,900</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$ 109,995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1,354,373</w:t>
            </w:r>
          </w:p>
        </w:tc>
        <w:tc>
          <w:tcPr>
            <w:tcW w:w="3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3,957</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(97,371)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(93,411)</w:t>
            </w:r>
          </w:p>
        </w:tc>
      </w:tr>
      <w:tr>
        <w:trPr>
          <w:trHeight w:val="20"/>
        </w:trPr>
        <w:tc>
          <w:tcPr>
            <w:tcW w:w="2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4"/>
        </w:trPr>
        <w:tc>
          <w:tcPr>
            <w:tcW w:w="2760" w:type="dxa"/>
            <w:vAlign w:val="bottom"/>
          </w:tcPr>
          <w:p>
            <w:pPr>
              <w:spacing w:after="0" w:line="114" w:lineRule="exact"/>
              <w:rPr>
                <w:sz w:val="20"/>
                <w:szCs w:val="20"/>
                <w:color w:val="auto"/>
              </w:rPr>
            </w:pPr>
            <w:r>
              <w:rPr>
                <w:rFonts w:ascii="Arial" w:cs="Arial" w:eastAsia="Arial" w:hAnsi="Arial"/>
                <w:sz w:val="10"/>
                <w:szCs w:val="10"/>
                <w:color w:val="auto"/>
              </w:rPr>
              <w:t>Balance as of December 31, 2019</w:t>
            </w:r>
          </w:p>
        </w:tc>
        <w:tc>
          <w:tcPr>
            <w:tcW w:w="50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4,000,000</w:t>
            </w:r>
          </w:p>
        </w:tc>
        <w:tc>
          <w:tcPr>
            <w:tcW w:w="120" w:type="dxa"/>
            <w:vAlign w:val="bottom"/>
          </w:tcPr>
          <w:p>
            <w:pPr>
              <w:spacing w:after="0"/>
              <w:rPr>
                <w:sz w:val="9"/>
                <w:szCs w:val="9"/>
                <w:color w:val="auto"/>
              </w:rPr>
            </w:pPr>
          </w:p>
        </w:tc>
        <w:tc>
          <w:tcPr>
            <w:tcW w:w="120" w:type="dxa"/>
            <w:vAlign w:val="bottom"/>
          </w:tcPr>
          <w:p>
            <w:pPr>
              <w:spacing w:after="0" w:line="114"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line="114" w:lineRule="exact"/>
              <w:rPr>
                <w:sz w:val="20"/>
                <w:szCs w:val="20"/>
                <w:color w:val="auto"/>
              </w:rPr>
            </w:pPr>
            <w:r>
              <w:rPr>
                <w:rFonts w:ascii="Arial" w:cs="Arial" w:eastAsia="Arial" w:hAnsi="Arial"/>
                <w:sz w:val="10"/>
                <w:szCs w:val="10"/>
                <w:color w:val="auto"/>
              </w:rPr>
              <w:t>1,000</w:t>
            </w:r>
          </w:p>
        </w:tc>
        <w:tc>
          <w:tcPr>
            <w:tcW w:w="64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109,145,900</w:t>
            </w:r>
          </w:p>
        </w:tc>
        <w:tc>
          <w:tcPr>
            <w:tcW w:w="640" w:type="dxa"/>
            <w:vAlign w:val="bottom"/>
            <w:gridSpan w:val="3"/>
          </w:tcPr>
          <w:p>
            <w:pPr>
              <w:jc w:val="right"/>
              <w:ind w:right="120"/>
              <w:spacing w:after="0" w:line="114" w:lineRule="exact"/>
              <w:rPr>
                <w:sz w:val="20"/>
                <w:szCs w:val="20"/>
                <w:color w:val="auto"/>
              </w:rPr>
            </w:pPr>
            <w:r>
              <w:rPr>
                <w:rFonts w:ascii="Arial" w:cs="Arial" w:eastAsia="Arial" w:hAnsi="Arial"/>
                <w:sz w:val="10"/>
                <w:szCs w:val="10"/>
                <w:color w:val="auto"/>
              </w:rPr>
              <w:t>$ 109,995</w:t>
            </w:r>
          </w:p>
        </w:tc>
        <w:tc>
          <w:tcPr>
            <w:tcW w:w="740" w:type="dxa"/>
            <w:vAlign w:val="bottom"/>
            <w:gridSpan w:val="2"/>
          </w:tcPr>
          <w:p>
            <w:pPr>
              <w:jc w:val="right"/>
              <w:ind w:right="140"/>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220"/>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60"/>
              <w:spacing w:after="0" w:line="114" w:lineRule="exact"/>
              <w:rPr>
                <w:sz w:val="20"/>
                <w:szCs w:val="20"/>
                <w:color w:val="auto"/>
              </w:rPr>
            </w:pPr>
            <w:r>
              <w:rPr>
                <w:rFonts w:ascii="Arial" w:cs="Arial" w:eastAsia="Arial" w:hAnsi="Arial"/>
                <w:sz w:val="10"/>
                <w:szCs w:val="10"/>
                <w:color w:val="auto"/>
              </w:rPr>
              <w:t>1,426,641</w:t>
            </w:r>
          </w:p>
        </w:tc>
        <w:tc>
          <w:tcPr>
            <w:tcW w:w="340" w:type="dxa"/>
            <w:vAlign w:val="bottom"/>
          </w:tcPr>
          <w:p>
            <w:pPr>
              <w:spacing w:after="0" w:line="114" w:lineRule="exact"/>
              <w:rPr>
                <w:sz w:val="20"/>
                <w:szCs w:val="20"/>
                <w:color w:val="auto"/>
              </w:rPr>
            </w:pPr>
            <w:r>
              <w:rPr>
                <w:rFonts w:ascii="Arial" w:cs="Arial" w:eastAsia="Arial" w:hAnsi="Arial"/>
                <w:sz w:val="10"/>
                <w:szCs w:val="10"/>
                <w:color w:val="auto"/>
              </w:rPr>
              <w:t>$</w:t>
            </w:r>
          </w:p>
        </w:tc>
        <w:tc>
          <w:tcPr>
            <w:tcW w:w="180" w:type="dxa"/>
            <w:vAlign w:val="bottom"/>
            <w:gridSpan w:val="2"/>
          </w:tcPr>
          <w:p>
            <w:pPr>
              <w:spacing w:after="0" w:line="114" w:lineRule="exact"/>
              <w:rPr>
                <w:sz w:val="20"/>
                <w:szCs w:val="20"/>
                <w:color w:val="auto"/>
              </w:rPr>
            </w:pPr>
            <w:r>
              <w:rPr>
                <w:rFonts w:ascii="Arial" w:cs="Arial" w:eastAsia="Arial" w:hAnsi="Arial"/>
                <w:sz w:val="10"/>
                <w:szCs w:val="10"/>
                <w:color w:val="auto"/>
              </w:rPr>
              <w:t>—</w:t>
            </w:r>
          </w:p>
        </w:tc>
        <w:tc>
          <w:tcPr>
            <w:tcW w:w="140" w:type="dxa"/>
            <w:vAlign w:val="bottom"/>
            <w:gridSpan w:val="2"/>
          </w:tcPr>
          <w:p>
            <w:pPr>
              <w:ind w:left="60"/>
              <w:spacing w:after="0" w:line="114"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line="114" w:lineRule="exact"/>
              <w:rPr>
                <w:sz w:val="20"/>
                <w:szCs w:val="20"/>
                <w:color w:val="auto"/>
              </w:rPr>
            </w:pPr>
            <w:r>
              <w:rPr>
                <w:rFonts w:ascii="Arial" w:cs="Arial" w:eastAsia="Arial" w:hAnsi="Arial"/>
                <w:sz w:val="10"/>
                <w:szCs w:val="10"/>
                <w:color w:val="auto"/>
              </w:rPr>
              <w:t>5,525</w:t>
            </w:r>
          </w:p>
        </w:tc>
        <w:tc>
          <w:tcPr>
            <w:tcW w:w="40" w:type="dxa"/>
            <w:vAlign w:val="bottom"/>
          </w:tcPr>
          <w:p>
            <w:pPr>
              <w:spacing w:after="0"/>
              <w:rPr>
                <w:sz w:val="9"/>
                <w:szCs w:val="9"/>
                <w:color w:val="auto"/>
              </w:rPr>
            </w:pPr>
          </w:p>
        </w:tc>
        <w:tc>
          <w:tcPr>
            <w:tcW w:w="980" w:type="dxa"/>
            <w:vAlign w:val="bottom"/>
            <w:gridSpan w:val="2"/>
          </w:tcPr>
          <w:p>
            <w:pPr>
              <w:jc w:val="right"/>
              <w:ind w:right="160"/>
              <w:spacing w:after="0" w:line="114" w:lineRule="exact"/>
              <w:rPr>
                <w:sz w:val="20"/>
                <w:szCs w:val="20"/>
                <w:color w:val="auto"/>
              </w:rPr>
            </w:pPr>
            <w:r>
              <w:rPr>
                <w:rFonts w:ascii="Arial" w:cs="Arial" w:eastAsia="Arial" w:hAnsi="Arial"/>
                <w:sz w:val="10"/>
                <w:szCs w:val="10"/>
                <w:color w:val="auto"/>
              </w:rPr>
              <w:t>—</w:t>
            </w:r>
          </w:p>
        </w:tc>
        <w:tc>
          <w:tcPr>
            <w:tcW w:w="120" w:type="dxa"/>
            <w:vAlign w:val="bottom"/>
          </w:tcPr>
          <w:p>
            <w:pPr>
              <w:spacing w:after="0" w:line="114"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20"/>
              <w:spacing w:after="0" w:line="114" w:lineRule="exact"/>
              <w:rPr>
                <w:sz w:val="20"/>
                <w:szCs w:val="20"/>
                <w:color w:val="auto"/>
              </w:rPr>
            </w:pPr>
            <w:r>
              <w:rPr>
                <w:rFonts w:ascii="Arial" w:cs="Arial" w:eastAsia="Arial" w:hAnsi="Arial"/>
                <w:sz w:val="10"/>
                <w:szCs w:val="10"/>
                <w:color w:val="auto"/>
              </w:rPr>
              <w:t>(117,488)</w:t>
            </w:r>
          </w:p>
        </w:tc>
        <w:tc>
          <w:tcPr>
            <w:tcW w:w="60" w:type="dxa"/>
            <w:vAlign w:val="bottom"/>
          </w:tcPr>
          <w:p>
            <w:pPr>
              <w:spacing w:after="0" w:line="114"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(111,963)</w:t>
            </w:r>
          </w:p>
        </w:tc>
      </w:tr>
      <w:tr>
        <w:trPr>
          <w:trHeight w:val="120"/>
        </w:trPr>
        <w:tc>
          <w:tcPr>
            <w:tcW w:w="2760" w:type="dxa"/>
            <w:vAlign w:val="bottom"/>
            <w:shd w:val="clear" w:color="auto" w:fill="CCEEFF"/>
          </w:tcPr>
          <w:p>
            <w:pPr>
              <w:spacing w:after="0"/>
              <w:rPr>
                <w:sz w:val="20"/>
                <w:szCs w:val="20"/>
                <w:color w:val="auto"/>
              </w:rPr>
            </w:pPr>
            <w:r>
              <w:rPr>
                <w:rFonts w:ascii="Arial" w:cs="Arial" w:eastAsia="Arial" w:hAnsi="Arial"/>
                <w:sz w:val="10"/>
                <w:szCs w:val="10"/>
                <w:color w:val="auto"/>
              </w:rPr>
              <w:t>Issuance of Series B convertible preferred stock</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138,571,428</w:t>
            </w: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93"/>
              </w:rPr>
              <w:t>141,026</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r>
      <w:tr>
        <w:trPr>
          <w:trHeight w:val="120"/>
        </w:trPr>
        <w:tc>
          <w:tcPr>
            <w:tcW w:w="2760" w:type="dxa"/>
            <w:vAlign w:val="bottom"/>
          </w:tcPr>
          <w:p>
            <w:pPr>
              <w:spacing w:after="0"/>
              <w:rPr>
                <w:sz w:val="20"/>
                <w:szCs w:val="20"/>
                <w:color w:val="auto"/>
              </w:rPr>
            </w:pPr>
            <w:r>
              <w:rPr>
                <w:rFonts w:ascii="Arial" w:cs="Arial" w:eastAsia="Arial" w:hAnsi="Arial"/>
                <w:sz w:val="10"/>
                <w:szCs w:val="10"/>
                <w:color w:val="auto"/>
              </w:rPr>
              <w:t>Exercise of stock options</w:t>
            </w:r>
          </w:p>
        </w:tc>
        <w:tc>
          <w:tcPr>
            <w:tcW w:w="6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87,409</w:t>
            </w:r>
          </w:p>
        </w:tc>
        <w:tc>
          <w:tcPr>
            <w:tcW w:w="340" w:type="dxa"/>
            <w:vAlign w:val="bottom"/>
          </w:tcPr>
          <w:p>
            <w:pPr>
              <w:spacing w:after="0"/>
              <w:rPr>
                <w:sz w:val="10"/>
                <w:szCs w:val="10"/>
                <w:color w:val="auto"/>
              </w:rPr>
            </w:pPr>
          </w:p>
        </w:tc>
        <w:tc>
          <w:tcPr>
            <w:tcW w:w="180" w:type="dxa"/>
            <w:vAlign w:val="bottom"/>
            <w:gridSpan w:val="2"/>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265</w:t>
            </w:r>
          </w:p>
        </w:tc>
        <w:tc>
          <w:tcPr>
            <w:tcW w:w="40" w:type="dxa"/>
            <w:vAlign w:val="bottom"/>
          </w:tcPr>
          <w:p>
            <w:pPr>
              <w:spacing w:after="0"/>
              <w:rPr>
                <w:sz w:val="10"/>
                <w:szCs w:val="1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265</w:t>
            </w:r>
          </w:p>
        </w:tc>
      </w:tr>
      <w:tr>
        <w:trPr>
          <w:trHeight w:val="120"/>
        </w:trPr>
        <w:tc>
          <w:tcPr>
            <w:tcW w:w="276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277</w:t>
            </w:r>
          </w:p>
        </w:tc>
        <w:tc>
          <w:tcPr>
            <w:tcW w:w="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277</w:t>
            </w:r>
          </w:p>
        </w:tc>
      </w:tr>
      <w:tr>
        <w:trPr>
          <w:trHeight w:val="120"/>
        </w:trPr>
        <w:tc>
          <w:tcPr>
            <w:tcW w:w="2760" w:type="dxa"/>
            <w:vAlign w:val="bottom"/>
          </w:tcPr>
          <w:p>
            <w:pPr>
              <w:spacing w:after="0"/>
              <w:rPr>
                <w:sz w:val="20"/>
                <w:szCs w:val="20"/>
                <w:color w:val="auto"/>
              </w:rPr>
            </w:pPr>
            <w:r>
              <w:rPr>
                <w:rFonts w:ascii="Arial" w:cs="Arial" w:eastAsia="Arial" w:hAnsi="Arial"/>
                <w:sz w:val="10"/>
                <w:szCs w:val="10"/>
                <w:color w:val="auto"/>
              </w:rPr>
              <w:t>Repurchase of common stock</w:t>
            </w:r>
          </w:p>
        </w:tc>
        <w:tc>
          <w:tcPr>
            <w:tcW w:w="6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(23,714)</w:t>
            </w:r>
          </w:p>
        </w:tc>
        <w:tc>
          <w:tcPr>
            <w:tcW w:w="340" w:type="dxa"/>
            <w:vAlign w:val="bottom"/>
          </w:tcPr>
          <w:p>
            <w:pPr>
              <w:spacing w:after="0"/>
              <w:rPr>
                <w:sz w:val="10"/>
                <w:szCs w:val="10"/>
                <w:color w:val="auto"/>
              </w:rPr>
            </w:pPr>
          </w:p>
        </w:tc>
        <w:tc>
          <w:tcPr>
            <w:tcW w:w="180" w:type="dxa"/>
            <w:vAlign w:val="bottom"/>
            <w:gridSpan w:val="2"/>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(124)</w:t>
            </w:r>
          </w:p>
        </w:tc>
        <w:tc>
          <w:tcPr>
            <w:tcW w:w="40" w:type="dxa"/>
            <w:vAlign w:val="bottom"/>
          </w:tcPr>
          <w:p>
            <w:pPr>
              <w:spacing w:after="0"/>
              <w:rPr>
                <w:sz w:val="10"/>
                <w:szCs w:val="1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(124)</w:t>
            </w:r>
          </w:p>
        </w:tc>
      </w:tr>
      <w:tr>
        <w:trPr>
          <w:trHeight w:val="120"/>
        </w:trPr>
        <w:tc>
          <w:tcPr>
            <w:tcW w:w="2760" w:type="dxa"/>
            <w:vAlign w:val="bottom"/>
            <w:shd w:val="clear" w:color="auto" w:fill="CCEEFF"/>
          </w:tcPr>
          <w:p>
            <w:pPr>
              <w:spacing w:after="0"/>
              <w:rPr>
                <w:sz w:val="20"/>
                <w:szCs w:val="20"/>
                <w:color w:val="auto"/>
              </w:rPr>
            </w:pPr>
            <w:r>
              <w:rPr>
                <w:rFonts w:ascii="Arial" w:cs="Arial" w:eastAsia="Arial" w:hAnsi="Arial"/>
                <w:sz w:val="10"/>
                <w:szCs w:val="10"/>
                <w:color w:val="auto"/>
              </w:rPr>
              <w:t>Vested stock option settlement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(813)</w:t>
            </w:r>
          </w:p>
        </w:tc>
        <w:tc>
          <w:tcPr>
            <w:tcW w:w="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(813)</w:t>
            </w:r>
          </w:p>
        </w:tc>
      </w:tr>
      <w:tr>
        <w:trPr>
          <w:trHeight w:val="120"/>
        </w:trPr>
        <w:tc>
          <w:tcPr>
            <w:tcW w:w="2760" w:type="dxa"/>
            <w:vAlign w:val="bottom"/>
          </w:tcPr>
          <w:p>
            <w:pPr>
              <w:spacing w:after="0"/>
              <w:rPr>
                <w:sz w:val="20"/>
                <w:szCs w:val="20"/>
                <w:color w:val="auto"/>
              </w:rPr>
            </w:pPr>
            <w:r>
              <w:rPr>
                <w:rFonts w:ascii="Arial" w:cs="Arial" w:eastAsia="Arial" w:hAnsi="Arial"/>
                <w:sz w:val="10"/>
                <w:szCs w:val="10"/>
                <w:color w:val="auto"/>
              </w:rPr>
              <w:t>Unrealized loss on investments</w:t>
            </w:r>
          </w:p>
        </w:tc>
        <w:tc>
          <w:tcPr>
            <w:tcW w:w="6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0"/>
                <w:szCs w:val="10"/>
                <w:color w:val="auto"/>
              </w:rPr>
            </w:pPr>
          </w:p>
        </w:tc>
        <w:tc>
          <w:tcPr>
            <w:tcW w:w="180" w:type="dxa"/>
            <w:vAlign w:val="bottom"/>
            <w:gridSpan w:val="2"/>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(2)</w:t>
            </w:r>
          </w:p>
        </w:tc>
      </w:tr>
      <w:tr>
        <w:trPr>
          <w:trHeight w:val="120"/>
        </w:trPr>
        <w:tc>
          <w:tcPr>
            <w:tcW w:w="2760" w:type="dxa"/>
            <w:vAlign w:val="bottom"/>
            <w:shd w:val="clear" w:color="auto" w:fill="CCEEFF"/>
          </w:tcPr>
          <w:p>
            <w:pPr>
              <w:spacing w:after="0"/>
              <w:rPr>
                <w:sz w:val="20"/>
                <w:szCs w:val="20"/>
                <w:color w:val="auto"/>
              </w:rPr>
            </w:pPr>
            <w:r>
              <w:rPr>
                <w:rFonts w:ascii="Arial" w:cs="Arial" w:eastAsia="Arial" w:hAnsi="Arial"/>
                <w:sz w:val="10"/>
                <w:szCs w:val="10"/>
                <w:color w:val="auto"/>
              </w:rPr>
              <w:t>Net loss</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(22,705)</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(22,705)</w:t>
            </w:r>
          </w:p>
        </w:tc>
      </w:tr>
      <w:tr>
        <w:trPr>
          <w:trHeight w:val="20"/>
        </w:trPr>
        <w:tc>
          <w:tcPr>
            <w:tcW w:w="2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2760" w:type="dxa"/>
            <w:vAlign w:val="bottom"/>
          </w:tcPr>
          <w:p>
            <w:pPr>
              <w:spacing w:after="0"/>
              <w:rPr>
                <w:sz w:val="20"/>
                <w:szCs w:val="20"/>
                <w:color w:val="auto"/>
              </w:rPr>
            </w:pPr>
            <w:r>
              <w:rPr>
                <w:rFonts w:ascii="Arial" w:cs="Arial" w:eastAsia="Arial" w:hAnsi="Arial"/>
                <w:sz w:val="10"/>
                <w:szCs w:val="10"/>
                <w:color w:val="auto"/>
              </w:rPr>
              <w:t>Balance as of June 30, 2020</w:t>
            </w:r>
          </w:p>
        </w:tc>
        <w:tc>
          <w:tcPr>
            <w:tcW w:w="480" w:type="dxa"/>
            <w:vAlign w:val="bottom"/>
          </w:tcPr>
          <w:p>
            <w:pPr>
              <w:jc w:val="right"/>
              <w:spacing w:after="0"/>
              <w:rPr>
                <w:sz w:val="20"/>
                <w:szCs w:val="20"/>
                <w:color w:val="auto"/>
              </w:rPr>
            </w:pPr>
            <w:r>
              <w:rPr>
                <w:rFonts w:ascii="Arial" w:cs="Arial" w:eastAsia="Arial" w:hAnsi="Arial"/>
                <w:sz w:val="10"/>
                <w:szCs w:val="10"/>
                <w:color w:val="auto"/>
              </w:rPr>
              <w:t>4,000,000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1,000</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109,145,900</w:t>
            </w:r>
          </w:p>
        </w:tc>
        <w:tc>
          <w:tcPr>
            <w:tcW w:w="640" w:type="dxa"/>
            <w:vAlign w:val="bottom"/>
            <w:gridSpan w:val="3"/>
          </w:tcPr>
          <w:p>
            <w:pPr>
              <w:jc w:val="right"/>
              <w:ind w:right="120"/>
              <w:spacing w:after="0"/>
              <w:rPr>
                <w:sz w:val="20"/>
                <w:szCs w:val="20"/>
                <w:color w:val="auto"/>
              </w:rPr>
            </w:pPr>
            <w:r>
              <w:rPr>
                <w:rFonts w:ascii="Arial" w:cs="Arial" w:eastAsia="Arial" w:hAnsi="Arial"/>
                <w:sz w:val="10"/>
                <w:szCs w:val="10"/>
                <w:color w:val="auto"/>
              </w:rPr>
              <w:t>$ 109,995</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138,571,428</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w w:val="93"/>
              </w:rPr>
              <w:t>141,026</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1,490,336</w:t>
            </w:r>
          </w:p>
        </w:tc>
        <w:tc>
          <w:tcPr>
            <w:tcW w:w="340" w:type="dxa"/>
            <w:vAlign w:val="bottom"/>
          </w:tcPr>
          <w:p>
            <w:pPr>
              <w:spacing w:after="0"/>
              <w:rPr>
                <w:sz w:val="20"/>
                <w:szCs w:val="20"/>
                <w:color w:val="auto"/>
              </w:rPr>
            </w:pPr>
            <w:r>
              <w:rPr>
                <w:rFonts w:ascii="Arial" w:cs="Arial" w:eastAsia="Arial" w:hAnsi="Arial"/>
                <w:sz w:val="10"/>
                <w:szCs w:val="10"/>
                <w:color w:val="auto"/>
              </w:rPr>
              <w:t>$</w:t>
            </w:r>
          </w:p>
        </w:tc>
        <w:tc>
          <w:tcPr>
            <w:tcW w:w="180" w:type="dxa"/>
            <w:vAlign w:val="bottom"/>
            <w:gridSpan w:val="2"/>
          </w:tcPr>
          <w:p>
            <w:pPr>
              <w:spacing w:after="0"/>
              <w:rPr>
                <w:sz w:val="20"/>
                <w:szCs w:val="20"/>
                <w:color w:val="auto"/>
              </w:rPr>
            </w:pPr>
            <w:r>
              <w:rPr>
                <w:rFonts w:ascii="Arial" w:cs="Arial" w:eastAsia="Arial" w:hAnsi="Arial"/>
                <w:sz w:val="10"/>
                <w:szCs w:val="10"/>
                <w:color w:val="auto"/>
              </w:rPr>
              <w:t>—</w:t>
            </w:r>
          </w:p>
        </w:tc>
        <w:tc>
          <w:tcPr>
            <w:tcW w:w="14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5,130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(140,193)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(135,065)</w:t>
            </w:r>
          </w:p>
        </w:tc>
      </w:tr>
      <w:tr>
        <w:trPr>
          <w:trHeight w:val="20"/>
        </w:trPr>
        <w:tc>
          <w:tcPr>
            <w:tcW w:w="2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-1570355</wp:posOffset>
            </wp:positionV>
            <wp:extent cx="254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-1485265</wp:posOffset>
            </wp:positionV>
            <wp:extent cx="254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-1009650</wp:posOffset>
            </wp:positionV>
            <wp:extent cx="254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-916305</wp:posOffset>
            </wp:positionV>
            <wp:extent cx="254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-899795</wp:posOffset>
            </wp:positionV>
            <wp:extent cx="254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-271145</wp:posOffset>
            </wp:positionV>
            <wp:extent cx="254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-177800</wp:posOffset>
            </wp:positionV>
            <wp:extent cx="254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-160655</wp:posOffset>
            </wp:positionV>
            <wp:extent cx="254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240"/>
          </w:cols>
          <w:pgMar w:left="320" w:top="454"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2019 and 2020</w:t>
      </w:r>
    </w:p>
    <w:p>
      <w:pPr>
        <w:jc w:val="center"/>
        <w:spacing w:after="0" w:line="229" w:lineRule="auto"/>
        <w:rPr>
          <w:sz w:val="20"/>
          <w:szCs w:val="20"/>
          <w:color w:val="auto"/>
        </w:rPr>
      </w:pPr>
      <w:r>
        <w:rPr>
          <w:rFonts w:ascii="Arial" w:cs="Arial" w:eastAsia="Arial" w:hAnsi="Arial"/>
          <w:sz w:val="17"/>
          <w:szCs w:val="17"/>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r>
      <w:tr>
        <w:trPr>
          <w:trHeight w:val="154"/>
        </w:trPr>
        <w:tc>
          <w:tcPr>
            <w:tcW w:w="93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80"/>
              <w:spacing w:after="0" w:line="154"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6"/>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67"/>
        </w:trPr>
        <w:tc>
          <w:tcPr>
            <w:tcW w:w="93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Cash flows used in 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7"/>
        </w:trPr>
        <w:tc>
          <w:tcPr>
            <w:tcW w:w="9320" w:type="dxa"/>
            <w:vAlign w:val="bottom"/>
          </w:tcPr>
          <w:p>
            <w:pPr>
              <w:ind w:left="260"/>
              <w:spacing w:after="0" w:line="187"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w w:val="97"/>
              </w:rPr>
              <w:t>(13,982)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(22,705)</w:t>
            </w: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Adjustments to reconcile net loss to cash provided by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9320" w:type="dxa"/>
            <w:vAlign w:val="bottom"/>
          </w:tcPr>
          <w:p>
            <w:pPr>
              <w:ind w:left="500"/>
              <w:spacing w:after="0" w:line="187" w:lineRule="exact"/>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752</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832</w:t>
            </w:r>
          </w:p>
        </w:tc>
      </w:tr>
      <w:tr>
        <w:trPr>
          <w:trHeight w:val="187"/>
        </w:trPr>
        <w:tc>
          <w:tcPr>
            <w:tcW w:w="932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277</w:t>
            </w:r>
          </w:p>
        </w:tc>
      </w:tr>
      <w:tr>
        <w:trPr>
          <w:trHeight w:val="187"/>
        </w:trPr>
        <w:tc>
          <w:tcPr>
            <w:tcW w:w="9320" w:type="dxa"/>
            <w:vAlign w:val="bottom"/>
          </w:tcPr>
          <w:p>
            <w:pPr>
              <w:ind w:left="500"/>
              <w:spacing w:after="0" w:line="187" w:lineRule="exact"/>
              <w:rPr>
                <w:sz w:val="20"/>
                <w:szCs w:val="20"/>
                <w:color w:val="auto"/>
              </w:rPr>
            </w:pPr>
            <w:r>
              <w:rPr>
                <w:rFonts w:ascii="Arial" w:cs="Arial" w:eastAsia="Arial" w:hAnsi="Arial"/>
                <w:sz w:val="17"/>
                <w:szCs w:val="17"/>
                <w:color w:val="auto"/>
              </w:rPr>
              <w:t>Loss on disposal of fixed assets</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9</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w:t>
            </w:r>
          </w:p>
        </w:tc>
      </w:tr>
      <w:tr>
        <w:trPr>
          <w:trHeight w:val="187"/>
        </w:trPr>
        <w:tc>
          <w:tcPr>
            <w:tcW w:w="932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Accretion of discount on investments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w:t>
            </w:r>
          </w:p>
        </w:tc>
      </w:tr>
      <w:tr>
        <w:trPr>
          <w:trHeight w:val="187"/>
        </w:trPr>
        <w:tc>
          <w:tcPr>
            <w:tcW w:w="9320" w:type="dxa"/>
            <w:vAlign w:val="bottom"/>
          </w:tcPr>
          <w:p>
            <w:pPr>
              <w:ind w:left="500"/>
              <w:spacing w:after="0" w:line="187" w:lineRule="exact"/>
              <w:rPr>
                <w:sz w:val="20"/>
                <w:szCs w:val="20"/>
                <w:color w:val="auto"/>
              </w:rPr>
            </w:pPr>
            <w:r>
              <w:rPr>
                <w:rFonts w:ascii="Arial" w:cs="Arial" w:eastAsia="Arial" w:hAnsi="Arial"/>
                <w:sz w:val="17"/>
                <w:szCs w:val="17"/>
                <w:color w:val="auto"/>
              </w:rPr>
              <w:t>Non-cash lease expense</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562</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600</w:t>
            </w:r>
          </w:p>
        </w:tc>
      </w:tr>
      <w:tr>
        <w:trPr>
          <w:trHeight w:val="187"/>
        </w:trPr>
        <w:tc>
          <w:tcPr>
            <w:tcW w:w="932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Amortization of debt discount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25</w:t>
            </w:r>
          </w:p>
        </w:tc>
      </w:tr>
      <w:tr>
        <w:trPr>
          <w:trHeight w:val="187"/>
        </w:trPr>
        <w:tc>
          <w:tcPr>
            <w:tcW w:w="9320" w:type="dxa"/>
            <w:vAlign w:val="bottom"/>
          </w:tcPr>
          <w:p>
            <w:pPr>
              <w:ind w:left="500"/>
              <w:spacing w:after="0" w:line="187"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932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Accounts receivable</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83,804</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(3,923)</w:t>
            </w:r>
          </w:p>
        </w:tc>
      </w:tr>
      <w:tr>
        <w:trPr>
          <w:trHeight w:val="187"/>
        </w:trPr>
        <w:tc>
          <w:tcPr>
            <w:tcW w:w="9320" w:type="dxa"/>
            <w:vAlign w:val="bottom"/>
          </w:tcPr>
          <w:p>
            <w:pPr>
              <w:ind w:left="760"/>
              <w:spacing w:after="0" w:line="187"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(390)</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(1,651)</w:t>
            </w:r>
          </w:p>
        </w:tc>
      </w:tr>
      <w:tr>
        <w:trPr>
          <w:trHeight w:val="187"/>
        </w:trPr>
        <w:tc>
          <w:tcPr>
            <w:tcW w:w="932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462</w:t>
            </w:r>
          </w:p>
        </w:tc>
      </w:tr>
      <w:tr>
        <w:trPr>
          <w:trHeight w:val="187"/>
        </w:trPr>
        <w:tc>
          <w:tcPr>
            <w:tcW w:w="9320" w:type="dxa"/>
            <w:vAlign w:val="bottom"/>
          </w:tcPr>
          <w:p>
            <w:pPr>
              <w:ind w:left="760"/>
              <w:spacing w:after="0" w:line="187" w:lineRule="exact"/>
              <w:rPr>
                <w:sz w:val="20"/>
                <w:szCs w:val="20"/>
                <w:color w:val="auto"/>
              </w:rPr>
            </w:pPr>
            <w:r>
              <w:rPr>
                <w:rFonts w:ascii="Arial" w:cs="Arial" w:eastAsia="Arial" w:hAnsi="Arial"/>
                <w:sz w:val="17"/>
                <w:szCs w:val="17"/>
                <w:color w:val="auto"/>
              </w:rPr>
              <w:t>Accrued expenses and other liabilities</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1,485</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(628)</w:t>
            </w:r>
          </w:p>
        </w:tc>
      </w:tr>
      <w:tr>
        <w:trPr>
          <w:trHeight w:val="187"/>
        </w:trPr>
        <w:tc>
          <w:tcPr>
            <w:tcW w:w="9320" w:type="dxa"/>
            <w:vAlign w:val="bottom"/>
            <w:shd w:val="clear" w:color="auto" w:fill="CCEEFF"/>
          </w:tcPr>
          <w:p>
            <w:pPr>
              <w:ind w:left="760"/>
              <w:spacing w:after="0" w:line="187" w:lineRule="exact"/>
              <w:rPr>
                <w:sz w:val="20"/>
                <w:szCs w:val="20"/>
                <w:color w:val="auto"/>
              </w:rPr>
            </w:pPr>
            <w:r>
              <w:rPr>
                <w:rFonts w:ascii="Arial" w:cs="Arial" w:eastAsia="Arial" w:hAnsi="Arial"/>
                <w:sz w:val="17"/>
                <w:szCs w:val="17"/>
                <w:color w:val="auto"/>
              </w:rPr>
              <w:t>Operating lease liability</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(358)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(429)</w:t>
            </w:r>
          </w:p>
        </w:tc>
      </w:tr>
      <w:tr>
        <w:trPr>
          <w:trHeight w:val="187"/>
        </w:trPr>
        <w:tc>
          <w:tcPr>
            <w:tcW w:w="9320" w:type="dxa"/>
            <w:vAlign w:val="bottom"/>
          </w:tcPr>
          <w:p>
            <w:pPr>
              <w:ind w:left="760"/>
              <w:spacing w:after="0" w:line="187" w:lineRule="exact"/>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6"/>
                <w:szCs w:val="16"/>
                <w:color w:val="auto"/>
              </w:rPr>
            </w:pPr>
          </w:p>
        </w:tc>
        <w:tc>
          <w:tcPr>
            <w:tcW w:w="600" w:type="dxa"/>
            <w:vAlign w:val="bottom"/>
          </w:tcPr>
          <w:p>
            <w:pPr>
              <w:jc w:val="right"/>
              <w:spacing w:after="0" w:line="187" w:lineRule="exact"/>
              <w:rPr>
                <w:sz w:val="20"/>
                <w:szCs w:val="20"/>
                <w:color w:val="auto"/>
              </w:rPr>
            </w:pPr>
            <w:r>
              <w:rPr>
                <w:rFonts w:ascii="Arial" w:cs="Arial" w:eastAsia="Arial" w:hAnsi="Arial"/>
                <w:sz w:val="17"/>
                <w:szCs w:val="17"/>
                <w:color w:val="auto"/>
              </w:rPr>
              <w:t>1,624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(4,120)</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9320" w:type="dxa"/>
            <w:vAlign w:val="bottom"/>
            <w:shd w:val="clear" w:color="auto" w:fill="CCEEFF"/>
          </w:tcPr>
          <w:p>
            <w:pPr>
              <w:ind w:left="1000"/>
              <w:spacing w:after="0" w:line="187" w:lineRule="exact"/>
              <w:rPr>
                <w:sz w:val="20"/>
                <w:szCs w:val="20"/>
                <w:color w:val="auto"/>
              </w:rPr>
            </w:pPr>
            <w:r>
              <w:rPr>
                <w:rFonts w:ascii="Arial" w:cs="Arial" w:eastAsia="Arial" w:hAnsi="Arial"/>
                <w:sz w:val="17"/>
                <w:szCs w:val="17"/>
                <w:color w:val="auto"/>
              </w:rPr>
              <w:t>Net cash provided by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73,818</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(31,260)</w:t>
            </w:r>
          </w:p>
        </w:tc>
      </w:tr>
      <w:tr>
        <w:trPr>
          <w:trHeight w:val="194"/>
        </w:trPr>
        <w:tc>
          <w:tcPr>
            <w:tcW w:w="9320" w:type="dxa"/>
            <w:vAlign w:val="bottom"/>
          </w:tcPr>
          <w:p>
            <w:pPr>
              <w:spacing w:after="0" w:line="194" w:lineRule="exact"/>
              <w:rPr>
                <w:sz w:val="20"/>
                <w:szCs w:val="20"/>
                <w:color w:val="auto"/>
              </w:rPr>
            </w:pPr>
            <w:r>
              <w:rPr>
                <w:rFonts w:ascii="Arial" w:cs="Arial" w:eastAsia="Arial" w:hAnsi="Arial"/>
                <w:sz w:val="17"/>
                <w:szCs w:val="17"/>
                <w:color w:val="auto"/>
              </w:rPr>
              <w:t>Cash flows from investing activities:</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Purchases of property and equipment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(1,282)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(75)</w:t>
            </w:r>
          </w:p>
        </w:tc>
      </w:tr>
      <w:tr>
        <w:trPr>
          <w:trHeight w:val="187"/>
        </w:trPr>
        <w:tc>
          <w:tcPr>
            <w:tcW w:w="9320" w:type="dxa"/>
            <w:vAlign w:val="bottom"/>
          </w:tcPr>
          <w:p>
            <w:pPr>
              <w:ind w:left="260"/>
              <w:spacing w:after="0" w:line="187" w:lineRule="exact"/>
              <w:rPr>
                <w:sz w:val="20"/>
                <w:szCs w:val="20"/>
                <w:color w:val="auto"/>
              </w:rPr>
            </w:pPr>
            <w:r>
              <w:rPr>
                <w:rFonts w:ascii="Arial" w:cs="Arial" w:eastAsia="Arial" w:hAnsi="Arial"/>
                <w:sz w:val="17"/>
                <w:szCs w:val="17"/>
                <w:color w:val="auto"/>
              </w:rPr>
              <w:t>Proceeds from sale of property and equipment</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12</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w:t>
            </w: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Purchase of short-term investments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w w:val="97"/>
              </w:rPr>
              <w:t>(14,902)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w w:val="98"/>
              </w:rPr>
              <w:t>(103,942)</w:t>
            </w:r>
          </w:p>
        </w:tc>
      </w:tr>
      <w:tr>
        <w:trPr>
          <w:trHeight w:val="201"/>
        </w:trPr>
        <w:tc>
          <w:tcPr>
            <w:tcW w:w="9320" w:type="dxa"/>
            <w:vAlign w:val="bottom"/>
          </w:tcPr>
          <w:p>
            <w:pPr>
              <w:ind w:left="1000"/>
              <w:spacing w:after="0" w:line="194"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1"/>
              </w:rPr>
              <w:t>(16,172)</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0"/>
              </w:rPr>
              <w:t>(104,017)</w:t>
            </w:r>
          </w:p>
        </w:tc>
        <w:tc>
          <w:tcPr>
            <w:tcW w:w="120" w:type="dxa"/>
            <w:vAlign w:val="bottom"/>
          </w:tcPr>
          <w:p>
            <w:pPr>
              <w:spacing w:after="0"/>
              <w:rPr>
                <w:sz w:val="17"/>
                <w:szCs w:val="17"/>
                <w:color w:val="auto"/>
              </w:rPr>
            </w:pPr>
          </w:p>
        </w:tc>
      </w:tr>
      <w:tr>
        <w:trPr>
          <w:trHeight w:val="187"/>
        </w:trPr>
        <w:tc>
          <w:tcPr>
            <w:tcW w:w="93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9320" w:type="dxa"/>
            <w:vAlign w:val="bottom"/>
          </w:tcPr>
          <w:p>
            <w:pPr>
              <w:ind w:left="260"/>
              <w:spacing w:after="0" w:line="187" w:lineRule="exact"/>
              <w:rPr>
                <w:sz w:val="20"/>
                <w:szCs w:val="20"/>
                <w:color w:val="auto"/>
              </w:rPr>
            </w:pPr>
            <w:r>
              <w:rPr>
                <w:rFonts w:ascii="Arial" w:cs="Arial" w:eastAsia="Arial" w:hAnsi="Arial"/>
                <w:sz w:val="17"/>
                <w:szCs w:val="17"/>
                <w:color w:val="auto"/>
              </w:rPr>
              <w:t>Proceeds from the issuance of Series B convertible preferred stock, net of issuance costs of $4,473</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141,026</w:t>
            </w: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Proceeds from the issuance of common stock</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232</w:t>
            </w:r>
          </w:p>
        </w:tc>
      </w:tr>
      <w:tr>
        <w:trPr>
          <w:trHeight w:val="187"/>
        </w:trPr>
        <w:tc>
          <w:tcPr>
            <w:tcW w:w="9320" w:type="dxa"/>
            <w:vAlign w:val="bottom"/>
          </w:tcPr>
          <w:p>
            <w:pPr>
              <w:ind w:left="260"/>
              <w:spacing w:after="0" w:line="187" w:lineRule="exact"/>
              <w:rPr>
                <w:sz w:val="20"/>
                <w:szCs w:val="20"/>
                <w:color w:val="auto"/>
              </w:rPr>
            </w:pPr>
            <w:r>
              <w:rPr>
                <w:rFonts w:ascii="Arial" w:cs="Arial" w:eastAsia="Arial" w:hAnsi="Arial"/>
                <w:sz w:val="17"/>
                <w:szCs w:val="17"/>
                <w:color w:val="auto"/>
              </w:rPr>
              <w:t>Vested stock option settlement</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(727)</w:t>
            </w: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Repurchase of common stock</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(124)</w:t>
            </w:r>
          </w:p>
        </w:tc>
      </w:tr>
      <w:tr>
        <w:trPr>
          <w:trHeight w:val="187"/>
        </w:trPr>
        <w:tc>
          <w:tcPr>
            <w:tcW w:w="9320" w:type="dxa"/>
            <w:vAlign w:val="bottom"/>
          </w:tcPr>
          <w:p>
            <w:pPr>
              <w:ind w:left="260"/>
              <w:spacing w:after="0" w:line="187" w:lineRule="exact"/>
              <w:rPr>
                <w:sz w:val="20"/>
                <w:szCs w:val="20"/>
                <w:color w:val="auto"/>
              </w:rPr>
            </w:pPr>
            <w:r>
              <w:rPr>
                <w:rFonts w:ascii="Arial" w:cs="Arial" w:eastAsia="Arial" w:hAnsi="Arial"/>
                <w:sz w:val="17"/>
                <w:szCs w:val="17"/>
                <w:color w:val="auto"/>
              </w:rPr>
              <w:t>Issuance of long-term debt, net of issuance costs of $527</w:t>
            </w:r>
          </w:p>
        </w:tc>
        <w:tc>
          <w:tcPr>
            <w:tcW w:w="100" w:type="dxa"/>
            <w:vAlign w:val="bottom"/>
          </w:tcPr>
          <w:p>
            <w:pPr>
              <w:spacing w:after="0"/>
              <w:rPr>
                <w:sz w:val="16"/>
                <w:szCs w:val="16"/>
                <w:color w:val="auto"/>
              </w:rPr>
            </w:pPr>
          </w:p>
        </w:tc>
        <w:tc>
          <w:tcPr>
            <w:tcW w:w="60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11,973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9320" w:type="dxa"/>
            <w:vAlign w:val="bottom"/>
            <w:shd w:val="clear" w:color="auto" w:fill="CCEEFF"/>
          </w:tcPr>
          <w:p>
            <w:pPr>
              <w:ind w:left="1000"/>
              <w:spacing w:after="0" w:line="187" w:lineRule="exact"/>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32</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152,380</w:t>
            </w:r>
          </w:p>
        </w:tc>
      </w:tr>
      <w:tr>
        <w:trPr>
          <w:trHeight w:val="201"/>
        </w:trPr>
        <w:tc>
          <w:tcPr>
            <w:tcW w:w="9320" w:type="dxa"/>
            <w:vAlign w:val="bottom"/>
          </w:tcPr>
          <w:p>
            <w:pPr>
              <w:ind w:left="1000"/>
              <w:spacing w:after="0" w:line="194" w:lineRule="exact"/>
              <w:rPr>
                <w:sz w:val="20"/>
                <w:szCs w:val="20"/>
                <w:color w:val="auto"/>
              </w:rPr>
            </w:pPr>
            <w:r>
              <w:rPr>
                <w:rFonts w:ascii="Arial" w:cs="Arial" w:eastAsia="Arial" w:hAnsi="Arial"/>
                <w:sz w:val="17"/>
                <w:szCs w:val="17"/>
                <w:color w:val="auto"/>
              </w:rPr>
              <w:t>Net increase in cash, cash equivalents and restricted cash</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57,678</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17,103</w:t>
            </w:r>
          </w:p>
        </w:tc>
        <w:tc>
          <w:tcPr>
            <w:tcW w:w="120" w:type="dxa"/>
            <w:vAlign w:val="bottom"/>
          </w:tcPr>
          <w:p>
            <w:pPr>
              <w:spacing w:after="0"/>
              <w:rPr>
                <w:sz w:val="17"/>
                <w:szCs w:val="17"/>
                <w:color w:val="auto"/>
              </w:rPr>
            </w:pPr>
          </w:p>
        </w:tc>
      </w:tr>
      <w:tr>
        <w:trPr>
          <w:trHeight w:val="187"/>
        </w:trPr>
        <w:tc>
          <w:tcPr>
            <w:tcW w:w="93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Cash, cash equivalents and restricted cash at beginning of year</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38,888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93,126</w:t>
            </w:r>
          </w:p>
        </w:tc>
      </w:tr>
      <w:tr>
        <w:trPr>
          <w:trHeight w:val="194"/>
        </w:trPr>
        <w:tc>
          <w:tcPr>
            <w:tcW w:w="9320" w:type="dxa"/>
            <w:vAlign w:val="bottom"/>
          </w:tcPr>
          <w:p>
            <w:pPr>
              <w:spacing w:after="0" w:line="194" w:lineRule="exact"/>
              <w:rPr>
                <w:sz w:val="20"/>
                <w:szCs w:val="20"/>
                <w:color w:val="auto"/>
              </w:rPr>
            </w:pPr>
            <w:r>
              <w:rPr>
                <w:rFonts w:ascii="Arial" w:cs="Arial" w:eastAsia="Arial" w:hAnsi="Arial"/>
                <w:sz w:val="17"/>
                <w:szCs w:val="17"/>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96,566</w:t>
            </w: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110,229</w:t>
            </w:r>
          </w:p>
        </w:tc>
        <w:tc>
          <w:tcPr>
            <w:tcW w:w="120" w:type="dxa"/>
            <w:vAlign w:val="bottom"/>
          </w:tcPr>
          <w:p>
            <w:pPr>
              <w:spacing w:after="0"/>
              <w:rPr>
                <w:sz w:val="16"/>
                <w:szCs w:val="16"/>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93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Reconciliation of cash, cash equivalents and restricted cash:</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9320" w:type="dxa"/>
            <w:vAlign w:val="bottom"/>
          </w:tcPr>
          <w:p>
            <w:pPr>
              <w:ind w:left="260"/>
              <w:spacing w:after="0" w:line="187" w:lineRule="exact"/>
              <w:rPr>
                <w:sz w:val="20"/>
                <w:szCs w:val="20"/>
                <w:color w:val="auto"/>
              </w:rPr>
            </w:pPr>
            <w:r>
              <w:rPr>
                <w:rFonts w:ascii="Arial" w:cs="Arial" w:eastAsia="Arial" w:hAnsi="Arial"/>
                <w:sz w:val="17"/>
                <w:szCs w:val="17"/>
                <w:color w:val="auto"/>
              </w:rPr>
              <w:t>Cash, cash equivalents and restricted cash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96,566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110,229</w:t>
            </w: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Less restricted cash</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(2,577)</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(2,577)</w:t>
            </w:r>
          </w:p>
        </w:tc>
      </w:tr>
      <w:tr>
        <w:trPr>
          <w:trHeight w:val="194"/>
        </w:trPr>
        <w:tc>
          <w:tcPr>
            <w:tcW w:w="9320" w:type="dxa"/>
            <w:vAlign w:val="bottom"/>
          </w:tcPr>
          <w:p>
            <w:pPr>
              <w:ind w:left="260"/>
              <w:spacing w:after="0" w:line="194" w:lineRule="exact"/>
              <w:rPr>
                <w:sz w:val="20"/>
                <w:szCs w:val="20"/>
                <w:color w:val="auto"/>
              </w:rPr>
            </w:pPr>
            <w:r>
              <w:rPr>
                <w:rFonts w:ascii="Arial" w:cs="Arial" w:eastAsia="Arial" w:hAnsi="Arial"/>
                <w:sz w:val="17"/>
                <w:szCs w:val="17"/>
                <w:color w:val="auto"/>
              </w:rPr>
              <w:t>Cash and cash equivalents at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93,989</w:t>
            </w: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107,652</w:t>
            </w:r>
          </w:p>
        </w:tc>
        <w:tc>
          <w:tcPr>
            <w:tcW w:w="120" w:type="dxa"/>
            <w:vAlign w:val="bottom"/>
          </w:tcPr>
          <w:p>
            <w:pPr>
              <w:spacing w:after="0"/>
              <w:rPr>
                <w:sz w:val="16"/>
                <w:szCs w:val="16"/>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93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Supplemental disclosures of non-cash investing and financing activities: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9320" w:type="dxa"/>
            <w:vAlign w:val="bottom"/>
          </w:tcPr>
          <w:p>
            <w:pPr>
              <w:ind w:left="260"/>
              <w:spacing w:after="0" w:line="187" w:lineRule="exact"/>
              <w:rPr>
                <w:sz w:val="20"/>
                <w:szCs w:val="20"/>
                <w:color w:val="auto"/>
              </w:rPr>
            </w:pPr>
            <w:r>
              <w:rPr>
                <w:rFonts w:ascii="Arial" w:cs="Arial" w:eastAsia="Arial" w:hAnsi="Arial"/>
                <w:sz w:val="17"/>
                <w:szCs w:val="17"/>
                <w:color w:val="auto"/>
              </w:rPr>
              <w:t>Capital expenditures in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87" w:lineRule="exact"/>
              <w:rPr>
                <w:sz w:val="20"/>
                <w:szCs w:val="20"/>
                <w:color w:val="auto"/>
              </w:rPr>
            </w:pPr>
            <w:r>
              <w:rPr>
                <w:rFonts w:ascii="Arial" w:cs="Arial" w:eastAsia="Arial" w:hAnsi="Arial"/>
                <w:sz w:val="17"/>
                <w:szCs w:val="17"/>
                <w:color w:val="auto"/>
              </w:rPr>
              <w:t>233</w:t>
            </w:r>
          </w:p>
        </w:tc>
        <w:tc>
          <w:tcPr>
            <w:tcW w:w="3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14</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Stock option repurchases included in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40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86</w:t>
            </w:r>
          </w:p>
        </w:tc>
      </w:tr>
      <w:tr>
        <w:trPr>
          <w:trHeight w:val="201"/>
        </w:trPr>
        <w:tc>
          <w:tcPr>
            <w:tcW w:w="9320" w:type="dxa"/>
            <w:vAlign w:val="bottom"/>
          </w:tcPr>
          <w:p>
            <w:pPr>
              <w:ind w:left="260"/>
              <w:spacing w:after="0" w:line="194" w:lineRule="exact"/>
              <w:rPr>
                <w:sz w:val="20"/>
                <w:szCs w:val="20"/>
                <w:color w:val="auto"/>
              </w:rPr>
            </w:pPr>
            <w:r>
              <w:rPr>
                <w:rFonts w:ascii="Arial" w:cs="Arial" w:eastAsia="Arial" w:hAnsi="Arial"/>
                <w:sz w:val="17"/>
                <w:szCs w:val="17"/>
                <w:color w:val="auto"/>
              </w:rPr>
              <w:t>Stock option exercises included in prepaid and other current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33</w:t>
            </w:r>
          </w:p>
        </w:tc>
        <w:tc>
          <w:tcPr>
            <w:tcW w:w="120" w:type="dxa"/>
            <w:vAlign w:val="bottom"/>
          </w:tcPr>
          <w:p>
            <w:pPr>
              <w:spacing w:after="0"/>
              <w:rPr>
                <w:sz w:val="17"/>
                <w:szCs w:val="17"/>
                <w:color w:val="auto"/>
              </w:rPr>
            </w:pPr>
          </w:p>
        </w:tc>
      </w:tr>
      <w:tr>
        <w:trPr>
          <w:trHeight w:val="187"/>
        </w:trPr>
        <w:tc>
          <w:tcPr>
            <w:tcW w:w="932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Fair value of warrants issued in connection with debt issuance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2,325</w:t>
            </w:r>
          </w:p>
        </w:tc>
      </w:tr>
      <w:tr>
        <w:trPr>
          <w:trHeight w:val="20"/>
        </w:trPr>
        <w:tc>
          <w:tcPr>
            <w:tcW w:w="9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240"/>
          </w:cols>
          <w:pgMar w:left="320" w:top="454" w:right="3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C4 THERAPEUTICS, INC.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2019 and 2020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71"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C4 Therapeutics, Inc., or Company, was incorporated in Delaware on October 7, 2015. Its principal offices are in Watertown, Massachusetts. The Company is a biopharmaceutical company focused on harnessing the body’s natural regulation of protein levels to develop novel therapeutic candidates to target and eliminate disease-causing proteins for the treatment of cancer, neurodegenerative conditions and other diseases.</w:t>
      </w:r>
    </w:p>
    <w:p>
      <w:pPr>
        <w:spacing w:after="0" w:line="9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the Food and Drug Administration (“FDA”) and other government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40"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03"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The Company has incurred recurring losses since its inception, including net losses of $14.0 million and $22.7 million for the six months ended June 30, 2019 and 2020, respectively. In addition, as June 30, 2020, the Company had an accumulated deficit of $140.2 million. To date, the Company has not generated any revenue from product sales as none of its product candidates have been approved for commercialization. The Company expects to continue to generate operating losses for the foreseeable future.</w:t>
      </w: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Company’s primary activities since inception have been focused around research and development activities, building the Company’s intellectual property, recruiting personnel and raising capital to support these activities. Through June 30, 2020, the Company has funded its operations primarily with proceeds received from the sale of redeemable convertible preferred stock (collectively, the “Preferred Stock”) and through its collaboration agreements. The Company also closed a Series B redeemable convertible preferred stock financing and credit arrangement in June and July 2020 for net proceeds of $145.5 million (see Note 9). The Company believes that its cash and cash equivalents and short-term investments of $211.6 million as of June 30, 2020 are sufficient to fund planned operations for at least twelve months from the date these condensed consolidated financial statements are available to be issued.</w:t>
      </w:r>
    </w:p>
    <w:p>
      <w:pPr>
        <w:spacing w:after="0" w:line="120"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Accordingly, the condensed consolidated financial statements have been prepared on a basis that assumes the Company will continue as a going concern and contemplates the realization of assets and satisfaction of liabilities and commitments in the ordinary course of business.</w:t>
      </w:r>
    </w:p>
    <w:p>
      <w:pPr>
        <w:spacing w:after="0" w:line="150" w:lineRule="exact"/>
        <w:rPr>
          <w:sz w:val="20"/>
          <w:szCs w:val="20"/>
          <w:color w:val="auto"/>
        </w:rPr>
      </w:pPr>
    </w:p>
    <w:p>
      <w:pPr>
        <w:ind w:right="7200" w:firstLine="7"/>
        <w:spacing w:after="0" w:line="326" w:lineRule="auto"/>
        <w:tabs>
          <w:tab w:leader="none" w:pos="267"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 and Consolidation</w:t>
      </w:r>
    </w:p>
    <w:p>
      <w:pPr>
        <w:spacing w:after="0" w:line="1" w:lineRule="exact"/>
        <w:rPr>
          <w:sz w:val="20"/>
          <w:szCs w:val="20"/>
          <w:color w:val="auto"/>
        </w:rPr>
      </w:pPr>
    </w:p>
    <w:p>
      <w:pPr>
        <w:jc w:val="both"/>
        <w:ind w:right="540"/>
        <w:spacing w:after="0" w:line="250" w:lineRule="auto"/>
        <w:rPr>
          <w:sz w:val="20"/>
          <w:szCs w:val="20"/>
          <w:color w:val="auto"/>
        </w:rPr>
      </w:pPr>
      <w:r>
        <w:rPr>
          <w:rFonts w:ascii="Arial" w:cs="Arial" w:eastAsia="Arial" w:hAnsi="Arial"/>
          <w:sz w:val="17"/>
          <w:szCs w:val="17"/>
          <w:color w:val="auto"/>
        </w:rPr>
        <w:t>The accompanying interim unaudited condensed consolidated financial statements have been prepared in accordance with generally accepted accounting principles in the United Stated (“US GAAP”), and include the accounts of C4 Therapeutics, Inc. and its subsidiary. All intercompany balances and transactions have been eliminated in consolidation.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220"/>
          </w:cols>
          <w:pgMar w:left="320" w:top="454" w:right="3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7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accompanying condensed consolidated balance sheet as of June 30, 2020, the condensed consolidated statements of operations and comprehensive loss for the six months ended June 30, 2019 and 2020, the condensed consolidated statements of redeemable convertible preferred stock and stockholders’ deficit for the six months ended June 30, 2019 and 2020, the condensed consolidated statements of cash flows for the six months ended June 30, 2019 and 2020,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audited consolidated financial statements included elsewhere in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57"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The Company’s significant accounting policies are disclosed in the audited consolidated financial statements for the year ended December 31, 2019, included elsewhere in this prospectus. An update and supplement to these accounting policies follows. The Company did not adopt any new accounting pronouncements in the six months ended June 30,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57"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accompanying unaudited pro forma condensed consolidated balance sheet as of June 30, 2020 has been prepared to give effect, to the automatic conversion of all outstanding redeemable convertible preferred stock into 30,355,379 shares of common stock as if the Company’s proposed initial public offering had occurred on June 30, 2020 and the reclassification of the warrant liability to additional paid-in capital upon the automatic conversion of preferred stock warrants into common stock warrants.</w:t>
      </w:r>
    </w:p>
    <w:p>
      <w:pPr>
        <w:spacing w:after="0" w:line="118" w:lineRule="exact"/>
        <w:rPr>
          <w:sz w:val="20"/>
          <w:szCs w:val="20"/>
          <w:color w:val="auto"/>
        </w:rPr>
      </w:pPr>
    </w:p>
    <w:p>
      <w:pPr>
        <w:jc w:val="both"/>
        <w:ind w:right="120"/>
        <w:spacing w:after="0" w:line="263" w:lineRule="auto"/>
        <w:rPr>
          <w:sz w:val="20"/>
          <w:szCs w:val="20"/>
          <w:color w:val="auto"/>
        </w:rPr>
      </w:pPr>
      <w:r>
        <w:rPr>
          <w:rFonts w:ascii="Arial" w:cs="Arial" w:eastAsia="Arial" w:hAnsi="Arial"/>
          <w:sz w:val="16"/>
          <w:szCs w:val="16"/>
          <w:color w:val="auto"/>
        </w:rPr>
        <w:t>In the accompanying condensed consolidated statements of operations and comprehensive loss, the unaudited proforma basic and diluted net loss per share attributable to common stockholders for the six months ended June 30, 2020 has been prepared to give effect to the automatic conversion of all outstanding shares of redeemable convertible preferred stock upon the closing of the proposed initial public offering into 30,355,379 shares of common stock as if the conversion had occurred on the later of January 1, 2020 or the issuance of the redeemable convertible preferred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Company classifies all short-term investments with an original maturity when purchased of greater than three months as available-for-sale. Available-for-sale securities are carried at fair value, with the unrealized gains and losses reported in other comprehensive loss. The amortized cost of debt securities in this category is adjusted for amortization of premiums and accretion of discounts to maturity. Such amortization is included in interest income. Realized gains and losses and declines in value judged to be other than temporary on available-for-sale securities, are included in interest income.</w:t>
      </w:r>
    </w:p>
    <w:p>
      <w:pPr>
        <w:spacing w:after="0" w:line="11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cost of securities sold is based on the specific identification method. Interest and dividends on securities classified as available-for-sale are included in interest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Company’s short-term investments as of June 30, 2020 of $103.9 million consisted entirely of government-backed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5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(deficit) equity as a reduction of proceeds generated as a</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220"/>
          </w:cols>
          <w:pgMar w:left="320" w:top="454" w:right="3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result of the offering. Should the in-process equity financing be abandoned, the deferred offering costs will be expensed immediately as a charge to operating expenses in the condensed consolidated statements of operations and comprehensive loss. The Company had $0.3 million of deferred offering costs related to the initial public offering as of June 30,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7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connection with the series B redeemable convertible preferred stock (“Series B”) financing (“Series B Financing”) in June and July 2020, the Company issued warrants to purchase shares of its Series B. The Company classified the warrants as a liability on its consolidated balance sheet. The Company remeasured this warrant liability to fair value at each reporting date and recognized changes in the fair value of the warrant liability as a component of other income (expense), net in the consolidated statement of operations.</w:t>
      </w:r>
    </w:p>
    <w:p>
      <w:pPr>
        <w:spacing w:after="0" w:line="118"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 utilized the Black-Scholes option-pricing model, which incorporates assumptions and estimates, to value these warrants. The Company assessed these assumptions and estimates on a quarterly basis. Estimates and assumptions impacting the fair value measurement include the fair value per share of the underlying redeemable convertible preferred stock or common stock issuable upon exercise of the warrant, remaining contractual term of the warrants, risk-free interest rate, expected dividend yield and expected volatility of the price of the underlying redeemable convertible preferred stock or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5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indicates the level of the fair value hierarchy utilized to determine such fair values as of December 31, 2019 and June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4"/>
                <w:szCs w:val="14"/>
                <w:color w:val="auto"/>
              </w:rPr>
            </w:pPr>
          </w:p>
        </w:tc>
        <w:tc>
          <w:tcPr>
            <w:tcW w:w="220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rPr>
              <w:t>SIGNIFICANT OTHER</w:t>
            </w:r>
          </w:p>
        </w:tc>
        <w:tc>
          <w:tcPr>
            <w:tcW w:w="16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ACTIVE MARKETS FOR</w:t>
            </w:r>
          </w:p>
        </w:tc>
        <w:tc>
          <w:tcPr>
            <w:tcW w:w="320" w:type="dxa"/>
            <w:vAlign w:val="bottom"/>
          </w:tcPr>
          <w:p>
            <w:pPr>
              <w:spacing w:after="0"/>
              <w:rPr>
                <w:sz w:val="13"/>
                <w:szCs w:val="13"/>
                <w:color w:val="auto"/>
              </w:rPr>
            </w:pPr>
          </w:p>
        </w:tc>
        <w:tc>
          <w:tcPr>
            <w:tcW w:w="2200" w:type="dxa"/>
            <w:vAlign w:val="bottom"/>
            <w:gridSpan w:val="3"/>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1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3"/>
                <w:szCs w:val="13"/>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IDENTICAL ASSETS</w:t>
            </w:r>
          </w:p>
        </w:tc>
        <w:tc>
          <w:tcPr>
            <w:tcW w:w="320" w:type="dxa"/>
            <w:vAlign w:val="bottom"/>
          </w:tcPr>
          <w:p>
            <w:pPr>
              <w:spacing w:after="0"/>
              <w:rPr>
                <w:sz w:val="13"/>
                <w:szCs w:val="13"/>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OBSERVABLE INPUTS</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82"/>
        </w:trPr>
        <w:tc>
          <w:tcPr>
            <w:tcW w:w="3080" w:type="dxa"/>
            <w:vAlign w:val="bottom"/>
            <w:gridSpan w:val="2"/>
            <w:vMerge w:val="continue"/>
          </w:tcPr>
          <w:p>
            <w:pPr>
              <w:spacing w:after="0"/>
              <w:rPr>
                <w:sz w:val="15"/>
                <w:szCs w:val="15"/>
                <w:color w:val="auto"/>
              </w:rPr>
            </w:pPr>
          </w:p>
        </w:tc>
        <w:tc>
          <w:tcPr>
            <w:tcW w:w="21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(LEVEL 3)</w:t>
            </w:r>
          </w:p>
        </w:tc>
        <w:tc>
          <w:tcPr>
            <w:tcW w:w="0" w:type="dxa"/>
            <w:vAlign w:val="bottom"/>
          </w:tcPr>
          <w:p>
            <w:pPr>
              <w:spacing w:after="0"/>
              <w:rPr>
                <w:sz w:val="1"/>
                <w:szCs w:val="1"/>
                <w:color w:val="auto"/>
              </w:rPr>
            </w:pPr>
          </w:p>
        </w:tc>
      </w:tr>
      <w:tr>
        <w:trPr>
          <w:trHeight w:val="161"/>
        </w:trPr>
        <w:tc>
          <w:tcPr>
            <w:tcW w:w="9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7"/>
                <w:szCs w:val="17"/>
                <w:i w:val="1"/>
                <w:iCs w:val="1"/>
                <w:color w:val="auto"/>
              </w:rPr>
              <w:t>Asset</w:t>
            </w:r>
          </w:p>
        </w:tc>
        <w:tc>
          <w:tcPr>
            <w:tcW w:w="2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left w:val="single" w:sz="8" w:color="CCEEFF"/>
            </w:tcBorders>
            <w:shd w:val="clear" w:color="auto" w:fill="CCEEFF"/>
          </w:tcPr>
          <w:p>
            <w:pPr>
              <w:spacing w:after="0"/>
              <w:rPr>
                <w:sz w:val="13"/>
                <w:szCs w:val="13"/>
                <w:color w:val="auto"/>
              </w:rPr>
            </w:pPr>
          </w:p>
        </w:tc>
        <w:tc>
          <w:tcPr>
            <w:tcW w:w="320" w:type="dxa"/>
            <w:vAlign w:val="bottom"/>
            <w:tcBorders>
              <w:top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left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080" w:type="dxa"/>
            <w:vAlign w:val="bottom"/>
            <w:gridSpan w:val="2"/>
          </w:tcPr>
          <w:p>
            <w:pPr>
              <w:spacing w:after="0" w:line="187" w:lineRule="exact"/>
              <w:rPr>
                <w:sz w:val="20"/>
                <w:szCs w:val="20"/>
                <w:color w:val="auto"/>
              </w:rPr>
            </w:pPr>
            <w:r>
              <w:rPr>
                <w:rFonts w:ascii="Arial" w:cs="Arial" w:eastAsia="Arial" w:hAnsi="Arial"/>
                <w:sz w:val="17"/>
                <w:szCs w:val="17"/>
                <w:color w:val="auto"/>
              </w:rPr>
              <w:t>Money market funds</w:t>
            </w:r>
          </w:p>
        </w:tc>
        <w:tc>
          <w:tcPr>
            <w:tcW w:w="480" w:type="dxa"/>
            <w:vAlign w:val="bottom"/>
          </w:tcPr>
          <w:p>
            <w:pPr>
              <w:jc w:val="right"/>
              <w:ind w:right="299"/>
              <w:spacing w:after="0" w:line="187" w:lineRule="exact"/>
              <w:rPr>
                <w:sz w:val="20"/>
                <w:szCs w:val="20"/>
                <w:color w:val="auto"/>
              </w:rPr>
            </w:pPr>
            <w:r>
              <w:rPr>
                <w:rFonts w:ascii="Arial" w:cs="Arial" w:eastAsia="Arial" w:hAnsi="Arial"/>
                <w:sz w:val="17"/>
                <w:szCs w:val="17"/>
                <w:color w:val="auto"/>
                <w:w w:val="84"/>
              </w:rPr>
              <w:t>$</w:t>
            </w:r>
          </w:p>
        </w:tc>
        <w:tc>
          <w:tcPr>
            <w:tcW w:w="24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Arial" w:cs="Arial" w:eastAsia="Arial" w:hAnsi="Arial"/>
                <w:sz w:val="17"/>
                <w:szCs w:val="17"/>
                <w:color w:val="auto"/>
              </w:rPr>
              <w:t>80,902</w:t>
            </w:r>
          </w:p>
        </w:tc>
        <w:tc>
          <w:tcPr>
            <w:tcW w:w="6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line="187" w:lineRule="exact"/>
              <w:rPr>
                <w:sz w:val="20"/>
                <w:szCs w:val="20"/>
                <w:color w:val="auto"/>
              </w:rPr>
            </w:pPr>
            <w:r>
              <w:rPr>
                <w:rFonts w:ascii="Arial" w:cs="Arial" w:eastAsia="Arial" w:hAnsi="Arial"/>
                <w:sz w:val="17"/>
                <w:szCs w:val="17"/>
                <w:color w:val="auto"/>
              </w:rPr>
              <w:t>80,902</w:t>
            </w:r>
          </w:p>
        </w:tc>
        <w:tc>
          <w:tcPr>
            <w:tcW w:w="340" w:type="dxa"/>
            <w:vAlign w:val="bottom"/>
          </w:tcPr>
          <w:p>
            <w:pPr>
              <w:spacing w:after="0"/>
              <w:rPr>
                <w:sz w:val="16"/>
                <w:szCs w:val="16"/>
                <w:color w:val="auto"/>
              </w:rPr>
            </w:pPr>
          </w:p>
        </w:tc>
        <w:tc>
          <w:tcPr>
            <w:tcW w:w="580" w:type="dxa"/>
            <w:vAlign w:val="bottom"/>
            <w:gridSpan w:val="2"/>
          </w:tcPr>
          <w:p>
            <w:pPr>
              <w:ind w:left="300"/>
              <w:spacing w:after="0" w:line="187" w:lineRule="exact"/>
              <w:rPr>
                <w:sz w:val="20"/>
                <w:szCs w:val="20"/>
                <w:color w:val="auto"/>
              </w:rPr>
            </w:pPr>
            <w:r>
              <w:rPr>
                <w:rFonts w:ascii="Arial" w:cs="Arial" w:eastAsia="Arial" w:hAnsi="Arial"/>
                <w:sz w:val="17"/>
                <w:szCs w:val="17"/>
                <w:color w:val="auto"/>
              </w:rPr>
              <w:t>$</w:t>
            </w:r>
          </w:p>
        </w:tc>
        <w:tc>
          <w:tcPr>
            <w:tcW w:w="1940" w:type="dxa"/>
            <w:vAlign w:val="bottom"/>
            <w:gridSpan w:val="2"/>
          </w:tcPr>
          <w:p>
            <w:pPr>
              <w:ind w:left="1120"/>
              <w:spacing w:after="0" w:line="187" w:lineRule="exact"/>
              <w:rPr>
                <w:sz w:val="20"/>
                <w:szCs w:val="20"/>
                <w:color w:val="auto"/>
              </w:rPr>
            </w:pPr>
            <w:r>
              <w:rPr>
                <w:rFonts w:ascii="Arial" w:cs="Arial" w:eastAsia="Arial" w:hAnsi="Arial"/>
                <w:sz w:val="17"/>
                <w:szCs w:val="17"/>
                <w:color w:val="auto"/>
              </w:rPr>
              <w:t>—</w:t>
            </w:r>
          </w:p>
        </w:tc>
        <w:tc>
          <w:tcPr>
            <w:tcW w:w="26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08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Total financial assets</w:t>
            </w:r>
          </w:p>
        </w:tc>
        <w:tc>
          <w:tcPr>
            <w:tcW w:w="480" w:type="dxa"/>
            <w:vAlign w:val="bottom"/>
            <w:shd w:val="clear" w:color="auto" w:fill="CCEEFF"/>
          </w:tcPr>
          <w:p>
            <w:pPr>
              <w:jc w:val="right"/>
              <w:ind w:right="299"/>
              <w:spacing w:after="0" w:line="187" w:lineRule="exact"/>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80,902</w:t>
            </w:r>
          </w:p>
        </w:tc>
        <w:tc>
          <w:tcPr>
            <w:tcW w:w="6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80,902</w:t>
            </w:r>
          </w:p>
        </w:tc>
        <w:tc>
          <w:tcPr>
            <w:tcW w:w="340" w:type="dxa"/>
            <w:vAlign w:val="bottom"/>
            <w:tcBorders>
              <w:lef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line="187" w:lineRule="exact"/>
              <w:rPr>
                <w:sz w:val="20"/>
                <w:szCs w:val="20"/>
                <w:color w:val="auto"/>
              </w:rPr>
            </w:pPr>
            <w:r>
              <w:rPr>
                <w:rFonts w:ascii="Arial" w:cs="Arial" w:eastAsia="Arial" w:hAnsi="Arial"/>
                <w:sz w:val="17"/>
                <w:szCs w:val="17"/>
                <w:color w:val="auto"/>
              </w:rPr>
              <w:t>$</w:t>
            </w:r>
          </w:p>
        </w:tc>
        <w:tc>
          <w:tcPr>
            <w:tcW w:w="1940" w:type="dxa"/>
            <w:vAlign w:val="bottom"/>
            <w:gridSpan w:val="2"/>
            <w:shd w:val="clear" w:color="auto" w:fill="CCEEFF"/>
          </w:tcPr>
          <w:p>
            <w:pPr>
              <w:ind w:left="1120"/>
              <w:spacing w:after="0" w:line="187"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24"/>
                <w:szCs w:val="24"/>
                <w:color w:val="auto"/>
              </w:rPr>
            </w:pPr>
          </w:p>
        </w:tc>
        <w:tc>
          <w:tcPr>
            <w:tcW w:w="220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rPr>
              <w:t>SIGNIFICANT OTHER</w:t>
            </w:r>
          </w:p>
        </w:tc>
        <w:tc>
          <w:tcPr>
            <w:tcW w:w="16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ACTIVE MARKETS FOR</w:t>
            </w:r>
          </w:p>
        </w:tc>
        <w:tc>
          <w:tcPr>
            <w:tcW w:w="320" w:type="dxa"/>
            <w:vAlign w:val="bottom"/>
          </w:tcPr>
          <w:p>
            <w:pPr>
              <w:spacing w:after="0"/>
              <w:rPr>
                <w:sz w:val="13"/>
                <w:szCs w:val="13"/>
                <w:color w:val="auto"/>
              </w:rPr>
            </w:pPr>
          </w:p>
        </w:tc>
        <w:tc>
          <w:tcPr>
            <w:tcW w:w="2200" w:type="dxa"/>
            <w:vAlign w:val="bottom"/>
            <w:gridSpan w:val="3"/>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3"/>
                <w:szCs w:val="13"/>
                <w:color w:val="auto"/>
              </w:rPr>
            </w:pPr>
          </w:p>
        </w:tc>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3"/>
                <w:szCs w:val="1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IDENTICAL ASSETS</w:t>
            </w:r>
          </w:p>
        </w:tc>
        <w:tc>
          <w:tcPr>
            <w:tcW w:w="320" w:type="dxa"/>
            <w:vAlign w:val="bottom"/>
          </w:tcPr>
          <w:p>
            <w:pPr>
              <w:spacing w:after="0"/>
              <w:rPr>
                <w:sz w:val="13"/>
                <w:szCs w:val="13"/>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OBSERVABLE INPUTS</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82"/>
        </w:trPr>
        <w:tc>
          <w:tcPr>
            <w:tcW w:w="30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(LEVEL 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(LEVEL 3)</w:t>
            </w:r>
          </w:p>
        </w:tc>
        <w:tc>
          <w:tcPr>
            <w:tcW w:w="0" w:type="dxa"/>
            <w:vAlign w:val="bottom"/>
          </w:tcPr>
          <w:p>
            <w:pPr>
              <w:spacing w:after="0"/>
              <w:rPr>
                <w:sz w:val="1"/>
                <w:szCs w:val="1"/>
                <w:color w:val="auto"/>
              </w:rPr>
            </w:pPr>
          </w:p>
        </w:tc>
      </w:tr>
      <w:tr>
        <w:trPr>
          <w:trHeight w:val="161"/>
        </w:trPr>
        <w:tc>
          <w:tcPr>
            <w:tcW w:w="9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7"/>
                <w:szCs w:val="17"/>
                <w:i w:val="1"/>
                <w:iCs w:val="1"/>
                <w:color w:val="auto"/>
              </w:rPr>
              <w:t>Asset</w:t>
            </w:r>
          </w:p>
        </w:tc>
        <w:tc>
          <w:tcPr>
            <w:tcW w:w="2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left w:val="single" w:sz="8" w:color="CCEEFF"/>
            </w:tcBorders>
            <w:shd w:val="clear" w:color="auto" w:fill="CCEEFF"/>
          </w:tcPr>
          <w:p>
            <w:pPr>
              <w:spacing w:after="0"/>
              <w:rPr>
                <w:sz w:val="13"/>
                <w:szCs w:val="13"/>
                <w:color w:val="auto"/>
              </w:rPr>
            </w:pPr>
          </w:p>
        </w:tc>
        <w:tc>
          <w:tcPr>
            <w:tcW w:w="320" w:type="dxa"/>
            <w:vAlign w:val="bottom"/>
            <w:tcBorders>
              <w:top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left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080" w:type="dxa"/>
            <w:vAlign w:val="bottom"/>
            <w:gridSpan w:val="2"/>
          </w:tcPr>
          <w:p>
            <w:pPr>
              <w:spacing w:after="0" w:line="187" w:lineRule="exact"/>
              <w:rPr>
                <w:sz w:val="20"/>
                <w:szCs w:val="20"/>
                <w:color w:val="auto"/>
              </w:rPr>
            </w:pPr>
            <w:r>
              <w:rPr>
                <w:rFonts w:ascii="Arial" w:cs="Arial" w:eastAsia="Arial" w:hAnsi="Arial"/>
                <w:sz w:val="17"/>
                <w:szCs w:val="17"/>
                <w:color w:val="auto"/>
              </w:rPr>
              <w:t>Money market funds</w:t>
            </w:r>
          </w:p>
        </w:tc>
        <w:tc>
          <w:tcPr>
            <w:tcW w:w="720" w:type="dxa"/>
            <w:vAlign w:val="bottom"/>
            <w:gridSpan w:val="2"/>
          </w:tcPr>
          <w:p>
            <w:pPr>
              <w:ind w:left="480"/>
              <w:spacing w:after="0" w:line="187" w:lineRule="exact"/>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640"/>
              <w:spacing w:after="0" w:line="187" w:lineRule="exact"/>
              <w:rPr>
                <w:sz w:val="20"/>
                <w:szCs w:val="20"/>
                <w:color w:val="auto"/>
              </w:rPr>
            </w:pPr>
            <w:r>
              <w:rPr>
                <w:rFonts w:ascii="Arial" w:cs="Arial" w:eastAsia="Arial" w:hAnsi="Arial"/>
                <w:sz w:val="17"/>
                <w:szCs w:val="17"/>
                <w:color w:val="auto"/>
              </w:rPr>
              <w:t>96,005</w:t>
            </w:r>
          </w:p>
        </w:tc>
        <w:tc>
          <w:tcPr>
            <w:tcW w:w="100" w:type="dxa"/>
            <w:vAlign w:val="bottom"/>
          </w:tcPr>
          <w:p>
            <w:pPr>
              <w:spacing w:after="0" w:line="187" w:lineRule="exact"/>
              <w:rPr>
                <w:sz w:val="20"/>
                <w:szCs w:val="20"/>
                <w:color w:val="auto"/>
              </w:rPr>
            </w:pPr>
            <w:r>
              <w:rPr>
                <w:rFonts w:ascii="Arial" w:cs="Arial" w:eastAsia="Arial" w:hAnsi="Arial"/>
                <w:sz w:val="17"/>
                <w:szCs w:val="17"/>
                <w:color w:val="auto"/>
                <w:w w:val="84"/>
              </w:rPr>
              <w:t>$</w:t>
            </w:r>
          </w:p>
        </w:tc>
        <w:tc>
          <w:tcPr>
            <w:tcW w:w="184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96,005</w:t>
            </w:r>
          </w:p>
        </w:tc>
        <w:tc>
          <w:tcPr>
            <w:tcW w:w="580" w:type="dxa"/>
            <w:vAlign w:val="bottom"/>
            <w:gridSpan w:val="2"/>
          </w:tcPr>
          <w:p>
            <w:pPr>
              <w:ind w:left="320"/>
              <w:spacing w:after="0" w:line="187" w:lineRule="exact"/>
              <w:rPr>
                <w:sz w:val="20"/>
                <w:szCs w:val="20"/>
                <w:color w:val="auto"/>
              </w:rPr>
            </w:pPr>
            <w:r>
              <w:rPr>
                <w:rFonts w:ascii="Arial" w:cs="Arial" w:eastAsia="Arial" w:hAnsi="Arial"/>
                <w:sz w:val="17"/>
                <w:szCs w:val="17"/>
                <w:color w:val="auto"/>
              </w:rPr>
              <w:t>$</w:t>
            </w:r>
          </w:p>
        </w:tc>
        <w:tc>
          <w:tcPr>
            <w:tcW w:w="1940" w:type="dxa"/>
            <w:vAlign w:val="bottom"/>
            <w:gridSpan w:val="2"/>
          </w:tcPr>
          <w:p>
            <w:pPr>
              <w:ind w:left="1120"/>
              <w:spacing w:after="0" w:line="187" w:lineRule="exact"/>
              <w:rPr>
                <w:sz w:val="20"/>
                <w:szCs w:val="20"/>
                <w:color w:val="auto"/>
              </w:rPr>
            </w:pPr>
            <w:r>
              <w:rPr>
                <w:rFonts w:ascii="Arial" w:cs="Arial" w:eastAsia="Arial" w:hAnsi="Arial"/>
                <w:sz w:val="17"/>
                <w:szCs w:val="17"/>
                <w:color w:val="auto"/>
              </w:rPr>
              <w:t>—</w:t>
            </w:r>
          </w:p>
        </w:tc>
        <w:tc>
          <w:tcPr>
            <w:tcW w:w="26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30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Short-term investments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tcBorders>
              <w:right w:val="single" w:sz="8" w:color="CCEEFF"/>
            </w:tcBorders>
            <w:gridSpan w:val="2"/>
            <w:shd w:val="clear" w:color="auto" w:fill="CCEEFF"/>
          </w:tcPr>
          <w:p>
            <w:pPr>
              <w:jc w:val="right"/>
              <w:ind w:right="640"/>
              <w:spacing w:after="0" w:line="187" w:lineRule="exact"/>
              <w:rPr>
                <w:sz w:val="20"/>
                <w:szCs w:val="20"/>
                <w:color w:val="auto"/>
              </w:rPr>
            </w:pPr>
            <w:r>
              <w:rPr>
                <w:rFonts w:ascii="Arial" w:cs="Arial" w:eastAsia="Arial" w:hAnsi="Arial"/>
                <w:sz w:val="17"/>
                <w:szCs w:val="17"/>
                <w:color w:val="auto"/>
              </w:rPr>
              <w:t>103,942</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103,942</w:t>
            </w:r>
          </w:p>
        </w:tc>
        <w:tc>
          <w:tcPr>
            <w:tcW w:w="3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ind w:left="1120"/>
              <w:spacing w:after="0" w:line="187"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3080" w:type="dxa"/>
            <w:vAlign w:val="bottom"/>
            <w:gridSpan w:val="2"/>
          </w:tcPr>
          <w:p>
            <w:pPr>
              <w:ind w:left="260"/>
              <w:spacing w:after="0" w:line="194" w:lineRule="exact"/>
              <w:rPr>
                <w:sz w:val="20"/>
                <w:szCs w:val="20"/>
                <w:color w:val="auto"/>
              </w:rPr>
            </w:pPr>
            <w:r>
              <w:rPr>
                <w:rFonts w:ascii="Arial" w:cs="Arial" w:eastAsia="Arial" w:hAnsi="Arial"/>
                <w:sz w:val="17"/>
                <w:szCs w:val="17"/>
                <w:color w:val="auto"/>
              </w:rPr>
              <w:t>Total financial assets</w:t>
            </w:r>
          </w:p>
        </w:tc>
        <w:tc>
          <w:tcPr>
            <w:tcW w:w="4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199,947</w:t>
            </w:r>
          </w:p>
        </w:tc>
        <w:tc>
          <w:tcPr>
            <w:tcW w:w="6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199,947</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ind w:left="1120"/>
              <w:spacing w:after="0" w:line="194" w:lineRule="exact"/>
              <w:rPr>
                <w:sz w:val="20"/>
                <w:szCs w:val="20"/>
                <w:color w:val="auto"/>
              </w:rPr>
            </w:pPr>
            <w:r>
              <w:rPr>
                <w:rFonts w:ascii="Arial" w:cs="Arial" w:eastAsia="Arial" w:hAnsi="Arial"/>
                <w:sz w:val="17"/>
                <w:szCs w:val="17"/>
                <w:color w:val="auto"/>
                <w:w w:val="70"/>
              </w:rPr>
              <w:t>—</w:t>
            </w:r>
          </w:p>
        </w:tc>
        <w:tc>
          <w:tcPr>
            <w:tcW w:w="6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ind w:left="1120"/>
              <w:spacing w:after="0" w:line="194" w:lineRule="exact"/>
              <w:rPr>
                <w:sz w:val="20"/>
                <w:szCs w:val="20"/>
                <w:color w:val="auto"/>
              </w:rPr>
            </w:pPr>
            <w:r>
              <w:rPr>
                <w:rFonts w:ascii="Arial" w:cs="Arial" w:eastAsia="Arial" w:hAnsi="Arial"/>
                <w:sz w:val="17"/>
                <w:szCs w:val="17"/>
                <w:color w:val="auto"/>
                <w:w w:val="82"/>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8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i w:val="1"/>
                <w:iCs w:val="1"/>
                <w:color w:val="auto"/>
              </w:rPr>
              <w:t>Liability</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tcBorders>
              <w:lef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60" w:type="dxa"/>
            <w:vAlign w:val="bottom"/>
            <w:tcBorders>
              <w:lef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80" w:type="dxa"/>
            <w:vAlign w:val="bottom"/>
            <w:gridSpan w:val="2"/>
          </w:tcPr>
          <w:p>
            <w:pPr>
              <w:spacing w:after="0" w:line="187" w:lineRule="exact"/>
              <w:rPr>
                <w:sz w:val="20"/>
                <w:szCs w:val="20"/>
                <w:color w:val="auto"/>
              </w:rPr>
            </w:pPr>
            <w:r>
              <w:rPr>
                <w:rFonts w:ascii="Arial" w:cs="Arial" w:eastAsia="Arial" w:hAnsi="Arial"/>
                <w:sz w:val="17"/>
                <w:szCs w:val="17"/>
                <w:color w:val="auto"/>
              </w:rPr>
              <w:t>Warrants</w:t>
            </w:r>
          </w:p>
        </w:tc>
        <w:tc>
          <w:tcPr>
            <w:tcW w:w="480" w:type="dxa"/>
            <w:vAlign w:val="bottom"/>
          </w:tcPr>
          <w:p>
            <w:pPr>
              <w:spacing w:after="0"/>
              <w:rPr>
                <w:sz w:val="16"/>
                <w:szCs w:val="16"/>
                <w:color w:val="auto"/>
              </w:rPr>
            </w:pPr>
          </w:p>
        </w:tc>
        <w:tc>
          <w:tcPr>
            <w:tcW w:w="24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640"/>
              <w:spacing w:after="0" w:line="187" w:lineRule="exact"/>
              <w:rPr>
                <w:sz w:val="20"/>
                <w:szCs w:val="20"/>
                <w:color w:val="auto"/>
              </w:rPr>
            </w:pPr>
            <w:r>
              <w:rPr>
                <w:rFonts w:ascii="Arial" w:cs="Arial" w:eastAsia="Arial" w:hAnsi="Arial"/>
                <w:sz w:val="17"/>
                <w:szCs w:val="17"/>
                <w:color w:val="auto"/>
              </w:rPr>
              <w:t>2,325</w:t>
            </w:r>
          </w:p>
        </w:tc>
        <w:tc>
          <w:tcPr>
            <w:tcW w:w="100" w:type="dxa"/>
            <w:vAlign w:val="bottom"/>
          </w:tcPr>
          <w:p>
            <w:pPr>
              <w:spacing w:after="0" w:line="187" w:lineRule="exact"/>
              <w:rPr>
                <w:sz w:val="20"/>
                <w:szCs w:val="20"/>
                <w:color w:val="auto"/>
              </w:rPr>
            </w:pPr>
            <w:r>
              <w:rPr>
                <w:rFonts w:ascii="Arial" w:cs="Arial" w:eastAsia="Arial" w:hAnsi="Arial"/>
                <w:sz w:val="17"/>
                <w:szCs w:val="17"/>
                <w:color w:val="auto"/>
                <w:w w:val="84"/>
              </w:rPr>
              <w:t>$</w:t>
            </w:r>
          </w:p>
        </w:tc>
        <w:tc>
          <w:tcPr>
            <w:tcW w:w="184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580" w:type="dxa"/>
            <w:vAlign w:val="bottom"/>
            <w:gridSpan w:val="2"/>
          </w:tcPr>
          <w:p>
            <w:pPr>
              <w:ind w:left="320"/>
              <w:spacing w:after="0" w:line="187" w:lineRule="exact"/>
              <w:rPr>
                <w:sz w:val="20"/>
                <w:szCs w:val="20"/>
                <w:color w:val="auto"/>
              </w:rPr>
            </w:pPr>
            <w:r>
              <w:rPr>
                <w:rFonts w:ascii="Arial" w:cs="Arial" w:eastAsia="Arial" w:hAnsi="Arial"/>
                <w:sz w:val="17"/>
                <w:szCs w:val="17"/>
                <w:color w:val="auto"/>
              </w:rPr>
              <w:t>$</w:t>
            </w:r>
          </w:p>
        </w:tc>
        <w:tc>
          <w:tcPr>
            <w:tcW w:w="1940" w:type="dxa"/>
            <w:vAlign w:val="bottom"/>
            <w:gridSpan w:val="2"/>
          </w:tcPr>
          <w:p>
            <w:pPr>
              <w:ind w:left="1120"/>
              <w:spacing w:after="0" w:line="187" w:lineRule="exact"/>
              <w:rPr>
                <w:sz w:val="20"/>
                <w:szCs w:val="20"/>
                <w:color w:val="auto"/>
              </w:rPr>
            </w:pPr>
            <w:r>
              <w:rPr>
                <w:rFonts w:ascii="Arial" w:cs="Arial" w:eastAsia="Arial" w:hAnsi="Arial"/>
                <w:sz w:val="17"/>
                <w:szCs w:val="17"/>
                <w:color w:val="auto"/>
              </w:rPr>
              <w:t>—</w:t>
            </w:r>
          </w:p>
        </w:tc>
        <w:tc>
          <w:tcPr>
            <w:tcW w:w="26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2,325</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08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Total financial liabilities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1380" w:type="dxa"/>
            <w:vAlign w:val="bottom"/>
            <w:tcBorders>
              <w:right w:val="single" w:sz="8" w:color="CCEEFF"/>
            </w:tcBorders>
            <w:gridSpan w:val="2"/>
            <w:shd w:val="clear" w:color="auto" w:fill="CCEEFF"/>
          </w:tcPr>
          <w:p>
            <w:pPr>
              <w:jc w:val="right"/>
              <w:ind w:right="640"/>
              <w:spacing w:after="0" w:line="187" w:lineRule="exact"/>
              <w:rPr>
                <w:sz w:val="20"/>
                <w:szCs w:val="20"/>
                <w:color w:val="auto"/>
              </w:rPr>
            </w:pPr>
            <w:r>
              <w:rPr>
                <w:rFonts w:ascii="Arial" w:cs="Arial" w:eastAsia="Arial" w:hAnsi="Arial"/>
                <w:sz w:val="17"/>
                <w:szCs w:val="17"/>
                <w:color w:val="auto"/>
              </w:rPr>
              <w:t>2,325</w:t>
            </w:r>
          </w:p>
        </w:tc>
        <w:tc>
          <w:tcPr>
            <w:tcW w:w="1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4"/>
              </w:rPr>
              <w:t>$</w:t>
            </w:r>
          </w:p>
        </w:tc>
        <w:tc>
          <w:tcPr>
            <w:tcW w:w="184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320"/>
              <w:spacing w:after="0" w:line="187" w:lineRule="exact"/>
              <w:rPr>
                <w:sz w:val="20"/>
                <w:szCs w:val="20"/>
                <w:color w:val="auto"/>
              </w:rPr>
            </w:pPr>
            <w:r>
              <w:rPr>
                <w:rFonts w:ascii="Arial" w:cs="Arial" w:eastAsia="Arial" w:hAnsi="Arial"/>
                <w:sz w:val="17"/>
                <w:szCs w:val="17"/>
                <w:color w:val="auto"/>
              </w:rPr>
              <w:t>$</w:t>
            </w:r>
          </w:p>
        </w:tc>
        <w:tc>
          <w:tcPr>
            <w:tcW w:w="1940" w:type="dxa"/>
            <w:vAlign w:val="bottom"/>
            <w:gridSpan w:val="2"/>
            <w:shd w:val="clear" w:color="auto" w:fill="CCEEFF"/>
          </w:tcPr>
          <w:p>
            <w:pPr>
              <w:ind w:left="1120"/>
              <w:spacing w:after="0" w:line="187"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2,325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Company’s warrant liability represented a level 3 investment as of June 30, 2020 (see Note 8). There have been no transfers between fair value levels during the six months ended June 30, 2019 and 2020.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240"/>
          </w:cols>
          <w:pgMar w:left="320" w:top="454" w:right="3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76"/>
        </w:trPr>
        <w:tc>
          <w:tcPr>
            <w:tcW w:w="89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81"/>
        </w:trPr>
        <w:tc>
          <w:tcPr>
            <w:tcW w:w="89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Laboratory equipment</w:t>
            </w:r>
          </w:p>
        </w:tc>
        <w:tc>
          <w:tcPr>
            <w:tcW w:w="2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6,766</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6,826</w:t>
            </w:r>
          </w:p>
        </w:tc>
        <w:tc>
          <w:tcPr>
            <w:tcW w:w="100" w:type="dxa"/>
            <w:vAlign w:val="bottom"/>
            <w:shd w:val="clear" w:color="auto" w:fill="CCEEFF"/>
          </w:tcPr>
          <w:p>
            <w:pPr>
              <w:spacing w:after="0"/>
              <w:rPr>
                <w:sz w:val="15"/>
                <w:szCs w:val="15"/>
                <w:color w:val="auto"/>
              </w:rPr>
            </w:pPr>
          </w:p>
        </w:tc>
      </w:tr>
      <w:tr>
        <w:trPr>
          <w:trHeight w:val="187"/>
        </w:trPr>
        <w:tc>
          <w:tcPr>
            <w:tcW w:w="8920" w:type="dxa"/>
            <w:vAlign w:val="bottom"/>
          </w:tcPr>
          <w:p>
            <w:pPr>
              <w:spacing w:after="0" w:line="187" w:lineRule="exact"/>
              <w:rPr>
                <w:sz w:val="20"/>
                <w:szCs w:val="20"/>
                <w:color w:val="auto"/>
              </w:rPr>
            </w:pPr>
            <w:r>
              <w:rPr>
                <w:rFonts w:ascii="Arial" w:cs="Arial" w:eastAsia="Arial" w:hAnsi="Arial"/>
                <w:sz w:val="17"/>
                <w:szCs w:val="17"/>
                <w:color w:val="auto"/>
              </w:rPr>
              <w:t>Computer equipment</w:t>
            </w:r>
          </w:p>
        </w:tc>
        <w:tc>
          <w:tcPr>
            <w:tcW w:w="220" w:type="dxa"/>
            <w:vAlign w:val="bottom"/>
          </w:tcPr>
          <w:p>
            <w:pPr>
              <w:spacing w:after="0"/>
              <w:rPr>
                <w:sz w:val="16"/>
                <w:szCs w:val="16"/>
                <w:color w:val="auto"/>
              </w:rPr>
            </w:pPr>
          </w:p>
        </w:tc>
        <w:tc>
          <w:tcPr>
            <w:tcW w:w="8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167</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167</w:t>
            </w:r>
          </w:p>
        </w:tc>
      </w:tr>
      <w:tr>
        <w:trPr>
          <w:trHeight w:val="187"/>
        </w:trPr>
        <w:tc>
          <w:tcPr>
            <w:tcW w:w="8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Furniture and fixtures</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797</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805</w:t>
            </w:r>
          </w:p>
        </w:tc>
      </w:tr>
      <w:tr>
        <w:trPr>
          <w:trHeight w:val="187"/>
        </w:trPr>
        <w:tc>
          <w:tcPr>
            <w:tcW w:w="8920" w:type="dxa"/>
            <w:vAlign w:val="bottom"/>
          </w:tcPr>
          <w:p>
            <w:pPr>
              <w:spacing w:after="0" w:line="187" w:lineRule="exact"/>
              <w:rPr>
                <w:sz w:val="20"/>
                <w:szCs w:val="20"/>
                <w:color w:val="auto"/>
              </w:rPr>
            </w:pPr>
            <w:r>
              <w:rPr>
                <w:rFonts w:ascii="Arial" w:cs="Arial" w:eastAsia="Arial" w:hAnsi="Arial"/>
                <w:sz w:val="17"/>
                <w:szCs w:val="17"/>
                <w:color w:val="auto"/>
              </w:rPr>
              <w:t>Office equipment</w:t>
            </w:r>
          </w:p>
        </w:tc>
        <w:tc>
          <w:tcPr>
            <w:tcW w:w="220" w:type="dxa"/>
            <w:vAlign w:val="bottom"/>
          </w:tcPr>
          <w:p>
            <w:pPr>
              <w:spacing w:after="0"/>
              <w:rPr>
                <w:sz w:val="16"/>
                <w:szCs w:val="16"/>
                <w:color w:val="auto"/>
              </w:rPr>
            </w:pPr>
          </w:p>
        </w:tc>
        <w:tc>
          <w:tcPr>
            <w:tcW w:w="8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167</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179</w:t>
            </w:r>
          </w:p>
        </w:tc>
      </w:tr>
      <w:tr>
        <w:trPr>
          <w:trHeight w:val="187"/>
        </w:trPr>
        <w:tc>
          <w:tcPr>
            <w:tcW w:w="8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Leasehold improvements</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520</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530</w:t>
            </w:r>
          </w:p>
        </w:tc>
      </w:tr>
      <w:tr>
        <w:trPr>
          <w:trHeight w:val="194"/>
        </w:trPr>
        <w:tc>
          <w:tcPr>
            <w:tcW w:w="8920" w:type="dxa"/>
            <w:vAlign w:val="bottom"/>
          </w:tcPr>
          <w:p>
            <w:pPr>
              <w:spacing w:after="0" w:line="194" w:lineRule="exact"/>
              <w:rPr>
                <w:sz w:val="20"/>
                <w:szCs w:val="20"/>
                <w:color w:val="auto"/>
              </w:rPr>
            </w:pPr>
            <w:r>
              <w:rPr>
                <w:rFonts w:ascii="Arial" w:cs="Arial" w:eastAsia="Arial" w:hAnsi="Arial"/>
                <w:sz w:val="17"/>
                <w:szCs w:val="17"/>
                <w:color w:val="auto"/>
              </w:rPr>
              <w:t>Total</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8,417</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8,507</w:t>
            </w:r>
          </w:p>
        </w:tc>
        <w:tc>
          <w:tcPr>
            <w:tcW w:w="100" w:type="dxa"/>
            <w:vAlign w:val="bottom"/>
          </w:tcPr>
          <w:p>
            <w:pPr>
              <w:spacing w:after="0"/>
              <w:rPr>
                <w:sz w:val="16"/>
                <w:szCs w:val="16"/>
                <w:color w:val="auto"/>
              </w:rPr>
            </w:pPr>
          </w:p>
        </w:tc>
      </w:tr>
      <w:tr>
        <w:trPr>
          <w:trHeight w:val="187"/>
        </w:trPr>
        <w:tc>
          <w:tcPr>
            <w:tcW w:w="8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Less: accumulated depreciation</w:t>
            </w: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40"/>
              <w:spacing w:after="0" w:line="187" w:lineRule="exact"/>
              <w:rPr>
                <w:sz w:val="20"/>
                <w:szCs w:val="20"/>
                <w:color w:val="auto"/>
              </w:rPr>
            </w:pPr>
            <w:r>
              <w:rPr>
                <w:rFonts w:ascii="Arial" w:cs="Arial" w:eastAsia="Arial" w:hAnsi="Arial"/>
                <w:sz w:val="17"/>
                <w:szCs w:val="17"/>
                <w:color w:val="auto"/>
              </w:rPr>
              <w:t>(3,954)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(4,787)</w:t>
            </w:r>
          </w:p>
        </w:tc>
      </w:tr>
      <w:tr>
        <w:trPr>
          <w:trHeight w:val="194"/>
        </w:trPr>
        <w:tc>
          <w:tcPr>
            <w:tcW w:w="8920" w:type="dxa"/>
            <w:vAlign w:val="bottom"/>
          </w:tcPr>
          <w:p>
            <w:pPr>
              <w:spacing w:after="0" w:line="194" w:lineRule="exact"/>
              <w:rPr>
                <w:sz w:val="20"/>
                <w:szCs w:val="20"/>
                <w:color w:val="auto"/>
              </w:rPr>
            </w:pPr>
            <w:r>
              <w:rPr>
                <w:rFonts w:ascii="Arial" w:cs="Arial" w:eastAsia="Arial" w:hAnsi="Arial"/>
                <w:sz w:val="17"/>
                <w:szCs w:val="17"/>
                <w:color w:val="auto"/>
              </w:rPr>
              <w:t>Property and equipment, net</w:t>
            </w:r>
          </w:p>
        </w:tc>
        <w:tc>
          <w:tcPr>
            <w:tcW w:w="2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4,463</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3,720</w:t>
            </w:r>
          </w:p>
        </w:tc>
        <w:tc>
          <w:tcPr>
            <w:tcW w:w="100" w:type="dxa"/>
            <w:vAlign w:val="bottom"/>
          </w:tcPr>
          <w:p>
            <w:pPr>
              <w:spacing w:after="0"/>
              <w:rPr>
                <w:sz w:val="16"/>
                <w:szCs w:val="16"/>
                <w:color w:val="auto"/>
              </w:rPr>
            </w:pPr>
          </w:p>
        </w:tc>
      </w:tr>
      <w:tr>
        <w:trPr>
          <w:trHeight w:val="20"/>
        </w:trPr>
        <w:tc>
          <w:tcPr>
            <w:tcW w:w="8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Total depreciation and amortization for each of the six-month periods ended June 30, 2019 and 2020 was $0.8 million. Of the $0.8 million for the six months ended June 30, 2019, $0.8 million was recorded in research and development expenses and an insignificant amount was recorded in general and administrative expenses. Of the $0.8 million for the six months ended June 30, 2020, $0.7 million was recorded in research and development expenses and $0.1 million was recorded in general and administrative expenses.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71"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In July 2017, the Company entered into a lease of office and laboratory space for its headquarters at 490 Arsenal Way in Watertown, Massachusetts (the “Watertown Lease”). The Watertown Lease commenced in April 2018 with rent commencing in May 2018, and the Company recognized operating lease costs of $2.0 million and $2.1 million for the six months ended June 30, 2019 and 2020, respectively.</w:t>
      </w:r>
    </w:p>
    <w:p>
      <w:pPr>
        <w:spacing w:after="0" w:line="111" w:lineRule="exact"/>
        <w:rPr>
          <w:sz w:val="20"/>
          <w:szCs w:val="20"/>
          <w:color w:val="auto"/>
        </w:rPr>
      </w:pPr>
    </w:p>
    <w:p>
      <w:pPr>
        <w:jc w:val="both"/>
        <w:ind w:right="580"/>
        <w:spacing w:after="0" w:line="273" w:lineRule="auto"/>
        <w:rPr>
          <w:sz w:val="20"/>
          <w:szCs w:val="20"/>
          <w:color w:val="auto"/>
        </w:rPr>
      </w:pPr>
      <w:r>
        <w:rPr>
          <w:rFonts w:ascii="Arial" w:cs="Arial" w:eastAsia="Arial" w:hAnsi="Arial"/>
          <w:sz w:val="16"/>
          <w:szCs w:val="16"/>
          <w:color w:val="auto"/>
        </w:rPr>
        <w:t>The Company incurred approximately $0.5 million in costs for leasehold improvements for the six months ended June 30, 2019. The Company incurred no costs for leasehold improvements for the six months ended June 30, 2020. The lease agreement required the Company to provide collateral in the amount of $2.6 million, which is recorded as restricted cash on the accompanying condensed consolidated balance sheets.</w:t>
      </w:r>
    </w:p>
    <w:p>
      <w:pPr>
        <w:spacing w:after="0" w:line="9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As of December 31, 2019, assets under the Watertown Lease classified as right-of-use assets on the Company’s condensed consolidated balance sheet were $14.5 million, net of accumulated amortization. Liabilities under the Watertown Lease were $13.7 million, of which $0.9 million were classified as operating lease liability, current, and $12.8 million were classified as operating lease liability, net of current, on the Company’s condensed consolidated balance sheet.</w:t>
      </w:r>
    </w:p>
    <w:p>
      <w:pPr>
        <w:spacing w:after="0" w:line="11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As of June 30, 2020, assets under the Watertown Lease classified as right-of-use assets on the Company’s condensed consolidated balance sheet were $13.9 million, net of accumulated amortization. Liabilities under the Watertown Lease were $13.3 million, of which $1.0 million were classified as operating lease liability, current, and $12.3 million were classified as operating lease liability, net of current, on the Company’s condensed consolidated balance sheet.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Company recorded right-of-use amortization of $0.6 million for the six months ended June 30, 2019 and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240"/>
          </w:cols>
          <w:pgMar w:left="320" w:top="454" w:right="3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elements of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0059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005955" cy="825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27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2780" w:type="dxa"/>
            <w:vAlign w:val="bottom"/>
            <w:tcBorders>
              <w:bottom w:val="single" w:sz="8" w:color="CCEEFF"/>
            </w:tcBorders>
          </w:tcPr>
          <w:p>
            <w:pPr>
              <w:spacing w:after="0"/>
              <w:rPr>
                <w:sz w:val="13"/>
                <w:szCs w:val="13"/>
                <w:color w:val="auto"/>
              </w:rPr>
            </w:pPr>
          </w:p>
        </w:tc>
        <w:tc>
          <w:tcPr>
            <w:tcW w:w="58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8"/>
              <w:spacing w:after="0" w:line="154"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3"/>
          </w:tcPr>
          <w:p>
            <w:pPr>
              <w:jc w:val="right"/>
              <w:ind w:right="161"/>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67"/>
        </w:trPr>
        <w:tc>
          <w:tcPr>
            <w:tcW w:w="86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Lease cost: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7"/>
        </w:trPr>
        <w:tc>
          <w:tcPr>
            <w:tcW w:w="86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Operating lease cost</w:t>
            </w:r>
          </w:p>
        </w:tc>
        <w:tc>
          <w:tcPr>
            <w:tcW w:w="12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729"/>
              <w:spacing w:after="0" w:line="187" w:lineRule="exact"/>
              <w:rPr>
                <w:sz w:val="20"/>
                <w:szCs w:val="20"/>
                <w:color w:val="auto"/>
              </w:rPr>
            </w:pPr>
            <w:r>
              <w:rPr>
                <w:rFonts w:ascii="Arial" w:cs="Arial" w:eastAsia="Arial" w:hAnsi="Arial"/>
                <w:sz w:val="17"/>
                <w:szCs w:val="17"/>
                <w:color w:val="auto"/>
              </w:rPr>
              <w:t>1,275</w:t>
            </w:r>
          </w:p>
        </w:tc>
        <w:tc>
          <w:tcPr>
            <w:tcW w:w="220" w:type="dxa"/>
            <w:vAlign w:val="bottom"/>
          </w:tcPr>
          <w:p>
            <w:pPr>
              <w:jc w:val="right"/>
              <w:ind w:right="49"/>
              <w:spacing w:after="0" w:line="187" w:lineRule="exact"/>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6"/>
                <w:szCs w:val="16"/>
                <w:color w:val="auto"/>
              </w:rPr>
            </w:pPr>
          </w:p>
        </w:tc>
        <w:tc>
          <w:tcPr>
            <w:tcW w:w="56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1,275</w:t>
            </w:r>
          </w:p>
        </w:tc>
        <w:tc>
          <w:tcPr>
            <w:tcW w:w="120" w:type="dxa"/>
            <w:vAlign w:val="bottom"/>
          </w:tcPr>
          <w:p>
            <w:pPr>
              <w:spacing w:after="0"/>
              <w:rPr>
                <w:sz w:val="16"/>
                <w:szCs w:val="16"/>
                <w:color w:val="auto"/>
              </w:rPr>
            </w:pPr>
          </w:p>
        </w:tc>
      </w:tr>
      <w:tr>
        <w:trPr>
          <w:trHeight w:val="187"/>
        </w:trPr>
        <w:tc>
          <w:tcPr>
            <w:tcW w:w="86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Variable lease cost</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729"/>
              <w:spacing w:after="0" w:line="187" w:lineRule="exact"/>
              <w:rPr>
                <w:sz w:val="20"/>
                <w:szCs w:val="20"/>
                <w:color w:val="auto"/>
              </w:rPr>
            </w:pPr>
            <w:r>
              <w:rPr>
                <w:rFonts w:ascii="Arial" w:cs="Arial" w:eastAsia="Arial" w:hAnsi="Arial"/>
                <w:sz w:val="17"/>
                <w:szCs w:val="17"/>
                <w:color w:val="auto"/>
              </w:rPr>
              <w:t>721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787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8600" w:type="dxa"/>
            <w:vAlign w:val="bottom"/>
            <w:gridSpan w:val="2"/>
          </w:tcPr>
          <w:p>
            <w:pPr>
              <w:ind w:left="500"/>
              <w:spacing w:after="0" w:line="194" w:lineRule="exact"/>
              <w:rPr>
                <w:sz w:val="20"/>
                <w:szCs w:val="20"/>
                <w:color w:val="auto"/>
              </w:rPr>
            </w:pPr>
            <w:r>
              <w:rPr>
                <w:rFonts w:ascii="Arial" w:cs="Arial" w:eastAsia="Arial" w:hAnsi="Arial"/>
                <w:sz w:val="17"/>
                <w:szCs w:val="17"/>
                <w:color w:val="auto"/>
              </w:rPr>
              <w:t>Total lease cost</w:t>
            </w:r>
          </w:p>
        </w:tc>
        <w:tc>
          <w:tcPr>
            <w:tcW w:w="1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1,996</w:t>
            </w:r>
          </w:p>
        </w:tc>
        <w:tc>
          <w:tcPr>
            <w:tcW w:w="8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line="194" w:lineRule="exact"/>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2,062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7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860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Other information:</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86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Operating cash flows for operating liabilities</w:t>
            </w:r>
          </w:p>
        </w:tc>
        <w:tc>
          <w:tcPr>
            <w:tcW w:w="12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729"/>
              <w:spacing w:after="0" w:line="187" w:lineRule="exact"/>
              <w:rPr>
                <w:sz w:val="20"/>
                <w:szCs w:val="20"/>
                <w:color w:val="auto"/>
              </w:rPr>
            </w:pPr>
            <w:r>
              <w:rPr>
                <w:rFonts w:ascii="Arial" w:cs="Arial" w:eastAsia="Arial" w:hAnsi="Arial"/>
                <w:sz w:val="17"/>
                <w:szCs w:val="17"/>
                <w:color w:val="auto"/>
              </w:rPr>
              <w:t>1,791</w:t>
            </w:r>
          </w:p>
        </w:tc>
        <w:tc>
          <w:tcPr>
            <w:tcW w:w="220" w:type="dxa"/>
            <w:vAlign w:val="bottom"/>
          </w:tcPr>
          <w:p>
            <w:pPr>
              <w:jc w:val="right"/>
              <w:ind w:right="49"/>
              <w:spacing w:after="0" w:line="187" w:lineRule="exact"/>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6"/>
                <w:szCs w:val="16"/>
                <w:color w:val="auto"/>
              </w:rPr>
            </w:pPr>
          </w:p>
        </w:tc>
        <w:tc>
          <w:tcPr>
            <w:tcW w:w="56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1,890</w:t>
            </w:r>
          </w:p>
        </w:tc>
        <w:tc>
          <w:tcPr>
            <w:tcW w:w="120" w:type="dxa"/>
            <w:vAlign w:val="bottom"/>
          </w:tcPr>
          <w:p>
            <w:pPr>
              <w:spacing w:after="0"/>
              <w:rPr>
                <w:sz w:val="16"/>
                <w:szCs w:val="16"/>
                <w:color w:val="auto"/>
              </w:rPr>
            </w:pPr>
          </w:p>
        </w:tc>
      </w:tr>
      <w:tr>
        <w:trPr>
          <w:trHeight w:val="187"/>
        </w:trPr>
        <w:tc>
          <w:tcPr>
            <w:tcW w:w="86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Operating lease liabilities arising from obtaining right-of-use assets</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729"/>
              <w:spacing w:after="0" w:line="187"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w:t>
            </w:r>
          </w:p>
        </w:tc>
      </w:tr>
      <w:tr>
        <w:trPr>
          <w:trHeight w:val="187"/>
        </w:trPr>
        <w:tc>
          <w:tcPr>
            <w:tcW w:w="8600" w:type="dxa"/>
            <w:vAlign w:val="bottom"/>
            <w:gridSpan w:val="2"/>
          </w:tcPr>
          <w:p>
            <w:pPr>
              <w:ind w:left="260"/>
              <w:spacing w:after="0" w:line="187" w:lineRule="exact"/>
              <w:rPr>
                <w:sz w:val="20"/>
                <w:szCs w:val="20"/>
                <w:color w:val="auto"/>
              </w:rPr>
            </w:pPr>
            <w:r>
              <w:rPr>
                <w:rFonts w:ascii="Arial" w:cs="Arial" w:eastAsia="Arial" w:hAnsi="Arial"/>
                <w:sz w:val="17"/>
                <w:szCs w:val="17"/>
                <w:color w:val="auto"/>
              </w:rPr>
              <w:t>Weighted average remaining lease term</w:t>
            </w:r>
          </w:p>
        </w:tc>
        <w:tc>
          <w:tcPr>
            <w:tcW w:w="120" w:type="dxa"/>
            <w:vAlign w:val="bottom"/>
          </w:tcPr>
          <w:p>
            <w:pPr>
              <w:spacing w:after="0"/>
              <w:rPr>
                <w:sz w:val="16"/>
                <w:szCs w:val="16"/>
                <w:color w:val="auto"/>
              </w:rPr>
            </w:pPr>
          </w:p>
        </w:tc>
        <w:tc>
          <w:tcPr>
            <w:tcW w:w="1500" w:type="dxa"/>
            <w:vAlign w:val="bottom"/>
            <w:gridSpan w:val="2"/>
          </w:tcPr>
          <w:p>
            <w:pPr>
              <w:jc w:val="right"/>
              <w:ind w:right="729"/>
              <w:spacing w:after="0" w:line="187" w:lineRule="exact"/>
              <w:rPr>
                <w:sz w:val="20"/>
                <w:szCs w:val="20"/>
                <w:color w:val="auto"/>
              </w:rPr>
            </w:pPr>
            <w:r>
              <w:rPr>
                <w:rFonts w:ascii="Arial" w:cs="Arial" w:eastAsia="Arial" w:hAnsi="Arial"/>
                <w:sz w:val="17"/>
                <w:szCs w:val="17"/>
                <w:color w:val="auto"/>
                <w:w w:val="97"/>
              </w:rPr>
              <w:t>8.8 years</w:t>
            </w:r>
          </w:p>
        </w:tc>
        <w:tc>
          <w:tcPr>
            <w:tcW w:w="1020" w:type="dxa"/>
            <w:vAlign w:val="bottom"/>
            <w:gridSpan w:val="5"/>
          </w:tcPr>
          <w:p>
            <w:pPr>
              <w:jc w:val="right"/>
              <w:ind w:right="200"/>
              <w:spacing w:after="0" w:line="187" w:lineRule="exact"/>
              <w:rPr>
                <w:sz w:val="20"/>
                <w:szCs w:val="20"/>
                <w:color w:val="auto"/>
              </w:rPr>
            </w:pPr>
            <w:r>
              <w:rPr>
                <w:rFonts w:ascii="Arial" w:cs="Arial" w:eastAsia="Arial" w:hAnsi="Arial"/>
                <w:sz w:val="17"/>
                <w:szCs w:val="17"/>
                <w:color w:val="auto"/>
              </w:rPr>
              <w:t>7.8 years</w:t>
            </w:r>
          </w:p>
        </w:tc>
      </w:tr>
      <w:tr>
        <w:trPr>
          <w:trHeight w:val="187"/>
        </w:trPr>
        <w:tc>
          <w:tcPr>
            <w:tcW w:w="86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Weighted average discount rate</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569"/>
              <w:spacing w:after="0" w:line="187" w:lineRule="exact"/>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10%</w:t>
            </w:r>
          </w:p>
        </w:tc>
      </w:tr>
      <w:tr>
        <w:trPr>
          <w:trHeight w:val="254"/>
        </w:trPr>
        <w:tc>
          <w:tcPr>
            <w:tcW w:w="2780" w:type="dxa"/>
            <w:vAlign w:val="bottom"/>
            <w:tcBorders>
              <w:bottom w:val="single" w:sz="8" w:color="auto"/>
            </w:tcBorders>
          </w:tcPr>
          <w:p>
            <w:pPr>
              <w:spacing w:after="0"/>
              <w:rPr>
                <w:sz w:val="22"/>
                <w:szCs w:val="22"/>
                <w:color w:val="auto"/>
              </w:rPr>
            </w:pPr>
          </w:p>
        </w:tc>
        <w:tc>
          <w:tcPr>
            <w:tcW w:w="5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r>
      <w:tr>
        <w:trPr>
          <w:trHeight w:val="301"/>
        </w:trPr>
        <w:tc>
          <w:tcPr>
            <w:tcW w:w="8600" w:type="dxa"/>
            <w:vAlign w:val="bottom"/>
            <w:gridSpan w:val="2"/>
          </w:tcPr>
          <w:p>
            <w:pPr>
              <w:spacing w:after="0"/>
              <w:rPr>
                <w:sz w:val="20"/>
                <w:szCs w:val="20"/>
                <w:color w:val="auto"/>
              </w:rPr>
            </w:pPr>
            <w:r>
              <w:rPr>
                <w:rFonts w:ascii="Arial" w:cs="Arial" w:eastAsia="Arial" w:hAnsi="Arial"/>
                <w:sz w:val="17"/>
                <w:szCs w:val="17"/>
                <w:color w:val="auto"/>
              </w:rPr>
              <w:t>Future lease payments under non-cancelable leases as of June 30, 2020 were (in thousands):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0"/>
        </w:trPr>
        <w:tc>
          <w:tcPr>
            <w:tcW w:w="278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395"/>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FUTURE OPERATING LEASE PAYMENTS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
        </w:trPr>
        <w:tc>
          <w:tcPr>
            <w:tcW w:w="2780" w:type="dxa"/>
            <w:vAlign w:val="bottom"/>
            <w:shd w:val="clear" w:color="auto" w:fill="000000"/>
          </w:tcPr>
          <w:p>
            <w:pPr>
              <w:spacing w:after="0"/>
              <w:rPr>
                <w:sz w:val="20"/>
                <w:szCs w:val="20"/>
                <w:color w:val="auto"/>
              </w:rPr>
            </w:pPr>
            <w:r>
              <w:rPr>
                <w:rFonts w:ascii="Arial" w:cs="Arial" w:eastAsia="Arial" w:hAnsi="Arial"/>
                <w:sz w:val="1"/>
                <w:szCs w:val="1"/>
                <w:color w:val="auto"/>
              </w:rPr>
              <w:t>2020</w:t>
            </w:r>
          </w:p>
        </w:tc>
        <w:tc>
          <w:tcPr>
            <w:tcW w:w="5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
                <w:szCs w:val="1"/>
                <w:color w:val="auto"/>
              </w:rPr>
              <w:t>1,103</w:t>
            </w:r>
          </w:p>
        </w:tc>
      </w:tr>
      <w:tr>
        <w:trPr>
          <w:trHeight w:val="184"/>
        </w:trPr>
        <w:tc>
          <w:tcPr>
            <w:tcW w:w="2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w:t>
            </w:r>
          </w:p>
        </w:tc>
        <w:tc>
          <w:tcPr>
            <w:tcW w:w="5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2780" w:type="dxa"/>
            <w:vAlign w:val="bottom"/>
          </w:tcPr>
          <w:p>
            <w:pPr>
              <w:spacing w:after="0" w:line="187" w:lineRule="exact"/>
              <w:rPr>
                <w:sz w:val="20"/>
                <w:szCs w:val="20"/>
                <w:color w:val="auto"/>
              </w:rPr>
            </w:pPr>
            <w:r>
              <w:rPr>
                <w:rFonts w:ascii="Arial" w:cs="Arial" w:eastAsia="Arial" w:hAnsi="Arial"/>
                <w:sz w:val="17"/>
                <w:szCs w:val="17"/>
                <w:color w:val="auto"/>
              </w:rPr>
              <w:t>2021</w:t>
            </w: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2,272</w:t>
            </w:r>
          </w:p>
        </w:tc>
      </w:tr>
      <w:tr>
        <w:trPr>
          <w:trHeight w:val="187"/>
        </w:trPr>
        <w:tc>
          <w:tcPr>
            <w:tcW w:w="2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2022</w:t>
            </w:r>
          </w:p>
        </w:tc>
        <w:tc>
          <w:tcPr>
            <w:tcW w:w="5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2,340</w:t>
            </w:r>
          </w:p>
        </w:tc>
      </w:tr>
      <w:tr>
        <w:trPr>
          <w:trHeight w:val="187"/>
        </w:trPr>
        <w:tc>
          <w:tcPr>
            <w:tcW w:w="2780" w:type="dxa"/>
            <w:vAlign w:val="bottom"/>
          </w:tcPr>
          <w:p>
            <w:pPr>
              <w:spacing w:after="0" w:line="187" w:lineRule="exact"/>
              <w:rPr>
                <w:sz w:val="20"/>
                <w:szCs w:val="20"/>
                <w:color w:val="auto"/>
              </w:rPr>
            </w:pPr>
            <w:r>
              <w:rPr>
                <w:rFonts w:ascii="Arial" w:cs="Arial" w:eastAsia="Arial" w:hAnsi="Arial"/>
                <w:sz w:val="17"/>
                <w:szCs w:val="17"/>
                <w:color w:val="auto"/>
              </w:rPr>
              <w:t>2023</w:t>
            </w: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2,410</w:t>
            </w:r>
          </w:p>
        </w:tc>
      </w:tr>
      <w:tr>
        <w:trPr>
          <w:trHeight w:val="187"/>
        </w:trPr>
        <w:tc>
          <w:tcPr>
            <w:tcW w:w="2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2024</w:t>
            </w:r>
          </w:p>
        </w:tc>
        <w:tc>
          <w:tcPr>
            <w:tcW w:w="5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2,483</w:t>
            </w:r>
          </w:p>
        </w:tc>
      </w:tr>
      <w:tr>
        <w:trPr>
          <w:trHeight w:val="187"/>
        </w:trPr>
        <w:tc>
          <w:tcPr>
            <w:tcW w:w="8600" w:type="dxa"/>
            <w:vAlign w:val="bottom"/>
            <w:gridSpan w:val="2"/>
          </w:tcPr>
          <w:p>
            <w:pPr>
              <w:spacing w:after="0" w:line="187" w:lineRule="exact"/>
              <w:rPr>
                <w:sz w:val="20"/>
                <w:szCs w:val="20"/>
                <w:color w:val="auto"/>
              </w:rPr>
            </w:pPr>
            <w:r>
              <w:rPr>
                <w:rFonts w:ascii="Arial" w:cs="Arial" w:eastAsia="Arial" w:hAnsi="Arial"/>
                <w:sz w:val="17"/>
                <w:szCs w:val="17"/>
                <w:color w:val="auto"/>
              </w:rPr>
              <w:t>Thereafter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8,833</w:t>
            </w:r>
          </w:p>
        </w:tc>
      </w:tr>
      <w:tr>
        <w:trPr>
          <w:trHeight w:val="27"/>
        </w:trPr>
        <w:tc>
          <w:tcPr>
            <w:tcW w:w="27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8600" w:type="dxa"/>
            <w:vAlign w:val="bottom"/>
            <w:gridSpan w:val="2"/>
            <w:shd w:val="clear" w:color="auto" w:fill="CCEEFF"/>
          </w:tcPr>
          <w:p>
            <w:pPr>
              <w:ind w:left="260"/>
              <w:spacing w:after="0" w:line="187" w:lineRule="exact"/>
              <w:rPr>
                <w:sz w:val="20"/>
                <w:szCs w:val="20"/>
                <w:color w:val="auto"/>
              </w:rPr>
            </w:pPr>
            <w:r>
              <w:rPr>
                <w:rFonts w:ascii="Arial" w:cs="Arial" w:eastAsia="Arial" w:hAnsi="Arial"/>
                <w:sz w:val="17"/>
                <w:szCs w:val="17"/>
                <w:color w:val="auto"/>
              </w:rPr>
              <w:t>Total lease payments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19,441</w:t>
            </w:r>
          </w:p>
        </w:tc>
      </w:tr>
      <w:tr>
        <w:trPr>
          <w:trHeight w:val="187"/>
        </w:trPr>
        <w:tc>
          <w:tcPr>
            <w:tcW w:w="8600" w:type="dxa"/>
            <w:vAlign w:val="bottom"/>
            <w:gridSpan w:val="2"/>
          </w:tcPr>
          <w:p>
            <w:pPr>
              <w:spacing w:after="0" w:line="187" w:lineRule="exact"/>
              <w:rPr>
                <w:sz w:val="20"/>
                <w:szCs w:val="20"/>
                <w:color w:val="auto"/>
              </w:rPr>
            </w:pPr>
            <w:r>
              <w:rPr>
                <w:rFonts w:ascii="Arial" w:cs="Arial" w:eastAsia="Arial" w:hAnsi="Arial"/>
                <w:sz w:val="17"/>
                <w:szCs w:val="17"/>
                <w:color w:val="auto"/>
              </w:rPr>
              <w:t>Less imputed interest</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60"/>
              <w:spacing w:after="0" w:line="187" w:lineRule="exact"/>
              <w:rPr>
                <w:sz w:val="20"/>
                <w:szCs w:val="20"/>
                <w:color w:val="auto"/>
              </w:rPr>
            </w:pPr>
            <w:r>
              <w:rPr>
                <w:rFonts w:ascii="Arial" w:cs="Arial" w:eastAsia="Arial" w:hAnsi="Arial"/>
                <w:sz w:val="17"/>
                <w:szCs w:val="17"/>
                <w:color w:val="auto"/>
              </w:rPr>
              <w:t>(6,121)</w:t>
            </w:r>
          </w:p>
        </w:tc>
      </w:tr>
      <w:tr>
        <w:trPr>
          <w:trHeight w:val="27"/>
        </w:trPr>
        <w:tc>
          <w:tcPr>
            <w:tcW w:w="27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86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Total operating lease liabilities at June 30, 2020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20" w:type="dxa"/>
            <w:vAlign w:val="bottom"/>
            <w:gridSpan w:val="5"/>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$ 13,320</w:t>
            </w:r>
          </w:p>
        </w:tc>
      </w:tr>
      <w:tr>
        <w:trPr>
          <w:trHeight w:val="20"/>
        </w:trPr>
        <w:tc>
          <w:tcPr>
            <w:tcW w:w="27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335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53"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w:t>
        <w:tab/>
        <w:t>For the six months ended December 31,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consisted of the following as of December 31, 2019 and June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335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r>
      <w:tr>
        <w:trPr>
          <w:trHeight w:val="176"/>
        </w:trPr>
        <w:tc>
          <w:tcPr>
            <w:tcW w:w="89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1"/>
        </w:trPr>
        <w:tc>
          <w:tcPr>
            <w:tcW w:w="89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Accrued compensation and benefits</w:t>
            </w:r>
          </w:p>
        </w:tc>
        <w:tc>
          <w:tcPr>
            <w:tcW w:w="2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3,048</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2,141</w:t>
            </w:r>
          </w:p>
        </w:tc>
        <w:tc>
          <w:tcPr>
            <w:tcW w:w="60" w:type="dxa"/>
            <w:vAlign w:val="bottom"/>
            <w:shd w:val="clear" w:color="auto" w:fill="CCEEFF"/>
          </w:tcPr>
          <w:p>
            <w:pPr>
              <w:spacing w:after="0"/>
              <w:rPr>
                <w:sz w:val="15"/>
                <w:szCs w:val="15"/>
                <w:color w:val="auto"/>
              </w:rPr>
            </w:pPr>
          </w:p>
        </w:tc>
      </w:tr>
      <w:tr>
        <w:trPr>
          <w:trHeight w:val="187"/>
        </w:trPr>
        <w:tc>
          <w:tcPr>
            <w:tcW w:w="8920" w:type="dxa"/>
            <w:vAlign w:val="bottom"/>
          </w:tcPr>
          <w:p>
            <w:pPr>
              <w:spacing w:after="0" w:line="187" w:lineRule="exact"/>
              <w:rPr>
                <w:sz w:val="20"/>
                <w:szCs w:val="20"/>
                <w:color w:val="auto"/>
              </w:rPr>
            </w:pPr>
            <w:r>
              <w:rPr>
                <w:rFonts w:ascii="Arial" w:cs="Arial" w:eastAsia="Arial" w:hAnsi="Arial"/>
                <w:sz w:val="17"/>
                <w:szCs w:val="17"/>
                <w:color w:val="auto"/>
              </w:rPr>
              <w:t>Accrued professional fees</w:t>
            </w:r>
          </w:p>
        </w:tc>
        <w:tc>
          <w:tcPr>
            <w:tcW w:w="220" w:type="dxa"/>
            <w:vAlign w:val="bottom"/>
          </w:tcPr>
          <w:p>
            <w:pPr>
              <w:spacing w:after="0"/>
              <w:rPr>
                <w:sz w:val="16"/>
                <w:szCs w:val="16"/>
                <w:color w:val="auto"/>
              </w:rPr>
            </w:pPr>
          </w:p>
        </w:tc>
        <w:tc>
          <w:tcPr>
            <w:tcW w:w="1420" w:type="dxa"/>
            <w:vAlign w:val="bottom"/>
            <w:gridSpan w:val="2"/>
          </w:tcPr>
          <w:p>
            <w:pPr>
              <w:jc w:val="right"/>
              <w:ind w:right="580"/>
              <w:spacing w:after="0" w:line="187" w:lineRule="exact"/>
              <w:rPr>
                <w:sz w:val="20"/>
                <w:szCs w:val="20"/>
                <w:color w:val="auto"/>
              </w:rPr>
            </w:pPr>
            <w:r>
              <w:rPr>
                <w:rFonts w:ascii="Arial" w:cs="Arial" w:eastAsia="Arial" w:hAnsi="Arial"/>
                <w:sz w:val="17"/>
                <w:szCs w:val="17"/>
                <w:color w:val="auto"/>
              </w:rPr>
              <w:t>728</w:t>
            </w:r>
          </w:p>
        </w:tc>
        <w:tc>
          <w:tcPr>
            <w:tcW w:w="120" w:type="dxa"/>
            <w:vAlign w:val="bottom"/>
          </w:tcPr>
          <w:p>
            <w:pPr>
              <w:spacing w:after="0"/>
              <w:rPr>
                <w:sz w:val="16"/>
                <w:szCs w:val="16"/>
                <w:color w:val="auto"/>
              </w:rPr>
            </w:pPr>
          </w:p>
        </w:tc>
        <w:tc>
          <w:tcPr>
            <w:tcW w:w="5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1,306</w:t>
            </w:r>
          </w:p>
        </w:tc>
      </w:tr>
      <w:tr>
        <w:trPr>
          <w:trHeight w:val="187"/>
        </w:trPr>
        <w:tc>
          <w:tcPr>
            <w:tcW w:w="8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Accrued research and development</w:t>
            </w: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line="187" w:lineRule="exact"/>
              <w:rPr>
                <w:sz w:val="20"/>
                <w:szCs w:val="20"/>
                <w:color w:val="auto"/>
              </w:rPr>
            </w:pPr>
            <w:r>
              <w:rPr>
                <w:rFonts w:ascii="Arial" w:cs="Arial" w:eastAsia="Arial" w:hAnsi="Arial"/>
                <w:sz w:val="17"/>
                <w:szCs w:val="17"/>
                <w:color w:val="auto"/>
              </w:rPr>
              <w:t>2,615</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2,059</w:t>
            </w:r>
          </w:p>
        </w:tc>
      </w:tr>
      <w:tr>
        <w:trPr>
          <w:trHeight w:val="187"/>
        </w:trPr>
        <w:tc>
          <w:tcPr>
            <w:tcW w:w="8920" w:type="dxa"/>
            <w:vAlign w:val="bottom"/>
          </w:tcPr>
          <w:p>
            <w:pPr>
              <w:spacing w:after="0" w:line="187" w:lineRule="exact"/>
              <w:rPr>
                <w:sz w:val="20"/>
                <w:szCs w:val="20"/>
                <w:color w:val="auto"/>
              </w:rPr>
            </w:pPr>
            <w:r>
              <w:rPr>
                <w:rFonts w:ascii="Arial" w:cs="Arial" w:eastAsia="Arial" w:hAnsi="Arial"/>
                <w:sz w:val="17"/>
                <w:szCs w:val="17"/>
                <w:color w:val="auto"/>
              </w:rPr>
              <w:t>Other</w:t>
            </w:r>
          </w:p>
        </w:tc>
        <w:tc>
          <w:tcPr>
            <w:tcW w:w="220" w:type="dxa"/>
            <w:vAlign w:val="bottom"/>
          </w:tcPr>
          <w:p>
            <w:pPr>
              <w:spacing w:after="0"/>
              <w:rPr>
                <w:sz w:val="16"/>
                <w:szCs w:val="16"/>
                <w:color w:val="auto"/>
              </w:rPr>
            </w:pPr>
          </w:p>
        </w:tc>
        <w:tc>
          <w:tcPr>
            <w:tcW w:w="840" w:type="dxa"/>
            <w:vAlign w:val="bottom"/>
          </w:tcPr>
          <w:p>
            <w:pPr>
              <w:jc w:val="right"/>
              <w:spacing w:after="0" w:line="187" w:lineRule="exact"/>
              <w:rPr>
                <w:sz w:val="20"/>
                <w:szCs w:val="20"/>
                <w:color w:val="auto"/>
              </w:rPr>
            </w:pPr>
            <w:r>
              <w:rPr>
                <w:rFonts w:ascii="Arial" w:cs="Arial" w:eastAsia="Arial" w:hAnsi="Arial"/>
                <w:sz w:val="17"/>
                <w:szCs w:val="17"/>
                <w:color w:val="auto"/>
              </w:rPr>
              <w:t>280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623</w:t>
            </w:r>
          </w:p>
        </w:tc>
      </w:tr>
      <w:tr>
        <w:trPr>
          <w:trHeight w:val="27"/>
        </w:trPr>
        <w:tc>
          <w:tcPr>
            <w:tcW w:w="8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89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accrued expenses and other current liabilities</w:t>
            </w:r>
          </w:p>
        </w:tc>
        <w:tc>
          <w:tcPr>
            <w:tcW w:w="2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6,671</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6,129</w:t>
            </w:r>
          </w:p>
        </w:tc>
      </w:tr>
      <w:tr>
        <w:trPr>
          <w:trHeight w:val="20"/>
        </w:trPr>
        <w:tc>
          <w:tcPr>
            <w:tcW w:w="8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335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and License Agreements</w:t>
      </w:r>
    </w:p>
    <w:p>
      <w:pPr>
        <w:spacing w:after="0" w:line="57"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The following tables summarize the impact of the collaboration and license agreements on the Company’s condensed consolidated statements of operations and comprehensive loss for the six months ended June 30, 2019 and 2020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240"/>
          </w:cols>
          <w:pgMar w:left="320" w:top="454" w:right="3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and the Company’s condensed consolidated balance sheet as of December 31, 2019 and June 30, 2020. For details on the structure and accounting treatment for the Company’s collaboration and license agreements, refer to the annual consolidated financial statements included elsewhere in this prospectus.</w:t>
      </w:r>
    </w:p>
    <w:p>
      <w:pPr>
        <w:spacing w:after="0" w:line="11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Revenue for the six months ended June 30, 2019 and 2020 in the condensed consolidated statements of operations and comprehensive loss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1335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154"/>
        </w:trPr>
        <w:tc>
          <w:tcPr>
            <w:tcW w:w="84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60"/>
              <w:spacing w:after="0" w:line="154"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9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8"/>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1"/>
        </w:trPr>
        <w:tc>
          <w:tcPr>
            <w:tcW w:w="84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Restated Roche Agreement Collaboration Revenue</w:t>
            </w:r>
          </w:p>
        </w:tc>
        <w:tc>
          <w:tcPr>
            <w:tcW w:w="1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2,112</w:t>
            </w: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3"/>
              </w:rPr>
              <w:t>6,029</w:t>
            </w:r>
          </w:p>
        </w:tc>
        <w:tc>
          <w:tcPr>
            <w:tcW w:w="60" w:type="dxa"/>
            <w:vAlign w:val="bottom"/>
            <w:shd w:val="clear" w:color="auto" w:fill="CCEEFF"/>
          </w:tcPr>
          <w:p>
            <w:pPr>
              <w:spacing w:after="0"/>
              <w:rPr>
                <w:sz w:val="15"/>
                <w:szCs w:val="15"/>
                <w:color w:val="auto"/>
              </w:rPr>
            </w:pPr>
          </w:p>
        </w:tc>
      </w:tr>
      <w:tr>
        <w:trPr>
          <w:trHeight w:val="187"/>
        </w:trPr>
        <w:tc>
          <w:tcPr>
            <w:tcW w:w="8420" w:type="dxa"/>
            <w:vAlign w:val="bottom"/>
          </w:tcPr>
          <w:p>
            <w:pPr>
              <w:spacing w:after="0" w:line="187" w:lineRule="exact"/>
              <w:rPr>
                <w:sz w:val="20"/>
                <w:szCs w:val="20"/>
                <w:color w:val="auto"/>
              </w:rPr>
            </w:pPr>
            <w:r>
              <w:rPr>
                <w:rFonts w:ascii="Arial" w:cs="Arial" w:eastAsia="Arial" w:hAnsi="Arial"/>
                <w:sz w:val="17"/>
                <w:szCs w:val="17"/>
                <w:color w:val="auto"/>
              </w:rPr>
              <w:t>Biogen License Agreement Collaboration Revenue</w:t>
            </w:r>
          </w:p>
        </w:tc>
        <w:tc>
          <w:tcPr>
            <w:tcW w:w="180" w:type="dxa"/>
            <w:vAlign w:val="bottom"/>
          </w:tcPr>
          <w:p>
            <w:pPr>
              <w:spacing w:after="0"/>
              <w:rPr>
                <w:sz w:val="16"/>
                <w:szCs w:val="16"/>
                <w:color w:val="auto"/>
              </w:rPr>
            </w:pPr>
          </w:p>
        </w:tc>
        <w:tc>
          <w:tcPr>
            <w:tcW w:w="6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1,065</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ind w:left="360"/>
              <w:spacing w:after="0" w:line="187" w:lineRule="exact"/>
              <w:rPr>
                <w:sz w:val="20"/>
                <w:szCs w:val="20"/>
                <w:color w:val="auto"/>
              </w:rPr>
            </w:pPr>
            <w:r>
              <w:rPr>
                <w:rFonts w:ascii="Arial" w:cs="Arial" w:eastAsia="Arial" w:hAnsi="Arial"/>
                <w:sz w:val="17"/>
                <w:szCs w:val="17"/>
                <w:color w:val="auto"/>
              </w:rPr>
              <w:t>3,302</w:t>
            </w:r>
          </w:p>
        </w:tc>
      </w:tr>
      <w:tr>
        <w:trPr>
          <w:trHeight w:val="187"/>
        </w:trPr>
        <w:tc>
          <w:tcPr>
            <w:tcW w:w="84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Calico License Agreement Collaboration Revenue</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4,630</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360"/>
              <w:spacing w:after="0" w:line="187" w:lineRule="exact"/>
              <w:rPr>
                <w:sz w:val="20"/>
                <w:szCs w:val="20"/>
                <w:color w:val="auto"/>
              </w:rPr>
            </w:pPr>
            <w:r>
              <w:rPr>
                <w:rFonts w:ascii="Arial" w:cs="Arial" w:eastAsia="Arial" w:hAnsi="Arial"/>
                <w:sz w:val="17"/>
                <w:szCs w:val="17"/>
                <w:color w:val="auto"/>
              </w:rPr>
              <w:t>7,155</w:t>
            </w:r>
          </w:p>
        </w:tc>
      </w:tr>
      <w:tr>
        <w:trPr>
          <w:trHeight w:val="194"/>
        </w:trPr>
        <w:tc>
          <w:tcPr>
            <w:tcW w:w="84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7,807</w:t>
            </w:r>
          </w:p>
        </w:tc>
        <w:tc>
          <w:tcPr>
            <w:tcW w:w="2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16,486</w:t>
            </w:r>
          </w:p>
        </w:tc>
        <w:tc>
          <w:tcPr>
            <w:tcW w:w="60" w:type="dxa"/>
            <w:vAlign w:val="bottom"/>
          </w:tcPr>
          <w:p>
            <w:pPr>
              <w:spacing w:after="0"/>
              <w:rPr>
                <w:sz w:val="16"/>
                <w:szCs w:val="16"/>
                <w:color w:val="auto"/>
              </w:rPr>
            </w:pPr>
          </w:p>
        </w:tc>
      </w:tr>
      <w:tr>
        <w:trPr>
          <w:trHeight w:val="20"/>
        </w:trPr>
        <w:tc>
          <w:tcPr>
            <w:tcW w:w="8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335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Revenue for the six months ended June 30, 2019 was $7.8 million, compared with $16.5 million for the six months ended June 30, 2020. Under the Restated Roche Agreement, the Company achieved a milestone for the identification of lead series for target 2 in April 2019, resulting in a milestone payment of $2.0 million which was originally recorded as accounts receivable and deferred revenue on the Company’s condensed consolidated balance sheet as of June 30, 2019. The $2.0 million was added to the transaction price and recognized cumulatively. The Company also achieved a $4.0 million milestone under the Biogen Agreement in the six months ended June 30, 2020, which was also originally recorded as accounts receivable and deferred revenue on the Company’s condensed consolidated balance sheet as of June 30, 2020, added to the transaction price and recognized cumulatively.</w:t>
      </w:r>
    </w:p>
    <w:p>
      <w:pPr>
        <w:spacing w:after="0" w:line="120" w:lineRule="exact"/>
        <w:rPr>
          <w:sz w:val="20"/>
          <w:szCs w:val="20"/>
          <w:color w:val="auto"/>
        </w:rPr>
      </w:pPr>
    </w:p>
    <w:p>
      <w:pPr>
        <w:ind w:right="620"/>
        <w:spacing w:after="0" w:line="271" w:lineRule="auto"/>
        <w:rPr>
          <w:sz w:val="20"/>
          <w:szCs w:val="20"/>
          <w:color w:val="auto"/>
        </w:rPr>
      </w:pPr>
      <w:r>
        <w:rPr>
          <w:rFonts w:ascii="Arial" w:cs="Arial" w:eastAsia="Arial" w:hAnsi="Arial"/>
          <w:sz w:val="17"/>
          <w:szCs w:val="17"/>
          <w:color w:val="auto"/>
        </w:rPr>
        <w:t>Financial information related to the collaboration and license agreements consisted of the following in the Company’s condensed consolidated balance sheet as December 31, 2019 and June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1335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w:t>
            </w:r>
          </w:p>
        </w:tc>
        <w:tc>
          <w:tcPr>
            <w:tcW w:w="240" w:type="dxa"/>
            <w:vAlign w:val="bottom"/>
          </w:tcPr>
          <w:p>
            <w:pPr>
              <w:spacing w:after="0"/>
              <w:rPr>
                <w:sz w:val="12"/>
                <w:szCs w:val="12"/>
                <w:color w:val="auto"/>
              </w:rPr>
            </w:pPr>
          </w:p>
        </w:tc>
        <w:tc>
          <w:tcPr>
            <w:tcW w:w="1240" w:type="dxa"/>
            <w:vAlign w:val="bottom"/>
            <w:gridSpan w:val="3"/>
          </w:tcPr>
          <w:p>
            <w:pPr>
              <w:jc w:val="right"/>
              <w:ind w:right="460"/>
              <w:spacing w:after="0" w:line="139" w:lineRule="exact"/>
              <w:rPr>
                <w:sz w:val="20"/>
                <w:szCs w:val="20"/>
                <w:color w:val="auto"/>
              </w:rPr>
            </w:pPr>
            <w:r>
              <w:rPr>
                <w:rFonts w:ascii="Arial" w:cs="Arial" w:eastAsia="Arial" w:hAnsi="Arial"/>
                <w:sz w:val="14"/>
                <w:szCs w:val="14"/>
                <w:b w:val="1"/>
                <w:bCs w:val="1"/>
                <w:color w:val="auto"/>
                <w:w w:val="98"/>
              </w:rPr>
              <w:t>DEFERRED</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ACCOUNTS</w:t>
            </w:r>
          </w:p>
        </w:tc>
        <w:tc>
          <w:tcPr>
            <w:tcW w:w="10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REVENUE,</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NET OF</w:t>
            </w: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6"/>
        </w:trPr>
        <w:tc>
          <w:tcPr>
            <w:tcW w:w="378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RECEIVABLE</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5"/>
                <w:szCs w:val="15"/>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81"/>
        </w:trPr>
        <w:tc>
          <w:tcPr>
            <w:tcW w:w="37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Restated Roche Agreement</w:t>
            </w:r>
          </w:p>
        </w:tc>
        <w:tc>
          <w:tcPr>
            <w:tcW w:w="23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12,164</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32,784</w:t>
            </w: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ind w:left="160"/>
              <w:spacing w:after="0" w:line="180" w:lineRule="exact"/>
              <w:rPr>
                <w:sz w:val="20"/>
                <w:szCs w:val="20"/>
                <w:color w:val="auto"/>
              </w:rPr>
            </w:pPr>
            <w:r>
              <w:rPr>
                <w:rFonts w:ascii="Arial" w:cs="Arial" w:eastAsia="Arial" w:hAnsi="Arial"/>
                <w:sz w:val="17"/>
                <w:szCs w:val="17"/>
                <w:color w:val="auto"/>
                <w:w w:val="92"/>
              </w:rPr>
              <w:t>44,948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line="187" w:lineRule="exact"/>
              <w:rPr>
                <w:sz w:val="20"/>
                <w:szCs w:val="20"/>
                <w:color w:val="auto"/>
              </w:rPr>
            </w:pPr>
            <w:r>
              <w:rPr>
                <w:rFonts w:ascii="Arial" w:cs="Arial" w:eastAsia="Arial" w:hAnsi="Arial"/>
                <w:sz w:val="17"/>
                <w:szCs w:val="17"/>
                <w:color w:val="auto"/>
              </w:rPr>
              <w:t>Biogen License Agreement</w:t>
            </w: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460"/>
              <w:spacing w:after="0" w:line="187" w:lineRule="exact"/>
              <w:rPr>
                <w:sz w:val="20"/>
                <w:szCs w:val="20"/>
                <w:color w:val="auto"/>
              </w:rPr>
            </w:pPr>
            <w:r>
              <w:rPr>
                <w:rFonts w:ascii="Arial" w:cs="Arial" w:eastAsia="Arial" w:hAnsi="Arial"/>
                <w:sz w:val="17"/>
                <w:szCs w:val="17"/>
                <w:color w:val="auto"/>
              </w:rPr>
              <w:t>275</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6,141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60"/>
              <w:spacing w:after="0" w:line="187" w:lineRule="exact"/>
              <w:rPr>
                <w:sz w:val="20"/>
                <w:szCs w:val="20"/>
                <w:color w:val="auto"/>
              </w:rPr>
            </w:pPr>
            <w:r>
              <w:rPr>
                <w:rFonts w:ascii="Arial" w:cs="Arial" w:eastAsia="Arial" w:hAnsi="Arial"/>
                <w:sz w:val="17"/>
                <w:szCs w:val="17"/>
                <w:color w:val="auto"/>
              </w:rPr>
              <w:t>36,934</w:t>
            </w:r>
          </w:p>
        </w:tc>
        <w:tc>
          <w:tcPr>
            <w:tcW w:w="120" w:type="dxa"/>
            <w:vAlign w:val="bottom"/>
          </w:tcPr>
          <w:p>
            <w:pPr>
              <w:spacing w:after="0"/>
              <w:rPr>
                <w:sz w:val="16"/>
                <w:szCs w:val="16"/>
                <w:color w:val="auto"/>
              </w:rPr>
            </w:pPr>
          </w:p>
        </w:tc>
        <w:tc>
          <w:tcPr>
            <w:tcW w:w="720" w:type="dxa"/>
            <w:vAlign w:val="bottom"/>
            <w:gridSpan w:val="2"/>
          </w:tcPr>
          <w:p>
            <w:pPr>
              <w:ind w:left="160"/>
              <w:spacing w:after="0" w:line="187" w:lineRule="exact"/>
              <w:rPr>
                <w:sz w:val="20"/>
                <w:szCs w:val="20"/>
                <w:color w:val="auto"/>
              </w:rPr>
            </w:pPr>
            <w:r>
              <w:rPr>
                <w:rFonts w:ascii="Arial" w:cs="Arial" w:eastAsia="Arial" w:hAnsi="Arial"/>
                <w:sz w:val="17"/>
                <w:szCs w:val="17"/>
                <w:color w:val="auto"/>
              </w:rPr>
              <w:t>43,075</w:t>
            </w:r>
          </w:p>
        </w:tc>
        <w:tc>
          <w:tcPr>
            <w:tcW w:w="0" w:type="dxa"/>
            <w:vAlign w:val="bottom"/>
          </w:tcPr>
          <w:p>
            <w:pPr>
              <w:spacing w:after="0"/>
              <w:rPr>
                <w:sz w:val="1"/>
                <w:szCs w:val="1"/>
                <w:color w:val="auto"/>
              </w:rPr>
            </w:pPr>
          </w:p>
        </w:tc>
      </w:tr>
      <w:tr>
        <w:trPr>
          <w:trHeight w:val="187"/>
        </w:trPr>
        <w:tc>
          <w:tcPr>
            <w:tcW w:w="3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Calico License Agreement</w:t>
            </w:r>
          </w:p>
        </w:tc>
        <w:tc>
          <w:tcPr>
            <w:tcW w:w="2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60"/>
              <w:spacing w:after="0" w:line="187" w:lineRule="exact"/>
              <w:rPr>
                <w:sz w:val="20"/>
                <w:szCs w:val="20"/>
                <w:color w:val="auto"/>
              </w:rPr>
            </w:pPr>
            <w:r>
              <w:rPr>
                <w:rFonts w:ascii="Arial" w:cs="Arial" w:eastAsia="Arial" w:hAnsi="Arial"/>
                <w:sz w:val="17"/>
                <w:szCs w:val="17"/>
                <w:color w:val="auto"/>
              </w:rPr>
              <w:t>4,348</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2,400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60"/>
              <w:spacing w:after="0" w:line="187" w:lineRule="exact"/>
              <w:rPr>
                <w:sz w:val="20"/>
                <w:szCs w:val="20"/>
                <w:color w:val="auto"/>
              </w:rPr>
            </w:pPr>
            <w:r>
              <w:rPr>
                <w:rFonts w:ascii="Arial" w:cs="Arial" w:eastAsia="Arial" w:hAnsi="Arial"/>
                <w:sz w:val="17"/>
                <w:szCs w:val="17"/>
                <w:color w:val="auto"/>
              </w:rPr>
              <w:t>3,000</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240"/>
              <w:spacing w:after="0" w:line="187" w:lineRule="exact"/>
              <w:rPr>
                <w:sz w:val="20"/>
                <w:szCs w:val="20"/>
                <w:color w:val="auto"/>
              </w:rPr>
            </w:pPr>
            <w:r>
              <w:rPr>
                <w:rFonts w:ascii="Arial" w:cs="Arial" w:eastAsia="Arial" w:hAnsi="Arial"/>
                <w:sz w:val="17"/>
                <w:szCs w:val="17"/>
                <w:color w:val="auto"/>
              </w:rPr>
              <w:t>5,400</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4,623</w:t>
            </w:r>
          </w:p>
        </w:tc>
        <w:tc>
          <w:tcPr>
            <w:tcW w:w="4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20,705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72,718</w:t>
            </w:r>
          </w:p>
        </w:tc>
        <w:tc>
          <w:tcPr>
            <w:tcW w:w="4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ind w:left="160"/>
              <w:spacing w:after="0" w:line="194" w:lineRule="exact"/>
              <w:rPr>
                <w:sz w:val="20"/>
                <w:szCs w:val="20"/>
                <w:color w:val="auto"/>
              </w:rPr>
            </w:pPr>
            <w:r>
              <w:rPr>
                <w:rFonts w:ascii="Arial" w:cs="Arial" w:eastAsia="Arial" w:hAnsi="Arial"/>
                <w:sz w:val="17"/>
                <w:szCs w:val="17"/>
                <w:color w:val="auto"/>
                <w:w w:val="92"/>
              </w:rPr>
              <w:t>93,423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3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tcPr>
          <w:p>
            <w:pPr>
              <w:jc w:val="right"/>
              <w:spacing w:after="0" w:line="139"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w:t>
            </w:r>
          </w:p>
        </w:tc>
        <w:tc>
          <w:tcPr>
            <w:tcW w:w="240" w:type="dxa"/>
            <w:vAlign w:val="bottom"/>
          </w:tcPr>
          <w:p>
            <w:pPr>
              <w:spacing w:after="0"/>
              <w:rPr>
                <w:sz w:val="13"/>
                <w:szCs w:val="13"/>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DEFERRED</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ACCOUNTS</w:t>
            </w:r>
          </w:p>
        </w:tc>
        <w:tc>
          <w:tcPr>
            <w:tcW w:w="10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REVENUE,</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NET OF</w:t>
            </w: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6"/>
        </w:trPr>
        <w:tc>
          <w:tcPr>
            <w:tcW w:w="378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RECEIVABLE</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5"/>
                <w:szCs w:val="15"/>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81"/>
        </w:trPr>
        <w:tc>
          <w:tcPr>
            <w:tcW w:w="37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Restated Roche Agreement</w:t>
            </w:r>
          </w:p>
        </w:tc>
        <w:tc>
          <w:tcPr>
            <w:tcW w:w="23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500</w:t>
            </w: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9,898</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30,021</w:t>
            </w: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ind w:left="160"/>
              <w:spacing w:after="0" w:line="180" w:lineRule="exact"/>
              <w:rPr>
                <w:sz w:val="20"/>
                <w:szCs w:val="20"/>
                <w:color w:val="auto"/>
              </w:rPr>
            </w:pPr>
            <w:r>
              <w:rPr>
                <w:rFonts w:ascii="Arial" w:cs="Arial" w:eastAsia="Arial" w:hAnsi="Arial"/>
                <w:sz w:val="17"/>
                <w:szCs w:val="17"/>
                <w:color w:val="auto"/>
                <w:w w:val="92"/>
              </w:rPr>
              <w:t>39,919</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line="187" w:lineRule="exact"/>
              <w:rPr>
                <w:sz w:val="20"/>
                <w:szCs w:val="20"/>
                <w:color w:val="auto"/>
              </w:rPr>
            </w:pPr>
            <w:r>
              <w:rPr>
                <w:rFonts w:ascii="Arial" w:cs="Arial" w:eastAsia="Arial" w:hAnsi="Arial"/>
                <w:sz w:val="17"/>
                <w:szCs w:val="17"/>
                <w:color w:val="auto"/>
              </w:rPr>
              <w:t>Biogen License Agreement</w:t>
            </w: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460"/>
              <w:spacing w:after="0" w:line="187" w:lineRule="exact"/>
              <w:rPr>
                <w:sz w:val="20"/>
                <w:szCs w:val="20"/>
                <w:color w:val="auto"/>
              </w:rPr>
            </w:pPr>
            <w:r>
              <w:rPr>
                <w:rFonts w:ascii="Arial" w:cs="Arial" w:eastAsia="Arial" w:hAnsi="Arial"/>
                <w:sz w:val="17"/>
                <w:szCs w:val="17"/>
                <w:color w:val="auto"/>
              </w:rPr>
              <w:t>5,042</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9,867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60"/>
              <w:spacing w:after="0" w:line="187" w:lineRule="exact"/>
              <w:rPr>
                <w:sz w:val="20"/>
                <w:szCs w:val="20"/>
                <w:color w:val="auto"/>
              </w:rPr>
            </w:pPr>
            <w:r>
              <w:rPr>
                <w:rFonts w:ascii="Arial" w:cs="Arial" w:eastAsia="Arial" w:hAnsi="Arial"/>
                <w:sz w:val="17"/>
                <w:szCs w:val="17"/>
                <w:color w:val="auto"/>
              </w:rPr>
              <w:t>35,316</w:t>
            </w:r>
          </w:p>
        </w:tc>
        <w:tc>
          <w:tcPr>
            <w:tcW w:w="120" w:type="dxa"/>
            <w:vAlign w:val="bottom"/>
          </w:tcPr>
          <w:p>
            <w:pPr>
              <w:spacing w:after="0"/>
              <w:rPr>
                <w:sz w:val="16"/>
                <w:szCs w:val="16"/>
                <w:color w:val="auto"/>
              </w:rPr>
            </w:pPr>
          </w:p>
        </w:tc>
        <w:tc>
          <w:tcPr>
            <w:tcW w:w="720" w:type="dxa"/>
            <w:vAlign w:val="bottom"/>
            <w:gridSpan w:val="2"/>
          </w:tcPr>
          <w:p>
            <w:pPr>
              <w:ind w:left="160"/>
              <w:spacing w:after="0" w:line="187" w:lineRule="exact"/>
              <w:rPr>
                <w:sz w:val="20"/>
                <w:szCs w:val="20"/>
                <w:color w:val="auto"/>
              </w:rPr>
            </w:pPr>
            <w:r>
              <w:rPr>
                <w:rFonts w:ascii="Arial" w:cs="Arial" w:eastAsia="Arial" w:hAnsi="Arial"/>
                <w:sz w:val="17"/>
                <w:szCs w:val="17"/>
                <w:color w:val="auto"/>
              </w:rPr>
              <w:t>45,183</w:t>
            </w:r>
          </w:p>
        </w:tc>
        <w:tc>
          <w:tcPr>
            <w:tcW w:w="0" w:type="dxa"/>
            <w:vAlign w:val="bottom"/>
          </w:tcPr>
          <w:p>
            <w:pPr>
              <w:spacing w:after="0"/>
              <w:rPr>
                <w:sz w:val="1"/>
                <w:szCs w:val="1"/>
                <w:color w:val="auto"/>
              </w:rPr>
            </w:pPr>
          </w:p>
        </w:tc>
      </w:tr>
      <w:tr>
        <w:trPr>
          <w:trHeight w:val="187"/>
        </w:trPr>
        <w:tc>
          <w:tcPr>
            <w:tcW w:w="3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Calico License Agreement</w:t>
            </w:r>
          </w:p>
        </w:tc>
        <w:tc>
          <w:tcPr>
            <w:tcW w:w="2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60"/>
              <w:spacing w:after="0" w:line="187" w:lineRule="exact"/>
              <w:rPr>
                <w:sz w:val="20"/>
                <w:szCs w:val="20"/>
                <w:color w:val="auto"/>
              </w:rPr>
            </w:pPr>
            <w:r>
              <w:rPr>
                <w:rFonts w:ascii="Arial" w:cs="Arial" w:eastAsia="Arial" w:hAnsi="Arial"/>
                <w:sz w:val="17"/>
                <w:szCs w:val="17"/>
                <w:color w:val="auto"/>
              </w:rPr>
              <w:t>3,004</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2,400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60"/>
              <w:spacing w:after="0" w:line="187" w:lineRule="exact"/>
              <w:rPr>
                <w:sz w:val="20"/>
                <w:szCs w:val="20"/>
                <w:color w:val="auto"/>
              </w:rPr>
            </w:pPr>
            <w:r>
              <w:rPr>
                <w:rFonts w:ascii="Arial" w:cs="Arial" w:eastAsia="Arial" w:hAnsi="Arial"/>
                <w:sz w:val="17"/>
                <w:szCs w:val="17"/>
                <w:color w:val="auto"/>
              </w:rPr>
              <w:t>1,800</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240"/>
              <w:spacing w:after="0" w:line="187" w:lineRule="exact"/>
              <w:rPr>
                <w:sz w:val="20"/>
                <w:szCs w:val="20"/>
                <w:color w:val="auto"/>
              </w:rPr>
            </w:pPr>
            <w:r>
              <w:rPr>
                <w:rFonts w:ascii="Arial" w:cs="Arial" w:eastAsia="Arial" w:hAnsi="Arial"/>
                <w:sz w:val="17"/>
                <w:szCs w:val="17"/>
                <w:color w:val="auto"/>
              </w:rPr>
              <w:t>4,200</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8,546</w:t>
            </w:r>
          </w:p>
        </w:tc>
        <w:tc>
          <w:tcPr>
            <w:tcW w:w="4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22,165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67,137</w:t>
            </w:r>
          </w:p>
        </w:tc>
        <w:tc>
          <w:tcPr>
            <w:tcW w:w="4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ind w:left="160"/>
              <w:spacing w:after="0" w:line="194" w:lineRule="exact"/>
              <w:rPr>
                <w:sz w:val="20"/>
                <w:szCs w:val="20"/>
                <w:color w:val="auto"/>
              </w:rPr>
            </w:pPr>
            <w:r>
              <w:rPr>
                <w:rFonts w:ascii="Arial" w:cs="Arial" w:eastAsia="Arial" w:hAnsi="Arial"/>
                <w:sz w:val="17"/>
                <w:szCs w:val="17"/>
                <w:color w:val="auto"/>
                <w:w w:val="92"/>
              </w:rPr>
              <w:t>89,302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3"/>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3780" w:type="dxa"/>
            <w:vAlign w:val="bottom"/>
          </w:tcPr>
          <w:p>
            <w:pPr>
              <w:spacing w:after="0"/>
              <w:rPr>
                <w:sz w:val="24"/>
                <w:szCs w:val="24"/>
                <w:color w:val="auto"/>
              </w:rPr>
            </w:pPr>
          </w:p>
        </w:tc>
        <w:tc>
          <w:tcPr>
            <w:tcW w:w="3060" w:type="dxa"/>
            <w:vAlign w:val="bottom"/>
            <w:gridSpan w:val="3"/>
          </w:tcPr>
          <w:p>
            <w:pPr>
              <w:ind w:left="1680"/>
              <w:spacing w:after="0"/>
              <w:rPr>
                <w:sz w:val="20"/>
                <w:szCs w:val="20"/>
                <w:color w:val="auto"/>
              </w:rPr>
            </w:pPr>
            <w:r>
              <w:rPr>
                <w:rFonts w:ascii="Arial" w:cs="Arial" w:eastAsia="Arial" w:hAnsi="Arial"/>
                <w:sz w:val="16"/>
                <w:szCs w:val="16"/>
                <w:color w:val="auto"/>
              </w:rPr>
              <w:t>F-40</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Dana Farber License Agreements</w:t>
      </w:r>
    </w:p>
    <w:p>
      <w:pPr>
        <w:spacing w:after="0" w:line="70"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The Company made no payments under the DFCI Second License Agreement for the six months ended June 30, 2019 and 2020. The Company terminated the DFCI License Agreement in May 2020 and has no additional payments due under the agreement as of June 30,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57"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On June 5, 2020, contemporaneously with the issuance of its Series B (see Note 9) the Company entered into the Credit Agreement with Perceptive Life Sciences Master Fund LTD., an affiliate of Perceptive Credit Holdings III, LP (“Perceptive”) for an aggregate principal borrowing amount (“Term Loan”) of up to $20.0 million, available in two tranches of $12.5 million and $7.5 million. The Company drew down on the first tranche of $12.5 million in June 2020, bearing interest at a variable rate of 11.25%, which was calculated based on the one-month LIBOR rate, which can never be below 1.75%, plus an applicable margin, which was initially determined to be 9.5%. The Term Loan matures on June 5, 2024 unless accelerated. The Company will make interest-only payments until December 5, 2022, at which point the Company will make payments of principal equal to 2% of the Term Loan until maturity.</w:t>
      </w:r>
    </w:p>
    <w:p>
      <w:pPr>
        <w:spacing w:after="0" w:line="120"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Credit Agreement allows for prepayment in full of the outstanding principal at any time. Any prepayment shall be in a minimum principal amount of $0.5 million and in multiples of $0.1 million in excess of that amount, plus accrued interest and a prepayment fee, which would be calculated based on the terms of the Credit Agreement. The Company paid a closing fee of $0.3 million.</w:t>
      </w:r>
    </w:p>
    <w:p>
      <w:pPr>
        <w:spacing w:after="0" w:line="11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aggregate principal amount of debt outstanding as of June 30, 2020 was $12.5 million. The entire balance of the Term Loan was recorded as long-term debt in the Company’s condensed consolidated balance sheet as of June 30, 2020, as principal repayment does not begin until December 2022. The Company recognized interest expense under the Credit Agreement of $0.1 million during the six months ended June 30, 2020. As of June 30, 2020, the unamortized debt discount was $2.8 million. The carrying value of the long-term debt, net of issuance costs and the debt discount related to the 2,857,142 warrants that were issued with the loan, was $9.7 million as of June 30, 2020.</w:t>
      </w:r>
    </w:p>
    <w:p>
      <w:pPr>
        <w:spacing w:after="0" w:line="11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connection with the Term Loan, the Company issued 2,857,142 warrants to purchase Series B at an exercise price per share of $1.05. The warrants are exercisable anytime prior to the ten-year anniversary of the closing date. The Company determined that the warrants were liability-classified, and will be remeasured to fair value each reporting period with changes recorded in the statement of operations. The Company determined the fair value of the warrants to be $2.3 million using the Black-Scholes model based on the following assumptions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9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r>
      <w:tr>
        <w:trPr>
          <w:trHeight w:val="154"/>
        </w:trPr>
        <w:tc>
          <w:tcPr>
            <w:tcW w:w="99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7"/>
              <w:spacing w:after="0" w:line="154"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r>
      <w:tr>
        <w:trPr>
          <w:trHeight w:val="181"/>
        </w:trPr>
        <w:tc>
          <w:tcPr>
            <w:tcW w:w="99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Stock price</w:t>
            </w:r>
          </w:p>
        </w:tc>
        <w:tc>
          <w:tcPr>
            <w:tcW w:w="2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1.05</w:t>
            </w:r>
          </w:p>
        </w:tc>
        <w:tc>
          <w:tcPr>
            <w:tcW w:w="200" w:type="dxa"/>
            <w:vAlign w:val="bottom"/>
            <w:shd w:val="clear" w:color="auto" w:fill="CCEEFF"/>
          </w:tcPr>
          <w:p>
            <w:pPr>
              <w:spacing w:after="0"/>
              <w:rPr>
                <w:sz w:val="15"/>
                <w:szCs w:val="15"/>
                <w:color w:val="auto"/>
              </w:rPr>
            </w:pPr>
          </w:p>
        </w:tc>
      </w:tr>
      <w:tr>
        <w:trPr>
          <w:trHeight w:val="187"/>
        </w:trPr>
        <w:tc>
          <w:tcPr>
            <w:tcW w:w="9940" w:type="dxa"/>
            <w:vAlign w:val="bottom"/>
          </w:tcPr>
          <w:p>
            <w:pPr>
              <w:spacing w:after="0" w:line="187" w:lineRule="exact"/>
              <w:rPr>
                <w:sz w:val="20"/>
                <w:szCs w:val="20"/>
                <w:color w:val="auto"/>
              </w:rPr>
            </w:pPr>
            <w:r>
              <w:rPr>
                <w:rFonts w:ascii="Arial" w:cs="Arial" w:eastAsia="Arial" w:hAnsi="Arial"/>
                <w:sz w:val="17"/>
                <w:szCs w:val="17"/>
                <w:color w:val="auto"/>
              </w:rPr>
              <w:t>Exercise price</w:t>
            </w:r>
          </w:p>
        </w:tc>
        <w:tc>
          <w:tcPr>
            <w:tcW w:w="24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1.05</w:t>
            </w:r>
          </w:p>
        </w:tc>
      </w:tr>
      <w:tr>
        <w:trPr>
          <w:trHeight w:val="187"/>
        </w:trPr>
        <w:tc>
          <w:tcPr>
            <w:tcW w:w="9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Expected term (in years)</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10.00</w:t>
            </w:r>
          </w:p>
        </w:tc>
      </w:tr>
      <w:tr>
        <w:trPr>
          <w:trHeight w:val="187"/>
        </w:trPr>
        <w:tc>
          <w:tcPr>
            <w:tcW w:w="9940" w:type="dxa"/>
            <w:vAlign w:val="bottom"/>
          </w:tcPr>
          <w:p>
            <w:pPr>
              <w:spacing w:after="0" w:line="187" w:lineRule="exact"/>
              <w:rPr>
                <w:sz w:val="20"/>
                <w:szCs w:val="20"/>
                <w:color w:val="auto"/>
              </w:rPr>
            </w:pPr>
            <w:r>
              <w:rPr>
                <w:rFonts w:ascii="Arial" w:cs="Arial" w:eastAsia="Arial" w:hAnsi="Arial"/>
                <w:sz w:val="17"/>
                <w:szCs w:val="17"/>
                <w:color w:val="auto"/>
              </w:rPr>
              <w:t>Volatility</w:t>
            </w:r>
          </w:p>
        </w:tc>
        <w:tc>
          <w:tcPr>
            <w:tcW w:w="240" w:type="dxa"/>
            <w:vAlign w:val="bottom"/>
          </w:tcPr>
          <w:p>
            <w:pPr>
              <w:spacing w:after="0"/>
              <w:rPr>
                <w:sz w:val="16"/>
                <w:szCs w:val="16"/>
                <w:color w:val="auto"/>
              </w:rPr>
            </w:pPr>
          </w:p>
        </w:tc>
        <w:tc>
          <w:tcPr>
            <w:tcW w:w="106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75%</w:t>
            </w:r>
          </w:p>
        </w:tc>
      </w:tr>
      <w:tr>
        <w:trPr>
          <w:trHeight w:val="187"/>
        </w:trPr>
        <w:tc>
          <w:tcPr>
            <w:tcW w:w="9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Risk-free interest rate</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0.91%</w:t>
            </w:r>
          </w:p>
        </w:tc>
      </w:tr>
      <w:tr>
        <w:trPr>
          <w:trHeight w:val="229"/>
        </w:trPr>
        <w:tc>
          <w:tcPr>
            <w:tcW w:w="9940" w:type="dxa"/>
            <w:vAlign w:val="bottom"/>
          </w:tcPr>
          <w:p>
            <w:pPr>
              <w:spacing w:after="0"/>
              <w:rPr>
                <w:sz w:val="20"/>
                <w:szCs w:val="20"/>
                <w:color w:val="auto"/>
              </w:rPr>
            </w:pPr>
            <w:r>
              <w:rPr>
                <w:rFonts w:ascii="Arial" w:cs="Arial" w:eastAsia="Arial" w:hAnsi="Arial"/>
                <w:sz w:val="17"/>
                <w:szCs w:val="17"/>
                <w:color w:val="auto"/>
              </w:rPr>
              <w:t>Dividend yield</w:t>
            </w: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41" w:lineRule="exact"/>
        <w:rPr>
          <w:sz w:val="20"/>
          <w:szCs w:val="20"/>
          <w:color w:val="auto"/>
        </w:rPr>
      </w:pPr>
    </w:p>
    <w:p>
      <w:pPr>
        <w:ind w:right="9200" w:firstLine="7"/>
        <w:spacing w:after="0" w:line="301" w:lineRule="auto"/>
        <w:tabs>
          <w:tab w:leader="none" w:pos="267"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6"/>
          <w:szCs w:val="16"/>
          <w:b w:val="1"/>
          <w:bCs w:val="1"/>
          <w:i w:val="1"/>
          <w:iCs w:val="1"/>
          <w:color w:val="auto"/>
        </w:rPr>
        <w:t>Common Stock</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7"/>
          <w:szCs w:val="17"/>
          <w:i w:val="1"/>
          <w:iCs w:val="1"/>
          <w:color w:val="auto"/>
        </w:rPr>
        <w:t>Features of the Common Stock</w:t>
      </w:r>
    </w:p>
    <w:p>
      <w:pPr>
        <w:spacing w:after="0" w:line="3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common stock has a par value of $0.000125, and the holders of common stock are entitled to one vote for each share held at all meetings of stockholders and written actions in lieu of meetings provided. All dividends shall be declared and paid pro rata according to the number of shares held by each member. In the event of a liquidation,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240"/>
          </w:cols>
          <w:pgMar w:left="320" w:top="454" w:right="3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dissolution or winding up of the Company, the common stock ranks behind the Preferred Stock in terms of distribution of assets. The holders of the common stock have no preemptive or other subscription rights, and there are no redemption or sinking fund provisions with respect to such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3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 June and July 2020, the Company closed a $150.0 million Series B Financing with existing and new investors. As part of the Series B Financing, the Company issued 142,857,142 shares of “Series B, at a purchase price of $1.05 per share, for aggregate gross proceeds of $150.0 million. Of the amounts above, 138,571,428 shares were issued for gross proceeds of $145.5 million less related offering costs of $4.5 million in June 2020, and 4,285,714 shares were issued for proceeds of $4.5 million in July 2020.</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and June 30, 2020, Preferred Stock consisted of the following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335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center"/>
              <w:ind w:left="1142"/>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PREFERRED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LIQUIDATION</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ISSUED AND</w:t>
            </w:r>
          </w:p>
        </w:tc>
        <w:tc>
          <w:tcPr>
            <w:tcW w:w="2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181"/>
        </w:trPr>
        <w:tc>
          <w:tcPr>
            <w:tcW w:w="46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Series Seed Preferred Stock</w:t>
            </w:r>
          </w:p>
        </w:tc>
        <w:tc>
          <w:tcPr>
            <w:tcW w:w="10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4,000,000</w:t>
            </w:r>
          </w:p>
        </w:tc>
        <w:tc>
          <w:tcPr>
            <w:tcW w:w="280" w:type="dxa"/>
            <w:vAlign w:val="bottom"/>
            <w:tcBorders>
              <w:top w:val="single" w:sz="8" w:color="CCEEFF"/>
            </w:tcBorders>
            <w:gridSpan w:val="2"/>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4,000,000</w:t>
            </w: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1,000</w:t>
            </w: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1,000</w:t>
            </w:r>
          </w:p>
        </w:tc>
        <w:tc>
          <w:tcPr>
            <w:tcW w:w="2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474,298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line="187" w:lineRule="exact"/>
              <w:rPr>
                <w:sz w:val="20"/>
                <w:szCs w:val="20"/>
                <w:color w:val="auto"/>
              </w:rPr>
            </w:pPr>
            <w:r>
              <w:rPr>
                <w:rFonts w:ascii="Arial" w:cs="Arial" w:eastAsia="Arial" w:hAnsi="Arial"/>
                <w:sz w:val="17"/>
                <w:szCs w:val="17"/>
                <w:color w:val="auto"/>
              </w:rPr>
              <w:t>Series A Preferred Stock</w:t>
            </w:r>
          </w:p>
        </w:tc>
        <w:tc>
          <w:tcPr>
            <w:tcW w:w="10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110,000,000</w:t>
            </w:r>
          </w:p>
        </w:tc>
        <w:tc>
          <w:tcPr>
            <w:tcW w:w="260" w:type="dxa"/>
            <w:vAlign w:val="bottom"/>
          </w:tcPr>
          <w:p>
            <w:pPr>
              <w:spacing w:after="0"/>
              <w:rPr>
                <w:sz w:val="16"/>
                <w:szCs w:val="16"/>
                <w:color w:val="auto"/>
              </w:rPr>
            </w:pPr>
          </w:p>
        </w:tc>
        <w:tc>
          <w:tcPr>
            <w:tcW w:w="148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109,145,900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109,995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109,995</w:t>
            </w:r>
          </w:p>
        </w:tc>
        <w:tc>
          <w:tcPr>
            <w:tcW w:w="13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12,941,857</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FF Preferred Stock</w:t>
            </w:r>
          </w:p>
        </w:tc>
        <w:tc>
          <w:tcPr>
            <w:tcW w:w="1300" w:type="dxa"/>
            <w:vAlign w:val="bottom"/>
            <w:gridSpan w:val="3"/>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32,760,000</w:t>
            </w:r>
          </w:p>
        </w:tc>
        <w:tc>
          <w:tcPr>
            <w:tcW w:w="148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6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146,760,000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113,145,900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110,995</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110,995</w:t>
            </w:r>
          </w:p>
        </w:tc>
        <w:tc>
          <w:tcPr>
            <w:tcW w:w="28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13,416,155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46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14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LIQUIDATION</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ISSUED AND</w:t>
            </w:r>
          </w:p>
        </w:tc>
        <w:tc>
          <w:tcPr>
            <w:tcW w:w="2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181"/>
        </w:trPr>
        <w:tc>
          <w:tcPr>
            <w:tcW w:w="46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Series Seed Preferred Stock</w:t>
            </w:r>
          </w:p>
        </w:tc>
        <w:tc>
          <w:tcPr>
            <w:tcW w:w="10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4,000,000</w:t>
            </w:r>
          </w:p>
        </w:tc>
        <w:tc>
          <w:tcPr>
            <w:tcW w:w="280" w:type="dxa"/>
            <w:vAlign w:val="bottom"/>
            <w:tcBorders>
              <w:top w:val="single" w:sz="8" w:color="CCEEFF"/>
            </w:tcBorders>
            <w:gridSpan w:val="2"/>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4,000,000</w:t>
            </w: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1,000</w:t>
            </w: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1,000</w:t>
            </w:r>
          </w:p>
        </w:tc>
        <w:tc>
          <w:tcPr>
            <w:tcW w:w="2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474,298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line="187" w:lineRule="exact"/>
              <w:rPr>
                <w:sz w:val="20"/>
                <w:szCs w:val="20"/>
                <w:color w:val="auto"/>
              </w:rPr>
            </w:pPr>
            <w:r>
              <w:rPr>
                <w:rFonts w:ascii="Arial" w:cs="Arial" w:eastAsia="Arial" w:hAnsi="Arial"/>
                <w:sz w:val="17"/>
                <w:szCs w:val="17"/>
                <w:color w:val="auto"/>
              </w:rPr>
              <w:t>Series A Preferred Stock</w:t>
            </w:r>
          </w:p>
        </w:tc>
        <w:tc>
          <w:tcPr>
            <w:tcW w:w="104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110,000,000</w:t>
            </w:r>
          </w:p>
        </w:tc>
        <w:tc>
          <w:tcPr>
            <w:tcW w:w="260" w:type="dxa"/>
            <w:vAlign w:val="bottom"/>
          </w:tcPr>
          <w:p>
            <w:pPr>
              <w:spacing w:after="0"/>
              <w:rPr>
                <w:sz w:val="16"/>
                <w:szCs w:val="16"/>
                <w:color w:val="auto"/>
              </w:rPr>
            </w:pPr>
          </w:p>
        </w:tc>
        <w:tc>
          <w:tcPr>
            <w:tcW w:w="148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109,145,900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109,995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109,995</w:t>
            </w:r>
          </w:p>
        </w:tc>
        <w:tc>
          <w:tcPr>
            <w:tcW w:w="13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12,941,857</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Series B Convertible Preferred Stock</w:t>
            </w:r>
          </w:p>
        </w:tc>
        <w:tc>
          <w:tcPr>
            <w:tcW w:w="104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150,000,000</w:t>
            </w: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138,571,428</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141,026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141,026</w:t>
            </w:r>
          </w:p>
        </w:tc>
        <w:tc>
          <w:tcPr>
            <w:tcW w:w="13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16,431,047</w:t>
            </w:r>
          </w:p>
        </w:tc>
        <w:tc>
          <w:tcPr>
            <w:tcW w:w="0" w:type="dxa"/>
            <w:vAlign w:val="bottom"/>
          </w:tcPr>
          <w:p>
            <w:pPr>
              <w:spacing w:after="0"/>
              <w:rPr>
                <w:sz w:val="1"/>
                <w:szCs w:val="1"/>
                <w:color w:val="auto"/>
              </w:rPr>
            </w:pPr>
          </w:p>
        </w:tc>
      </w:tr>
      <w:tr>
        <w:trPr>
          <w:trHeight w:val="194"/>
        </w:trPr>
        <w:tc>
          <w:tcPr>
            <w:tcW w:w="46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264,000,000</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251,717,328</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$ 252,021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252,021</w:t>
            </w:r>
          </w:p>
        </w:tc>
        <w:tc>
          <w:tcPr>
            <w:tcW w:w="28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29,847,202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rights and privileges of the Preferred Stockholders as of December 31, 2019 and June 30, 2020:</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3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All series of Preferred Stock are convertible at any time at the option of the holder and mandatorily convertible upon a qualified initial public offering, defined as an underwritten public offering resulting in at least $50.0 million in gross proceeds to the Company, into common stock on a 8.4335-to-one basis (see note 14).</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series of Preferred Stock have voting rights that are one-for-one with common stock, as if they were converted into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w:t>
      </w:r>
    </w:p>
    <w:p>
      <w:pPr>
        <w:spacing w:after="0" w:line="3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The Preferred Stock is not redeemable except in the event of a liquidation. The Series Seed Preferred Stock, Series A Preferred Stock, and Series B Preferred Stock receive liquidation payments at their respective issuance prices in preference to the common stock. Because the Series Seed Preferred Stock, Series A Preferred Stock,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240"/>
          </w:cols>
          <w:pgMar w:left="320" w:top="454" w:right="3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Series B Preferred Stock are only mandatorily redeemable upon the occurrence of a liquidation event and the preferred stockholders have control of the Company’s board of directors, they are classified in the mezzanine section of the Company’s condensed consolidated balance sheet.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3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Series B Preferred Stock has dividend preference over all other common and Preferred Stock. The holders of the Series B Preferred Stock then outstanding shall first receive, or simultaneously receive, a dividend on each outstanding share of Series B Preferred Stock in an amount at least equal to the greater of amounts accrued in Series B dividends and amounts that would be paid to Series B as common or other shares pursuant to the dividend granted. The Series A Preferred Stock has dividend preference over the common stock.</w:t>
      </w:r>
    </w:p>
    <w:p>
      <w:pPr>
        <w:spacing w:after="0" w:line="119"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color w:val="auto"/>
        </w:rPr>
        <w:t>The Series Seed Preferred Stock is eligible to receive dividends on a pro rata as-converted basis in proportion to the number of shares of common stock that would be held upon conversion to common stock. Series A Preferred Stock and Series B Preferred Stock accrue dividends at a rate of $0.08 and $0.084 per annum, respectively, and are payable only if and when declared by the Company’s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71"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On December 28, 2015, the Company’s board of directors adopted the 2015 Incentive Stock Option and Grant Plan (the “2015 Plan”) and reserved 2,525,327 shares of common stock for issuance under this plan. As of April 2019, the shares reserved increased to 3,614,753. On June 3, 2020, the shares reserved increased to 5,058,202. As of June 30, 2020, 3,812,039 shares remain available for future grant.</w:t>
      </w:r>
    </w:p>
    <w:p>
      <w:pPr>
        <w:spacing w:after="0" w:line="111" w:lineRule="exact"/>
        <w:rPr>
          <w:sz w:val="20"/>
          <w:szCs w:val="20"/>
          <w:color w:val="auto"/>
        </w:rPr>
      </w:pPr>
    </w:p>
    <w:p>
      <w:pPr>
        <w:jc w:val="both"/>
        <w:ind w:right="60"/>
        <w:spacing w:after="0" w:line="243" w:lineRule="auto"/>
        <w:rPr>
          <w:sz w:val="20"/>
          <w:szCs w:val="20"/>
          <w:color w:val="auto"/>
        </w:rPr>
      </w:pPr>
      <w:r>
        <w:rPr>
          <w:rFonts w:ascii="Arial" w:cs="Arial" w:eastAsia="Arial" w:hAnsi="Arial"/>
          <w:sz w:val="17"/>
          <w:szCs w:val="17"/>
          <w:color w:val="auto"/>
        </w:rPr>
        <w:t>The 2015 Plan authorizes the board of directors or a committee of the board to grant incentive stock options, nonqualified stock options and restricted stock awards to eligible employees, outside directors and consultants of the Company. Options generally vest over a period of five or eight years with a cliff vesting at one year and quarterly vesting thereafter and options that lapse or are forfeited are available to be granted again. The contractual life of all options is ten years from the date of grant.</w:t>
      </w:r>
    </w:p>
    <w:p>
      <w:pPr>
        <w:spacing w:after="0" w:line="11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In connection with the issuance of stock options, the Company recorded stock-based compensation expense of $0.3 million in each of the six months ended June 30, 2019 and 2020. As the restricted stock was fully vested as of December 31, 2019, the Company did not record stock-based compensation expense related to restricted stock during the six months ended June 30, 2020.</w:t>
      </w:r>
    </w:p>
    <w:p>
      <w:pPr>
        <w:spacing w:after="0" w:line="111"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Stock-based compensation expense for the six months ended June 30, 2019 and 2020 was classified in the Company’s condensed consolidated statement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20" w:type="dxa"/>
            <w:vAlign w:val="bottom"/>
          </w:tcPr>
          <w:p>
            <w:pPr>
              <w:spacing w:after="0"/>
              <w:rPr>
                <w:sz w:val="15"/>
                <w:szCs w:val="15"/>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4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81"/>
        </w:trPr>
        <w:tc>
          <w:tcPr>
            <w:tcW w:w="84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Research and development</w:t>
            </w:r>
          </w:p>
        </w:tc>
        <w:tc>
          <w:tcPr>
            <w:tcW w:w="660" w:type="dxa"/>
            <w:vAlign w:val="bottom"/>
            <w:shd w:val="clear" w:color="auto" w:fill="CCEEFF"/>
          </w:tcPr>
          <w:p>
            <w:pPr>
              <w:jc w:val="right"/>
              <w:ind w:right="482"/>
              <w:spacing w:after="0" w:line="180"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8"/>
              </w:rPr>
              <w:t>155</w:t>
            </w:r>
          </w:p>
        </w:tc>
        <w:tc>
          <w:tcPr>
            <w:tcW w:w="8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0"/>
              <w:spacing w:after="0" w:line="180"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8"/>
              </w:rPr>
              <w:t>275</w:t>
            </w:r>
          </w:p>
        </w:tc>
        <w:tc>
          <w:tcPr>
            <w:tcW w:w="60" w:type="dxa"/>
            <w:vAlign w:val="bottom"/>
            <w:shd w:val="clear" w:color="auto" w:fill="CCEEFF"/>
          </w:tcPr>
          <w:p>
            <w:pPr>
              <w:spacing w:after="0"/>
              <w:rPr>
                <w:sz w:val="15"/>
                <w:szCs w:val="15"/>
                <w:color w:val="auto"/>
              </w:rPr>
            </w:pPr>
          </w:p>
        </w:tc>
      </w:tr>
      <w:tr>
        <w:trPr>
          <w:trHeight w:val="187"/>
        </w:trPr>
        <w:tc>
          <w:tcPr>
            <w:tcW w:w="8420" w:type="dxa"/>
            <w:vAlign w:val="bottom"/>
          </w:tcPr>
          <w:p>
            <w:pPr>
              <w:spacing w:after="0" w:line="187" w:lineRule="exact"/>
              <w:rPr>
                <w:sz w:val="20"/>
                <w:szCs w:val="20"/>
                <w:color w:val="auto"/>
              </w:rPr>
            </w:pPr>
            <w:r>
              <w:rPr>
                <w:rFonts w:ascii="Arial" w:cs="Arial" w:eastAsia="Arial" w:hAnsi="Arial"/>
                <w:sz w:val="17"/>
                <w:szCs w:val="17"/>
                <w:color w:val="auto"/>
              </w:rPr>
              <w:t>General and administrative</w:t>
            </w:r>
          </w:p>
        </w:tc>
        <w:tc>
          <w:tcPr>
            <w:tcW w:w="660" w:type="dxa"/>
            <w:vAlign w:val="bottom"/>
          </w:tcPr>
          <w:p>
            <w:pPr>
              <w:spacing w:after="0"/>
              <w:rPr>
                <w:sz w:val="16"/>
                <w:szCs w:val="16"/>
                <w:color w:val="auto"/>
              </w:rPr>
            </w:pPr>
          </w:p>
        </w:tc>
        <w:tc>
          <w:tcPr>
            <w:tcW w:w="1140" w:type="dxa"/>
            <w:vAlign w:val="bottom"/>
            <w:gridSpan w:val="2"/>
          </w:tcPr>
          <w:p>
            <w:pPr>
              <w:jc w:val="right"/>
              <w:ind w:right="840"/>
              <w:spacing w:after="0" w:line="187" w:lineRule="exact"/>
              <w:rPr>
                <w:sz w:val="20"/>
                <w:szCs w:val="20"/>
                <w:color w:val="auto"/>
              </w:rPr>
            </w:pPr>
            <w:r>
              <w:rPr>
                <w:rFonts w:ascii="Arial" w:cs="Arial" w:eastAsia="Arial" w:hAnsi="Arial"/>
                <w:sz w:val="17"/>
                <w:szCs w:val="17"/>
                <w:color w:val="auto"/>
                <w:w w:val="98"/>
              </w:rPr>
              <w:t>131</w:t>
            </w:r>
          </w:p>
        </w:tc>
        <w:tc>
          <w:tcPr>
            <w:tcW w:w="660" w:type="dxa"/>
            <w:vAlign w:val="bottom"/>
          </w:tcPr>
          <w:p>
            <w:pPr>
              <w:spacing w:after="0"/>
              <w:rPr>
                <w:sz w:val="16"/>
                <w:szCs w:val="16"/>
                <w:color w:val="auto"/>
              </w:rPr>
            </w:pPr>
          </w:p>
        </w:tc>
        <w:tc>
          <w:tcPr>
            <w:tcW w:w="3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2</w:t>
            </w:r>
          </w:p>
        </w:tc>
      </w:tr>
      <w:tr>
        <w:trPr>
          <w:trHeight w:val="27"/>
        </w:trPr>
        <w:tc>
          <w:tcPr>
            <w:tcW w:w="8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84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stock-based compensation expense</w:t>
            </w:r>
          </w:p>
        </w:tc>
        <w:tc>
          <w:tcPr>
            <w:tcW w:w="660" w:type="dxa"/>
            <w:vAlign w:val="bottom"/>
            <w:shd w:val="clear" w:color="auto" w:fill="CCEEFF"/>
          </w:tcPr>
          <w:p>
            <w:pPr>
              <w:jc w:val="right"/>
              <w:ind w:right="482"/>
              <w:spacing w:after="0" w:line="187"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840"/>
              <w:spacing w:after="0" w:line="187" w:lineRule="exact"/>
              <w:rPr>
                <w:sz w:val="20"/>
                <w:szCs w:val="20"/>
                <w:color w:val="auto"/>
              </w:rPr>
            </w:pPr>
            <w:r>
              <w:rPr>
                <w:rFonts w:ascii="Arial" w:cs="Arial" w:eastAsia="Arial" w:hAnsi="Arial"/>
                <w:sz w:val="17"/>
                <w:szCs w:val="17"/>
                <w:color w:val="auto"/>
                <w:w w:val="98"/>
              </w:rPr>
              <w:t>286</w:t>
            </w:r>
          </w:p>
        </w:tc>
        <w:tc>
          <w:tcPr>
            <w:tcW w:w="660" w:type="dxa"/>
            <w:vAlign w:val="bottom"/>
            <w:shd w:val="clear" w:color="auto" w:fill="CCEEFF"/>
          </w:tcPr>
          <w:p>
            <w:pPr>
              <w:jc w:val="right"/>
              <w:ind w:right="480"/>
              <w:spacing w:after="0" w:line="187" w:lineRule="exact"/>
              <w:rPr>
                <w:sz w:val="20"/>
                <w:szCs w:val="20"/>
                <w:color w:val="auto"/>
              </w:rPr>
            </w:pPr>
            <w:r>
              <w:rPr>
                <w:rFonts w:ascii="Arial" w:cs="Arial" w:eastAsia="Arial" w:hAnsi="Arial"/>
                <w:sz w:val="17"/>
                <w:szCs w:val="17"/>
                <w:color w:val="auto"/>
                <w:w w:val="84"/>
              </w:rPr>
              <w:t>$</w:t>
            </w:r>
          </w:p>
        </w:tc>
        <w:tc>
          <w:tcPr>
            <w:tcW w:w="3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w w:val="98"/>
              </w:rPr>
              <w:t>277</w:t>
            </w:r>
          </w:p>
        </w:tc>
      </w:tr>
      <w:tr>
        <w:trPr>
          <w:trHeight w:val="20"/>
        </w:trPr>
        <w:tc>
          <w:tcPr>
            <w:tcW w:w="8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President and Chief Executive Officer Termination</w:t>
      </w:r>
    </w:p>
    <w:p>
      <w:pPr>
        <w:spacing w:after="0" w:line="3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On March 3, 2020 (“Separation Date”), the Company’s president and chief executive officer (“CEO”) terminated employment with the Company. The Company repurchased all of the CEO’s exercised shares for total consideration of $0.1 million. The CEO also relinquished his right to purchase common shares through the exercise of vested options, for total consideration paid by the Company of $0.8 million. The Company recorded the repurchase liability once the termination was deemed probable on March 3, 2020. The Company recognized the repurchase price of the common shares and the relinquishment of the vested options in additional-paid-in-capital on the condensed consolidated balance sheet as of June 30, 2020.</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240"/>
          </w:cols>
          <w:pgMar w:left="320" w:top="454" w:right="3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71"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color w:val="auto"/>
        </w:rPr>
        <w:t>During the year ended December 31, 2019 and six months ended June 30, 2019 and 2020, the Company recorded a full valuation allowance on federal and state deferred tax assets since management does not forecast the Company to be in a profitable position in the near future.</w:t>
      </w:r>
    </w:p>
    <w:p>
      <w:pPr>
        <w:spacing w:after="0" w:line="9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As a result of the COVID-19 pandemic, the Coronavirus Aid, Relief, and Economic Security Act (“CARES Act”) was enacted on March 27, 2020 to provide relief for taxpayers. The CARES Act contain a significant number of provisions that may impact on the Company’s accounting for income taxes. The Company has considered several key corporate provisions within the CARES Act, has evaluated its potential impact and as a result recorded a tax benefit of $335 for the six month period ending June 30, 2020 related to an anticipated refund to be received for federal taxes incurred for the year ending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Loss Per Share</w:t>
      </w:r>
    </w:p>
    <w:p>
      <w:pPr>
        <w:spacing w:after="0" w:line="57"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Basic and diluted loss per share is computed by dividing net loss attributable to common stockholders by the weighted-average common shares outstanding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5"/>
          </w:tcPr>
          <w:p>
            <w:pPr>
              <w:jc w:val="right"/>
              <w:ind w:right="261"/>
              <w:spacing w:after="0"/>
              <w:rPr>
                <w:sz w:val="20"/>
                <w:szCs w:val="20"/>
                <w:color w:val="auto"/>
              </w:rPr>
            </w:pPr>
            <w:r>
              <w:rPr>
                <w:rFonts w:ascii="Arial" w:cs="Arial" w:eastAsia="Arial" w:hAnsi="Arial"/>
                <w:sz w:val="14"/>
                <w:szCs w:val="14"/>
                <w:b w:val="1"/>
                <w:bCs w:val="1"/>
                <w:color w:val="auto"/>
              </w:rPr>
              <w:t>SIX MONTHS ENDED JUNE 30,</w:t>
            </w:r>
          </w:p>
        </w:tc>
      </w:tr>
      <w:tr>
        <w:trPr>
          <w:trHeight w:val="154"/>
        </w:trPr>
        <w:tc>
          <w:tcPr>
            <w:tcW w:w="708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9"/>
              <w:spacing w:after="0" w:line="154"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8"/>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67"/>
        </w:trPr>
        <w:tc>
          <w:tcPr>
            <w:tcW w:w="70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Numerator:</w:t>
            </w: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7080" w:type="dxa"/>
            <w:vAlign w:val="bottom"/>
          </w:tcPr>
          <w:p>
            <w:pPr>
              <w:ind w:left="260"/>
              <w:spacing w:after="0" w:line="187" w:lineRule="exact"/>
              <w:rPr>
                <w:sz w:val="20"/>
                <w:szCs w:val="20"/>
                <w:color w:val="auto"/>
              </w:rPr>
            </w:pPr>
            <w:r>
              <w:rPr>
                <w:rFonts w:ascii="Arial" w:cs="Arial" w:eastAsia="Arial" w:hAnsi="Arial"/>
                <w:sz w:val="17"/>
                <w:szCs w:val="17"/>
                <w:color w:val="auto"/>
              </w:rPr>
              <w:t>Net loss</w:t>
            </w:r>
          </w:p>
        </w:tc>
        <w:tc>
          <w:tcPr>
            <w:tcW w:w="16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521"/>
              <w:spacing w:after="0" w:line="187" w:lineRule="exact"/>
              <w:rPr>
                <w:sz w:val="20"/>
                <w:szCs w:val="20"/>
                <w:color w:val="auto"/>
              </w:rPr>
            </w:pPr>
            <w:r>
              <w:rPr>
                <w:rFonts w:ascii="Arial" w:cs="Arial" w:eastAsia="Arial" w:hAnsi="Arial"/>
                <w:sz w:val="17"/>
                <w:szCs w:val="17"/>
                <w:color w:val="auto"/>
              </w:rPr>
              <w:t>(13,982)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(22,705)</w:t>
            </w:r>
          </w:p>
        </w:tc>
      </w:tr>
      <w:tr>
        <w:trPr>
          <w:trHeight w:val="187"/>
        </w:trPr>
        <w:tc>
          <w:tcPr>
            <w:tcW w:w="70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Accrual of preferred stock dividends</w:t>
            </w: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1"/>
              <w:spacing w:after="0" w:line="187" w:lineRule="exact"/>
              <w:rPr>
                <w:sz w:val="20"/>
                <w:szCs w:val="20"/>
                <w:color w:val="auto"/>
              </w:rPr>
            </w:pPr>
            <w:r>
              <w:rPr>
                <w:rFonts w:ascii="Arial" w:cs="Arial" w:eastAsia="Arial" w:hAnsi="Arial"/>
                <w:sz w:val="17"/>
                <w:szCs w:val="17"/>
                <w:color w:val="auto"/>
              </w:rPr>
              <w:t>(4,199)</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(5,019)</w:t>
            </w:r>
          </w:p>
        </w:tc>
      </w:tr>
      <w:tr>
        <w:trPr>
          <w:trHeight w:val="194"/>
        </w:trPr>
        <w:tc>
          <w:tcPr>
            <w:tcW w:w="7080" w:type="dxa"/>
            <w:vAlign w:val="bottom"/>
          </w:tcPr>
          <w:p>
            <w:pPr>
              <w:ind w:left="260"/>
              <w:spacing w:after="0" w:line="194" w:lineRule="exact"/>
              <w:rPr>
                <w:sz w:val="20"/>
                <w:szCs w:val="20"/>
                <w:color w:val="auto"/>
              </w:rPr>
            </w:pPr>
            <w:r>
              <w:rPr>
                <w:rFonts w:ascii="Arial" w:cs="Arial" w:eastAsia="Arial" w:hAnsi="Arial"/>
                <w:sz w:val="17"/>
                <w:szCs w:val="17"/>
                <w:color w:val="auto"/>
              </w:rPr>
              <w:t>Net loss attributable to common stockholders—basic and diluted</w:t>
            </w:r>
          </w:p>
        </w:tc>
        <w:tc>
          <w:tcPr>
            <w:tcW w:w="14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(18,181</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(27,724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70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Denominator:</w:t>
            </w: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7"/>
        </w:trPr>
        <w:tc>
          <w:tcPr>
            <w:tcW w:w="7080" w:type="dxa"/>
            <w:vAlign w:val="bottom"/>
          </w:tcPr>
          <w:p>
            <w:pPr>
              <w:ind w:left="260"/>
              <w:spacing w:after="0" w:line="187" w:lineRule="exact"/>
              <w:rPr>
                <w:sz w:val="20"/>
                <w:szCs w:val="20"/>
                <w:color w:val="auto"/>
              </w:rPr>
            </w:pPr>
            <w:r>
              <w:rPr>
                <w:rFonts w:ascii="Arial" w:cs="Arial" w:eastAsia="Arial" w:hAnsi="Arial"/>
                <w:sz w:val="17"/>
                <w:szCs w:val="17"/>
                <w:color w:val="auto"/>
              </w:rPr>
              <w:t>Weighted-average common stock outstanding—basic and diluted</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581"/>
              <w:spacing w:after="0" w:line="187" w:lineRule="exact"/>
              <w:rPr>
                <w:sz w:val="20"/>
                <w:szCs w:val="20"/>
                <w:color w:val="auto"/>
              </w:rPr>
            </w:pPr>
            <w:r>
              <w:rPr>
                <w:rFonts w:ascii="Arial" w:cs="Arial" w:eastAsia="Arial" w:hAnsi="Arial"/>
                <w:sz w:val="17"/>
                <w:szCs w:val="17"/>
                <w:color w:val="auto"/>
              </w:rPr>
              <w:t>1,343,739</w:t>
            </w:r>
          </w:p>
        </w:tc>
        <w:tc>
          <w:tcPr>
            <w:tcW w:w="140" w:type="dxa"/>
            <w:vAlign w:val="bottom"/>
          </w:tcPr>
          <w:p>
            <w:pPr>
              <w:spacing w:after="0"/>
              <w:rPr>
                <w:sz w:val="16"/>
                <w:szCs w:val="16"/>
                <w:color w:val="auto"/>
              </w:rPr>
            </w:pPr>
          </w:p>
        </w:tc>
        <w:tc>
          <w:tcPr>
            <w:tcW w:w="920" w:type="dxa"/>
            <w:vAlign w:val="bottom"/>
            <w:gridSpan w:val="2"/>
          </w:tcPr>
          <w:p>
            <w:pPr>
              <w:jc w:val="right"/>
              <w:ind w:right="21"/>
              <w:spacing w:after="0" w:line="187" w:lineRule="exact"/>
              <w:rPr>
                <w:sz w:val="20"/>
                <w:szCs w:val="20"/>
                <w:color w:val="auto"/>
              </w:rPr>
            </w:pPr>
            <w:r>
              <w:rPr>
                <w:rFonts w:ascii="Arial" w:cs="Arial" w:eastAsia="Arial" w:hAnsi="Arial"/>
                <w:sz w:val="17"/>
                <w:szCs w:val="17"/>
                <w:color w:val="auto"/>
              </w:rPr>
              <w:t>1,469,571</w:t>
            </w:r>
          </w:p>
        </w:tc>
      </w:tr>
      <w:tr>
        <w:trPr>
          <w:trHeight w:val="20"/>
        </w:trPr>
        <w:tc>
          <w:tcPr>
            <w:tcW w:w="7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70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16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521"/>
              <w:spacing w:after="0" w:line="180" w:lineRule="exact"/>
              <w:rPr>
                <w:sz w:val="20"/>
                <w:szCs w:val="20"/>
                <w:color w:val="auto"/>
              </w:rPr>
            </w:pPr>
            <w:r>
              <w:rPr>
                <w:rFonts w:ascii="Arial" w:cs="Arial" w:eastAsia="Arial" w:hAnsi="Arial"/>
                <w:sz w:val="17"/>
                <w:szCs w:val="17"/>
                <w:color w:val="auto"/>
              </w:rPr>
              <w:t>(13.53)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(18.87)</w:t>
            </w:r>
          </w:p>
        </w:tc>
      </w:tr>
      <w:tr>
        <w:trPr>
          <w:trHeight w:val="20"/>
        </w:trPr>
        <w:tc>
          <w:tcPr>
            <w:tcW w:w="7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Company’s potentially dilutive securities, which include Preferred Stock, warrants to purchase preferred stock and common stock options,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common stock equivalents, which include the following shares of preferred stock converting into the Company’s common stock at a ratio of 8.4335-to-one, from the computation of diluted net loss per share attributable to common stockholders as of June 30, 2019 and June 30, 2020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335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162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4"/>
        </w:trPr>
        <w:tc>
          <w:tcPr>
            <w:tcW w:w="86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359"/>
              <w:spacing w:after="0" w:line="154"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7"/>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1"/>
        </w:trPr>
        <w:tc>
          <w:tcPr>
            <w:tcW w:w="86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Series Seed Preferred Stock</w:t>
            </w:r>
          </w:p>
        </w:tc>
        <w:tc>
          <w:tcPr>
            <w:tcW w:w="11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474,298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474,298</w:t>
            </w:r>
          </w:p>
        </w:tc>
        <w:tc>
          <w:tcPr>
            <w:tcW w:w="80" w:type="dxa"/>
            <w:vAlign w:val="bottom"/>
            <w:shd w:val="clear" w:color="auto" w:fill="CCEEFF"/>
          </w:tcPr>
          <w:p>
            <w:pPr>
              <w:spacing w:after="0"/>
              <w:rPr>
                <w:sz w:val="15"/>
                <w:szCs w:val="15"/>
                <w:color w:val="auto"/>
              </w:rPr>
            </w:pPr>
          </w:p>
        </w:tc>
      </w:tr>
      <w:tr>
        <w:trPr>
          <w:trHeight w:val="187"/>
        </w:trPr>
        <w:tc>
          <w:tcPr>
            <w:tcW w:w="8640" w:type="dxa"/>
            <w:vAlign w:val="bottom"/>
          </w:tcPr>
          <w:p>
            <w:pPr>
              <w:spacing w:after="0" w:line="187" w:lineRule="exact"/>
              <w:rPr>
                <w:sz w:val="20"/>
                <w:szCs w:val="20"/>
                <w:color w:val="auto"/>
              </w:rPr>
            </w:pPr>
            <w:r>
              <w:rPr>
                <w:rFonts w:ascii="Arial" w:cs="Arial" w:eastAsia="Arial" w:hAnsi="Arial"/>
                <w:sz w:val="17"/>
                <w:szCs w:val="17"/>
                <w:color w:val="auto"/>
              </w:rPr>
              <w:t>Series A Preferred Stock</w:t>
            </w:r>
          </w:p>
        </w:tc>
        <w:tc>
          <w:tcPr>
            <w:tcW w:w="120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12,941,857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12,941,857</w:t>
            </w:r>
          </w:p>
        </w:tc>
      </w:tr>
      <w:tr>
        <w:trPr>
          <w:trHeight w:val="187"/>
        </w:trPr>
        <w:tc>
          <w:tcPr>
            <w:tcW w:w="86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Series B Preferred Stock</w:t>
            </w:r>
          </w:p>
        </w:tc>
        <w:tc>
          <w:tcPr>
            <w:tcW w:w="1620" w:type="dxa"/>
            <w:vAlign w:val="bottom"/>
            <w:gridSpan w:val="4"/>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16,431,047</w:t>
            </w:r>
          </w:p>
        </w:tc>
      </w:tr>
      <w:tr>
        <w:trPr>
          <w:trHeight w:val="187"/>
        </w:trPr>
        <w:tc>
          <w:tcPr>
            <w:tcW w:w="8640" w:type="dxa"/>
            <w:vAlign w:val="bottom"/>
          </w:tcPr>
          <w:p>
            <w:pPr>
              <w:spacing w:after="0" w:line="187" w:lineRule="exact"/>
              <w:rPr>
                <w:sz w:val="20"/>
                <w:szCs w:val="20"/>
                <w:color w:val="auto"/>
              </w:rPr>
            </w:pPr>
            <w:r>
              <w:rPr>
                <w:rFonts w:ascii="Arial" w:cs="Arial" w:eastAsia="Arial" w:hAnsi="Arial"/>
                <w:sz w:val="17"/>
                <w:szCs w:val="17"/>
                <w:color w:val="auto"/>
              </w:rPr>
              <w:t>Options to purchase common stock</w:t>
            </w:r>
          </w:p>
        </w:tc>
        <w:tc>
          <w:tcPr>
            <w:tcW w:w="120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1,817,681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1,052,531</w:t>
            </w:r>
          </w:p>
        </w:tc>
      </w:tr>
      <w:tr>
        <w:trPr>
          <w:trHeight w:val="187"/>
        </w:trPr>
        <w:tc>
          <w:tcPr>
            <w:tcW w:w="86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Warrants to purchase Series B Preferred Stock</w:t>
            </w:r>
          </w:p>
        </w:tc>
        <w:tc>
          <w:tcPr>
            <w:tcW w:w="1620" w:type="dxa"/>
            <w:vAlign w:val="bottom"/>
            <w:gridSpan w:val="4"/>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338,784</w:t>
            </w:r>
          </w:p>
        </w:tc>
      </w:tr>
      <w:tr>
        <w:trPr>
          <w:trHeight w:val="194"/>
        </w:trPr>
        <w:tc>
          <w:tcPr>
            <w:tcW w:w="864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15,233,836</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31,238,517</w:t>
            </w:r>
          </w:p>
        </w:tc>
        <w:tc>
          <w:tcPr>
            <w:tcW w:w="80" w:type="dxa"/>
            <w:vAlign w:val="bottom"/>
          </w:tcPr>
          <w:p>
            <w:pPr>
              <w:spacing w:after="0"/>
              <w:rPr>
                <w:sz w:val="16"/>
                <w:szCs w:val="16"/>
                <w:color w:val="auto"/>
              </w:rPr>
            </w:pPr>
          </w:p>
        </w:tc>
      </w:tr>
      <w:tr>
        <w:trPr>
          <w:trHeight w:val="20"/>
        </w:trPr>
        <w:tc>
          <w:tcPr>
            <w:tcW w:w="8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3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unaudited pro forma basic and diluted net loss per share attributable to common stockholders for the six months ended June 30, 2020 has been prepared to give effect to the automatic conversion of all outstanding shares of redeemable convertible preferred stock upon the closing of the proposed initial public offering into 30,355,379 shares of common stock as if the conversion had occurred on the later of January 1, 2020 or the issuance of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240"/>
          </w:cols>
          <w:pgMar w:left="320" w:top="454" w:right="3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redeemable convertible preferred stock. The unaudited pro forma net loss attributable to common stockholders used in the calculation of unaudited pro forma basic and diluted net loss per share attributable to common stockholders does not include the effects of Preferred Stock dividends because the calculation gives effect to the automatic conversion of all shares of Preferred Stock outstanding as of June 30, 2020 into shares of common stock as if the proposed IPO had occurred on the later of January 1, 2020 or the issuance date of the preferred stock.</w:t>
      </w:r>
    </w:p>
    <w:p>
      <w:pPr>
        <w:spacing w:after="0" w:line="118"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The unaudited pro forma basic and diluted weighted-average common shares outstanding used in the calculation of unaudited pro forma basic and diluted net loss per share attributable to common stockholders for the six months ended June 30, 2020 has been prepared to give effect, upon a qualified IPO, to the automatic conversion of all outstanding shares of convertible preferred stock into common stock as if the proposed IPO had occurred on the later of January 1, 2020 or the issuance date of the preferred stock. Pro forma basic and diluted net loss per share attributable to common stockholders was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9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2020</w:t>
            </w:r>
          </w:p>
        </w:tc>
      </w:tr>
      <w:tr>
        <w:trPr>
          <w:trHeight w:val="167"/>
        </w:trPr>
        <w:tc>
          <w:tcPr>
            <w:tcW w:w="910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Numerator:</w:t>
            </w:r>
          </w:p>
        </w:tc>
        <w:tc>
          <w:tcPr>
            <w:tcW w:w="6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7"/>
        </w:trPr>
        <w:tc>
          <w:tcPr>
            <w:tcW w:w="9100" w:type="dxa"/>
            <w:vAlign w:val="bottom"/>
          </w:tcPr>
          <w:p>
            <w:pPr>
              <w:ind w:left="260"/>
              <w:spacing w:after="0" w:line="187" w:lineRule="exact"/>
              <w:rPr>
                <w:sz w:val="20"/>
                <w:szCs w:val="20"/>
                <w:color w:val="auto"/>
              </w:rPr>
            </w:pPr>
            <w:r>
              <w:rPr>
                <w:rFonts w:ascii="Arial" w:cs="Arial" w:eastAsia="Arial" w:hAnsi="Arial"/>
                <w:sz w:val="17"/>
                <w:szCs w:val="17"/>
                <w:color w:val="auto"/>
              </w:rPr>
              <w:t>Net loss attributable to common stockholders—basic and diluted</w:t>
            </w:r>
          </w:p>
        </w:tc>
        <w:tc>
          <w:tcPr>
            <w:tcW w:w="760" w:type="dxa"/>
            <w:vAlign w:val="bottom"/>
            <w:gridSpan w:val="2"/>
          </w:tcPr>
          <w:p>
            <w:pPr>
              <w:ind w:left="600"/>
              <w:spacing w:after="0" w:line="187" w:lineRule="exact"/>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(27,724)</w:t>
            </w:r>
          </w:p>
        </w:tc>
      </w:tr>
      <w:tr>
        <w:trPr>
          <w:trHeight w:val="187"/>
        </w:trPr>
        <w:tc>
          <w:tcPr>
            <w:tcW w:w="910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Accrual of preferred stock dividends</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5,019</w:t>
            </w:r>
          </w:p>
        </w:tc>
      </w:tr>
      <w:tr>
        <w:trPr>
          <w:trHeight w:val="194"/>
        </w:trPr>
        <w:tc>
          <w:tcPr>
            <w:tcW w:w="9100" w:type="dxa"/>
            <w:vAlign w:val="bottom"/>
          </w:tcPr>
          <w:p>
            <w:pPr>
              <w:ind w:left="260"/>
              <w:spacing w:after="0" w:line="194" w:lineRule="exact"/>
              <w:rPr>
                <w:sz w:val="20"/>
                <w:szCs w:val="20"/>
                <w:color w:val="auto"/>
              </w:rPr>
            </w:pPr>
            <w:r>
              <w:rPr>
                <w:rFonts w:ascii="Arial" w:cs="Arial" w:eastAsia="Arial" w:hAnsi="Arial"/>
                <w:sz w:val="17"/>
                <w:szCs w:val="17"/>
                <w:color w:val="auto"/>
              </w:rPr>
              <w:t>Pro forma net loss attributable to common stockholders—basic and diluted</w:t>
            </w:r>
          </w:p>
        </w:tc>
        <w:tc>
          <w:tcPr>
            <w:tcW w:w="6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(22,705)</w:t>
            </w:r>
          </w:p>
        </w:tc>
        <w:tc>
          <w:tcPr>
            <w:tcW w:w="100" w:type="dxa"/>
            <w:vAlign w:val="bottom"/>
          </w:tcPr>
          <w:p>
            <w:pPr>
              <w:spacing w:after="0"/>
              <w:rPr>
                <w:sz w:val="16"/>
                <w:szCs w:val="16"/>
                <w:color w:val="auto"/>
              </w:rPr>
            </w:pPr>
          </w:p>
        </w:tc>
      </w:tr>
      <w:tr>
        <w:trPr>
          <w:trHeight w:val="20"/>
        </w:trPr>
        <w:tc>
          <w:tcPr>
            <w:tcW w:w="9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91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Denominator:</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4"/>
        </w:trPr>
        <w:tc>
          <w:tcPr>
            <w:tcW w:w="9100" w:type="dxa"/>
            <w:vAlign w:val="bottom"/>
          </w:tcPr>
          <w:p>
            <w:pPr>
              <w:ind w:left="260"/>
              <w:spacing w:after="0" w:line="187" w:lineRule="exact"/>
              <w:rPr>
                <w:sz w:val="20"/>
                <w:szCs w:val="20"/>
                <w:color w:val="auto"/>
              </w:rPr>
            </w:pPr>
            <w:r>
              <w:rPr>
                <w:rFonts w:ascii="Arial" w:cs="Arial" w:eastAsia="Arial" w:hAnsi="Arial"/>
                <w:sz w:val="17"/>
                <w:szCs w:val="17"/>
                <w:color w:val="auto"/>
              </w:rPr>
              <w:t>Weighted-average common stock outstanding—basic and diluted</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1,469,571</w:t>
            </w:r>
          </w:p>
        </w:tc>
      </w:tr>
      <w:tr>
        <w:trPr>
          <w:trHeight w:val="159"/>
        </w:trPr>
        <w:tc>
          <w:tcPr>
            <w:tcW w:w="9100" w:type="dxa"/>
            <w:vAlign w:val="bottom"/>
            <w:shd w:val="clear" w:color="auto" w:fill="CCEEFF"/>
          </w:tcPr>
          <w:p>
            <w:pPr>
              <w:ind w:left="260"/>
              <w:spacing w:after="0" w:line="159" w:lineRule="exact"/>
              <w:rPr>
                <w:sz w:val="20"/>
                <w:szCs w:val="20"/>
                <w:color w:val="auto"/>
              </w:rPr>
            </w:pPr>
            <w:r>
              <w:rPr>
                <w:rFonts w:ascii="Arial" w:cs="Arial" w:eastAsia="Arial" w:hAnsi="Arial"/>
                <w:sz w:val="17"/>
                <w:szCs w:val="17"/>
                <w:color w:val="auto"/>
              </w:rPr>
              <w:t>Pro forma adjustment to reflect automatic conversion of convertible preferred stock to common stock upon the</w:t>
            </w:r>
          </w:p>
        </w:tc>
        <w:tc>
          <w:tcPr>
            <w:tcW w:w="6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5"/>
        </w:trPr>
        <w:tc>
          <w:tcPr>
            <w:tcW w:w="91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completion of the proposed initial public offering</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15,763,447</w:t>
            </w:r>
          </w:p>
        </w:tc>
      </w:tr>
      <w:tr>
        <w:trPr>
          <w:trHeight w:val="194"/>
        </w:trPr>
        <w:tc>
          <w:tcPr>
            <w:tcW w:w="9100" w:type="dxa"/>
            <w:vAlign w:val="bottom"/>
          </w:tcPr>
          <w:p>
            <w:pPr>
              <w:spacing w:after="0" w:line="194" w:lineRule="exact"/>
              <w:rPr>
                <w:sz w:val="20"/>
                <w:szCs w:val="20"/>
                <w:color w:val="auto"/>
              </w:rPr>
            </w:pPr>
            <w:r>
              <w:rPr>
                <w:rFonts w:ascii="Arial" w:cs="Arial" w:eastAsia="Arial" w:hAnsi="Arial"/>
                <w:sz w:val="17"/>
                <w:szCs w:val="17"/>
                <w:color w:val="auto"/>
              </w:rPr>
              <w:t>Pro forma weighted-average common stock outstanding—basic and diluted</w:t>
            </w:r>
          </w:p>
        </w:tc>
        <w:tc>
          <w:tcPr>
            <w:tcW w:w="6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17,233,018</w:t>
            </w:r>
          </w:p>
        </w:tc>
        <w:tc>
          <w:tcPr>
            <w:tcW w:w="100" w:type="dxa"/>
            <w:vAlign w:val="bottom"/>
          </w:tcPr>
          <w:p>
            <w:pPr>
              <w:spacing w:after="0"/>
              <w:rPr>
                <w:sz w:val="16"/>
                <w:szCs w:val="16"/>
                <w:color w:val="auto"/>
              </w:rPr>
            </w:pPr>
          </w:p>
        </w:tc>
      </w:tr>
      <w:tr>
        <w:trPr>
          <w:trHeight w:val="20"/>
        </w:trPr>
        <w:tc>
          <w:tcPr>
            <w:tcW w:w="9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9100" w:type="dxa"/>
            <w:vAlign w:val="bottom"/>
            <w:shd w:val="clear" w:color="auto" w:fill="CCEEFF"/>
          </w:tcPr>
          <w:p>
            <w:pPr>
              <w:ind w:left="260"/>
              <w:spacing w:after="0" w:line="180" w:lineRule="exact"/>
              <w:rPr>
                <w:sz w:val="20"/>
                <w:szCs w:val="20"/>
                <w:color w:val="auto"/>
              </w:rPr>
            </w:pPr>
            <w:r>
              <w:rPr>
                <w:rFonts w:ascii="Arial" w:cs="Arial" w:eastAsia="Arial" w:hAnsi="Arial"/>
                <w:sz w:val="17"/>
                <w:szCs w:val="17"/>
                <w:color w:val="auto"/>
              </w:rPr>
              <w:t>Pro forma net loss per share attributable to common stockholders—basic and diluted</w:t>
            </w:r>
          </w:p>
        </w:tc>
        <w:tc>
          <w:tcPr>
            <w:tcW w:w="760" w:type="dxa"/>
            <w:vAlign w:val="bottom"/>
            <w:gridSpan w:val="2"/>
            <w:shd w:val="clear" w:color="auto" w:fill="CCEEFF"/>
          </w:tcPr>
          <w:p>
            <w:pPr>
              <w:ind w:left="600"/>
              <w:spacing w:after="0" w:line="180"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
              <w:spacing w:after="0" w:line="180" w:lineRule="exact"/>
              <w:rPr>
                <w:sz w:val="20"/>
                <w:szCs w:val="20"/>
                <w:color w:val="auto"/>
              </w:rPr>
            </w:pPr>
            <w:r>
              <w:rPr>
                <w:rFonts w:ascii="Arial" w:cs="Arial" w:eastAsia="Arial" w:hAnsi="Arial"/>
                <w:sz w:val="17"/>
                <w:szCs w:val="17"/>
                <w:color w:val="auto"/>
              </w:rPr>
              <w:t>(1.32)</w:t>
            </w:r>
          </w:p>
        </w:tc>
      </w:tr>
      <w:tr>
        <w:trPr>
          <w:trHeight w:val="20"/>
        </w:trPr>
        <w:tc>
          <w:tcPr>
            <w:tcW w:w="9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9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57"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 Company has a 401(k) retirement plan (the 401(k) Plan), whereby all full-time employees may contribute up to 90% of their pre-tax compensation, up to the maximum allowable amount set by the Internal Revenue Service. The Company matches 100% of contributions to the 401(k) Plan up to a maximum of $6,000 per year for each full-time employee. During the six months ended June 30, 2019 and 2020, the Company contributed approximately $0.3 million and $0.4 million to the 401(k) Plan,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7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Company has evaluated subsequent events from the balance sheet date through the issuance date of these consolidated financial statements and has not identified any requiring disclosure except as noted below.</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4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July 2020, the Company granted options to purchase 1,467,424 shares of common stock to employees and certain consultants at an exercise price of $4.98 per share, which represents fair value as of the grant dates. In September 2020, the Company approved the issuance of stock options to Marc A. Cohen, our Co-Founder, Executive Chairman and interim Chief Executive Officer, and Andrew Hirsch, our President, Director and Chief Executive Officer-elect, which election will be effective upon the effectiveness of the registration statement, representing 1.5% and 3.5%, respectively, of the Company’s fully-diluted shares measured at such time (including the shares to be sold in this offering and excluding the shares reserved for future awards under the Company’s equity incentive plans) at an exercise price per share equal to the initial public offering price per share. These options vest quarterly over four years subject to cliff vesting after six months. Mr. Cohen’s grant is subject to full acceleration upon a sale of the Company. Mr. Hirsch’s option is subject to full acceleration upon a sale of the Company and the termination of his employment thereafter pursuant to the terms of his employment agreement, subject to the execution of an effective release of claims in favor of the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240"/>
          </w:cols>
          <w:pgMar w:left="320" w:top="454" w:right="3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4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Company’s board of directors approved a one-for-8.4335 reverse stock split of its issued and outstanding common stock and stock options and a proportional adjustment to the existing conversion ratios for the Company’s convertible preferred stock effective as of September 25, 2020. Accordingly, all shares of common stock, per share amounts, and additional paid-in capital amounts for all periods presented in the accompanying unaudited interim condensed consolidated financial statements and notes thereto have been retroactively adjusted, where applicable, to reflect the reverse stock split.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4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impact of the COVID-19 coronavirus outbreak on the financial performance of the Company will depend on future developments, including the duration and spread of the outbreak and related governmental advisories and restrictions. These developments and the impact of COVID-19 on the financial markets and the overall economy are highly uncertain and cannot be predicted. If the financial markets and/or the overall economy are impacted for an extended period, the Company’s results may be materially adversely affected. The Company is currently unable to determine the extent of the impact of the pandemic to its operations and financial condition, as clinical trials have not started. Once the Company begins its clinical trials, it will assess any potential delays as a result of the pandemic and their financial impact.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180"/>
          </w:cols>
          <w:pgMar w:left="320" w:top="454" w:right="399" w:bottom="1440" w:gutter="0" w:footer="0" w:header="0"/>
        </w:sectPr>
      </w:pPr>
    </w:p>
    <w:bookmarkStart w:id="230" w:name="page231"/>
    <w:bookmarkEnd w:id="23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227965</wp:posOffset>
            </wp:positionV>
            <wp:extent cx="713359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8,824,000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427990</wp:posOffset>
            </wp:positionV>
            <wp:extent cx="4161155" cy="8489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16115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869315</wp:posOffset>
            </wp:positionV>
            <wp:extent cx="227584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154305</wp:posOffset>
            </wp:positionV>
            <wp:extent cx="22758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2120" w:val="left"/>
          <w:tab w:leader="none" w:pos="4360" w:val="left"/>
          <w:tab w:leader="none" w:pos="8260" w:val="left"/>
        </w:tabs>
        <w:rPr>
          <w:sz w:val="20"/>
          <w:szCs w:val="20"/>
          <w:color w:val="auto"/>
        </w:rPr>
      </w:pP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Evercore ISI</w:t>
      </w:r>
      <w:r>
        <w:rPr>
          <w:sz w:val="20"/>
          <w:szCs w:val="20"/>
          <w:color w:val="auto"/>
        </w:rPr>
        <w:tab/>
      </w:r>
      <w:r>
        <w:rPr>
          <w:rFonts w:ascii="Arial" w:cs="Arial" w:eastAsia="Arial" w:hAnsi="Arial"/>
          <w:sz w:val="29"/>
          <w:szCs w:val="29"/>
          <w:b w:val="1"/>
          <w:bCs w:val="1"/>
          <w:color w:val="auto"/>
        </w:rPr>
        <w:t>BMO Capital Markets</w:t>
      </w:r>
      <w:r>
        <w:rPr>
          <w:sz w:val="20"/>
          <w:szCs w:val="20"/>
          <w:color w:val="auto"/>
        </w:rPr>
        <w:tab/>
      </w:r>
      <w:r>
        <w:rPr>
          <w:rFonts w:ascii="Arial" w:cs="Arial" w:eastAsia="Arial" w:hAnsi="Arial"/>
          <w:sz w:val="28"/>
          <w:szCs w:val="28"/>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1624965</wp:posOffset>
            </wp:positionV>
            <wp:extent cx="71335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1675765</wp:posOffset>
            </wp:positionV>
            <wp:extent cx="713359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3590" cy="25400"/>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8" w:lineRule="exact"/>
        <w:rPr>
          <w:sz w:val="20"/>
          <w:szCs w:val="20"/>
          <w:color w:val="auto"/>
        </w:rPr>
      </w:pPr>
    </w:p>
    <w:p>
      <w:pPr>
        <w:ind w:right="3540" w:firstLine="3534"/>
        <w:spacing w:after="0" w:line="316" w:lineRule="auto"/>
        <w:rPr>
          <w:sz w:val="20"/>
          <w:szCs w:val="20"/>
          <w:color w:val="auto"/>
        </w:rPr>
      </w:pPr>
      <w:r>
        <w:rPr>
          <w:rFonts w:ascii="Arial" w:cs="Arial" w:eastAsia="Arial" w:hAnsi="Arial"/>
          <w:sz w:val="18"/>
          <w:szCs w:val="18"/>
          <w:b w:val="1"/>
          <w:bCs w:val="1"/>
          <w:color w:val="auto"/>
        </w:rPr>
        <w:t>INFORMATION NOT REQUIRED IN PROSPECTUS Item 13. Other Expenses of Issuance and Distribution</w:t>
      </w:r>
    </w:p>
    <w:p>
      <w:pPr>
        <w:ind w:right="160"/>
        <w:spacing w:after="0" w:line="273" w:lineRule="auto"/>
        <w:rPr>
          <w:sz w:val="20"/>
          <w:szCs w:val="20"/>
          <w:color w:val="auto"/>
        </w:rPr>
      </w:pPr>
      <w:r>
        <w:rPr>
          <w:rFonts w:ascii="Arial" w:cs="Arial" w:eastAsia="Arial" w:hAnsi="Arial"/>
          <w:sz w:val="16"/>
          <w:szCs w:val="16"/>
          <w:color w:val="auto"/>
        </w:rPr>
        <w:t>The following table sets forth the costs and expenses, other than underwriting discounts and commissions, to be paid by us in connection with the sale of the shares of common stock being registered hereby. All amounts shown are estimates except for the Securities and Exchange Commission, or SEC, registration fee, the Financial Industry Regulatory Authority, Inc., or FINRA, filing fee and the Nasdaq Global Market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335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2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23,709</w:t>
            </w:r>
          </w:p>
        </w:tc>
        <w:tc>
          <w:tcPr>
            <w:tcW w:w="40" w:type="dxa"/>
            <w:vAlign w:val="bottom"/>
            <w:shd w:val="clear" w:color="auto" w:fill="CCEEFF"/>
          </w:tcPr>
          <w:p>
            <w:pPr>
              <w:spacing w:after="0"/>
              <w:rPr>
                <w:sz w:val="16"/>
                <w:szCs w:val="16"/>
                <w:color w:val="auto"/>
              </w:rPr>
            </w:pPr>
          </w:p>
        </w:tc>
      </w:tr>
      <w:tr>
        <w:trPr>
          <w:trHeight w:val="187"/>
        </w:trPr>
        <w:tc>
          <w:tcPr>
            <w:tcW w:w="10220" w:type="dxa"/>
            <w:vAlign w:val="bottom"/>
          </w:tcPr>
          <w:p>
            <w:pPr>
              <w:spacing w:after="0" w:line="187" w:lineRule="exact"/>
              <w:rPr>
                <w:sz w:val="20"/>
                <w:szCs w:val="20"/>
                <w:color w:val="auto"/>
              </w:rPr>
            </w:pPr>
            <w:r>
              <w:rPr>
                <w:rFonts w:ascii="Arial" w:cs="Arial" w:eastAsia="Arial" w:hAnsi="Arial"/>
                <w:sz w:val="17"/>
                <w:szCs w:val="17"/>
                <w:color w:val="auto"/>
              </w:rPr>
              <w:t>FINRA filing fee</w:t>
            </w:r>
          </w:p>
        </w:tc>
        <w:tc>
          <w:tcPr>
            <w:tcW w:w="160" w:type="dxa"/>
            <w:vAlign w:val="bottom"/>
          </w:tcPr>
          <w:p>
            <w:pPr>
              <w:spacing w:after="0"/>
              <w:rPr>
                <w:sz w:val="16"/>
                <w:szCs w:val="16"/>
                <w:color w:val="auto"/>
              </w:rPr>
            </w:pPr>
          </w:p>
        </w:tc>
        <w:tc>
          <w:tcPr>
            <w:tcW w:w="8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27,899</w:t>
            </w:r>
          </w:p>
        </w:tc>
        <w:tc>
          <w:tcPr>
            <w:tcW w:w="40" w:type="dxa"/>
            <w:vAlign w:val="bottom"/>
          </w:tcPr>
          <w:p>
            <w:pPr>
              <w:spacing w:after="0"/>
              <w:rPr>
                <w:sz w:val="16"/>
                <w:szCs w:val="16"/>
                <w:color w:val="auto"/>
              </w:rPr>
            </w:pPr>
          </w:p>
        </w:tc>
      </w:tr>
      <w:tr>
        <w:trPr>
          <w:trHeight w:val="187"/>
        </w:trPr>
        <w:tc>
          <w:tcPr>
            <w:tcW w:w="102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The Nasdaq Global Market listing fee</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45,000</w:t>
            </w:r>
          </w:p>
        </w:tc>
        <w:tc>
          <w:tcPr>
            <w:tcW w:w="40" w:type="dxa"/>
            <w:vAlign w:val="bottom"/>
            <w:shd w:val="clear" w:color="auto" w:fill="CCEEFF"/>
          </w:tcPr>
          <w:p>
            <w:pPr>
              <w:spacing w:after="0"/>
              <w:rPr>
                <w:sz w:val="16"/>
                <w:szCs w:val="16"/>
                <w:color w:val="auto"/>
              </w:rPr>
            </w:pPr>
          </w:p>
        </w:tc>
      </w:tr>
      <w:tr>
        <w:trPr>
          <w:trHeight w:val="187"/>
        </w:trPr>
        <w:tc>
          <w:tcPr>
            <w:tcW w:w="10220" w:type="dxa"/>
            <w:vAlign w:val="bottom"/>
          </w:tcPr>
          <w:p>
            <w:pPr>
              <w:spacing w:after="0" w:line="187" w:lineRule="exact"/>
              <w:rPr>
                <w:sz w:val="20"/>
                <w:szCs w:val="20"/>
                <w:color w:val="auto"/>
              </w:rPr>
            </w:pPr>
            <w:r>
              <w:rPr>
                <w:rFonts w:ascii="Arial" w:cs="Arial" w:eastAsia="Arial" w:hAnsi="Arial"/>
                <w:sz w:val="17"/>
                <w:szCs w:val="17"/>
                <w:color w:val="auto"/>
              </w:rPr>
              <w:t>Printing and engraving expenses</w:t>
            </w:r>
          </w:p>
        </w:tc>
        <w:tc>
          <w:tcPr>
            <w:tcW w:w="160" w:type="dxa"/>
            <w:vAlign w:val="bottom"/>
          </w:tcPr>
          <w:p>
            <w:pPr>
              <w:spacing w:after="0"/>
              <w:rPr>
                <w:sz w:val="16"/>
                <w:szCs w:val="16"/>
                <w:color w:val="auto"/>
              </w:rPr>
            </w:pPr>
          </w:p>
        </w:tc>
        <w:tc>
          <w:tcPr>
            <w:tcW w:w="860" w:type="dxa"/>
            <w:vAlign w:val="bottom"/>
            <w:gridSpan w:val="3"/>
          </w:tcPr>
          <w:p>
            <w:pPr>
              <w:jc w:val="right"/>
              <w:ind w:right="60"/>
              <w:spacing w:after="0" w:line="187" w:lineRule="exact"/>
              <w:rPr>
                <w:sz w:val="20"/>
                <w:szCs w:val="20"/>
                <w:color w:val="auto"/>
              </w:rPr>
            </w:pPr>
            <w:r>
              <w:rPr>
                <w:rFonts w:ascii="Arial" w:cs="Arial" w:eastAsia="Arial" w:hAnsi="Arial"/>
                <w:sz w:val="17"/>
                <w:szCs w:val="17"/>
                <w:color w:val="auto"/>
              </w:rPr>
              <w:t>150,000</w:t>
            </w:r>
          </w:p>
        </w:tc>
      </w:tr>
      <w:tr>
        <w:trPr>
          <w:trHeight w:val="187"/>
        </w:trPr>
        <w:tc>
          <w:tcPr>
            <w:tcW w:w="102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Legal fees and expenses</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1,300,000</w:t>
            </w:r>
          </w:p>
        </w:tc>
        <w:tc>
          <w:tcPr>
            <w:tcW w:w="40" w:type="dxa"/>
            <w:vAlign w:val="bottom"/>
            <w:shd w:val="clear" w:color="auto" w:fill="CCEEFF"/>
          </w:tcPr>
          <w:p>
            <w:pPr>
              <w:spacing w:after="0"/>
              <w:rPr>
                <w:sz w:val="16"/>
                <w:szCs w:val="16"/>
                <w:color w:val="auto"/>
              </w:rPr>
            </w:pPr>
          </w:p>
        </w:tc>
      </w:tr>
      <w:tr>
        <w:trPr>
          <w:trHeight w:val="187"/>
        </w:trPr>
        <w:tc>
          <w:tcPr>
            <w:tcW w:w="10220" w:type="dxa"/>
            <w:vAlign w:val="bottom"/>
          </w:tcPr>
          <w:p>
            <w:pPr>
              <w:spacing w:after="0" w:line="187" w:lineRule="exact"/>
              <w:rPr>
                <w:sz w:val="20"/>
                <w:szCs w:val="20"/>
                <w:color w:val="auto"/>
              </w:rPr>
            </w:pPr>
            <w:r>
              <w:rPr>
                <w:rFonts w:ascii="Arial" w:cs="Arial" w:eastAsia="Arial" w:hAnsi="Arial"/>
                <w:sz w:val="17"/>
                <w:szCs w:val="17"/>
                <w:color w:val="auto"/>
              </w:rPr>
              <w:t>Accounting fees and expenses</w:t>
            </w:r>
          </w:p>
        </w:tc>
        <w:tc>
          <w:tcPr>
            <w:tcW w:w="160" w:type="dxa"/>
            <w:vAlign w:val="bottom"/>
          </w:tcPr>
          <w:p>
            <w:pPr>
              <w:spacing w:after="0"/>
              <w:rPr>
                <w:sz w:val="16"/>
                <w:szCs w:val="16"/>
                <w:color w:val="auto"/>
              </w:rPr>
            </w:pPr>
          </w:p>
        </w:tc>
        <w:tc>
          <w:tcPr>
            <w:tcW w:w="860" w:type="dxa"/>
            <w:vAlign w:val="bottom"/>
            <w:gridSpan w:val="3"/>
          </w:tcPr>
          <w:p>
            <w:pPr>
              <w:jc w:val="right"/>
              <w:ind w:right="60"/>
              <w:spacing w:after="0" w:line="187" w:lineRule="exact"/>
              <w:rPr>
                <w:sz w:val="20"/>
                <w:szCs w:val="20"/>
                <w:color w:val="auto"/>
              </w:rPr>
            </w:pPr>
            <w:r>
              <w:rPr>
                <w:rFonts w:ascii="Arial" w:cs="Arial" w:eastAsia="Arial" w:hAnsi="Arial"/>
                <w:sz w:val="17"/>
                <w:szCs w:val="17"/>
                <w:color w:val="auto"/>
              </w:rPr>
              <w:t>750,000</w:t>
            </w:r>
          </w:p>
        </w:tc>
      </w:tr>
      <w:tr>
        <w:trPr>
          <w:trHeight w:val="187"/>
        </w:trPr>
        <w:tc>
          <w:tcPr>
            <w:tcW w:w="102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Financial and business advisory fees and expenses</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1,242,500</w:t>
            </w:r>
          </w:p>
        </w:tc>
        <w:tc>
          <w:tcPr>
            <w:tcW w:w="40" w:type="dxa"/>
            <w:vAlign w:val="bottom"/>
            <w:shd w:val="clear" w:color="auto" w:fill="CCEEFF"/>
          </w:tcPr>
          <w:p>
            <w:pPr>
              <w:spacing w:after="0"/>
              <w:rPr>
                <w:sz w:val="16"/>
                <w:szCs w:val="16"/>
                <w:color w:val="auto"/>
              </w:rPr>
            </w:pPr>
          </w:p>
        </w:tc>
      </w:tr>
      <w:tr>
        <w:trPr>
          <w:trHeight w:val="187"/>
        </w:trPr>
        <w:tc>
          <w:tcPr>
            <w:tcW w:w="10220" w:type="dxa"/>
            <w:vAlign w:val="bottom"/>
          </w:tcPr>
          <w:p>
            <w:pPr>
              <w:spacing w:after="0" w:line="187" w:lineRule="exact"/>
              <w:rPr>
                <w:sz w:val="20"/>
                <w:szCs w:val="20"/>
                <w:color w:val="auto"/>
              </w:rPr>
            </w:pPr>
            <w:r>
              <w:rPr>
                <w:rFonts w:ascii="Arial" w:cs="Arial" w:eastAsia="Arial" w:hAnsi="Arial"/>
                <w:sz w:val="17"/>
                <w:szCs w:val="17"/>
                <w:color w:val="auto"/>
              </w:rPr>
              <w:t>Transfer agent and registrar fees and expenses</w:t>
            </w:r>
          </w:p>
        </w:tc>
        <w:tc>
          <w:tcPr>
            <w:tcW w:w="160" w:type="dxa"/>
            <w:vAlign w:val="bottom"/>
          </w:tcPr>
          <w:p>
            <w:pPr>
              <w:spacing w:after="0"/>
              <w:rPr>
                <w:sz w:val="16"/>
                <w:szCs w:val="16"/>
                <w:color w:val="auto"/>
              </w:rPr>
            </w:pPr>
          </w:p>
        </w:tc>
        <w:tc>
          <w:tcPr>
            <w:tcW w:w="8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20,000</w:t>
            </w:r>
          </w:p>
        </w:tc>
        <w:tc>
          <w:tcPr>
            <w:tcW w:w="40" w:type="dxa"/>
            <w:vAlign w:val="bottom"/>
          </w:tcPr>
          <w:p>
            <w:pPr>
              <w:spacing w:after="0"/>
              <w:rPr>
                <w:sz w:val="16"/>
                <w:szCs w:val="16"/>
                <w:color w:val="auto"/>
              </w:rPr>
            </w:pPr>
          </w:p>
        </w:tc>
      </w:tr>
      <w:tr>
        <w:trPr>
          <w:trHeight w:val="187"/>
        </w:trPr>
        <w:tc>
          <w:tcPr>
            <w:tcW w:w="102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Miscellaneous</w:t>
            </w: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440,892</w:t>
            </w:r>
          </w:p>
        </w:tc>
      </w:tr>
      <w:tr>
        <w:trPr>
          <w:trHeight w:val="194"/>
        </w:trPr>
        <w:tc>
          <w:tcPr>
            <w:tcW w:w="10220" w:type="dxa"/>
            <w:vAlign w:val="bottom"/>
          </w:tcPr>
          <w:p>
            <w:pPr>
              <w:ind w:left="260"/>
              <w:spacing w:after="0" w:line="194" w:lineRule="exact"/>
              <w:rPr>
                <w:sz w:val="20"/>
                <w:szCs w:val="20"/>
                <w:color w:val="auto"/>
              </w:rPr>
            </w:pPr>
            <w:r>
              <w:rPr>
                <w:rFonts w:ascii="Arial" w:cs="Arial" w:eastAsia="Arial" w:hAnsi="Arial"/>
                <w:sz w:val="17"/>
                <w:szCs w:val="17"/>
                <w:b w:val="1"/>
                <w:bCs w:val="1"/>
                <w:color w:val="auto"/>
              </w:rPr>
              <w:t>Total</w:t>
            </w:r>
          </w:p>
        </w:tc>
        <w:tc>
          <w:tcPr>
            <w:tcW w:w="1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4,000,000</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10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10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5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2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have adopted provisions in our certificate of incorporation and bylaws, to be in effect upon the closing of this offering and filed as Exhibits 3.2 and 3.3, respectively, to this registration statement,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58" w:lineRule="exact"/>
        <w:rPr>
          <w:sz w:val="20"/>
          <w:szCs w:val="20"/>
          <w:color w:val="auto"/>
        </w:rPr>
      </w:pPr>
    </w:p>
    <w:p>
      <w:pPr>
        <w:ind w:left="880" w:hanging="432"/>
        <w:spacing w:after="0"/>
        <w:tabs>
          <w:tab w:leader="none" w:pos="880" w:val="left"/>
        </w:tabs>
        <w:numPr>
          <w:ilvl w:val="0"/>
          <w:numId w:val="112"/>
        </w:numPr>
        <w:rPr>
          <w:rFonts w:ascii="MS PGothic" w:cs="MS PGothic" w:eastAsia="MS PGothic" w:hAnsi="MS PGothic"/>
          <w:sz w:val="12"/>
          <w:szCs w:val="12"/>
          <w:color w:val="auto"/>
        </w:rPr>
      </w:pPr>
      <w:r>
        <w:rPr>
          <w:rFonts w:ascii="Arial" w:cs="Arial" w:eastAsia="Arial" w:hAnsi="Arial"/>
          <w:sz w:val="17"/>
          <w:szCs w:val="17"/>
          <w:color w:val="auto"/>
        </w:rPr>
        <w:t>any breach of the director’s duty of loyalty to us or our stockholders;</w:t>
      </w:r>
    </w:p>
    <w:p>
      <w:pPr>
        <w:spacing w:after="0" w:line="33" w:lineRule="exact"/>
        <w:rPr>
          <w:rFonts w:ascii="MS PGothic" w:cs="MS PGothic" w:eastAsia="MS PGothic" w:hAnsi="MS PGothic"/>
          <w:sz w:val="12"/>
          <w:szCs w:val="12"/>
          <w:color w:val="auto"/>
        </w:rPr>
      </w:pPr>
    </w:p>
    <w:p>
      <w:pPr>
        <w:ind w:left="880" w:hanging="432"/>
        <w:spacing w:after="0"/>
        <w:tabs>
          <w:tab w:leader="none" w:pos="880" w:val="left"/>
        </w:tabs>
        <w:numPr>
          <w:ilvl w:val="0"/>
          <w:numId w:val="112"/>
        </w:numPr>
        <w:rPr>
          <w:rFonts w:ascii="MS PGothic" w:cs="MS PGothic" w:eastAsia="MS PGothic" w:hAnsi="MS PGothic"/>
          <w:sz w:val="12"/>
          <w:szCs w:val="12"/>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12"/>
        </w:numPr>
        <w:rPr>
          <w:rFonts w:ascii="MS PGothic" w:cs="MS PGothic" w:eastAsia="MS PGothic" w:hAnsi="MS PGothic"/>
          <w:sz w:val="12"/>
          <w:szCs w:val="12"/>
          <w:color w:val="auto"/>
        </w:rPr>
      </w:pPr>
      <w:r>
        <w:rPr>
          <w:rFonts w:ascii="Arial" w:cs="Arial" w:eastAsia="Arial" w:hAnsi="Arial"/>
          <w:sz w:val="17"/>
          <w:szCs w:val="17"/>
          <w:color w:val="auto"/>
        </w:rPr>
        <w:t>any unlawful payments related to dividends or unlawful stock purchases, redemptions or other distributions; or</w:t>
      </w:r>
    </w:p>
    <w:p>
      <w:pPr>
        <w:spacing w:after="0" w:line="31" w:lineRule="exact"/>
        <w:rPr>
          <w:rFonts w:ascii="MS PGothic" w:cs="MS PGothic" w:eastAsia="MS PGothic" w:hAnsi="MS PGothic"/>
          <w:sz w:val="12"/>
          <w:szCs w:val="12"/>
          <w:color w:val="auto"/>
        </w:rPr>
      </w:pPr>
    </w:p>
    <w:p>
      <w:pPr>
        <w:ind w:left="880" w:hanging="432"/>
        <w:spacing w:after="0"/>
        <w:tabs>
          <w:tab w:leader="none" w:pos="880" w:val="left"/>
        </w:tabs>
        <w:numPr>
          <w:ilvl w:val="0"/>
          <w:numId w:val="112"/>
        </w:numPr>
        <w:rPr>
          <w:rFonts w:ascii="MS PGothic" w:cs="MS PGothic" w:eastAsia="MS PGothic" w:hAnsi="MS PGothic"/>
          <w:sz w:val="12"/>
          <w:szCs w:val="12"/>
          <w:color w:val="auto"/>
        </w:rPr>
      </w:pPr>
      <w:r>
        <w:rPr>
          <w:rFonts w:ascii="Arial" w:cs="Arial" w:eastAsia="Arial" w:hAnsi="Arial"/>
          <w:sz w:val="17"/>
          <w:szCs w:val="17"/>
          <w:color w:val="auto"/>
        </w:rPr>
        <w:t>any transaction from which the director derived an improper personal benefit.</w:t>
      </w:r>
    </w:p>
    <w:p>
      <w:pPr>
        <w:spacing w:after="0" w:line="15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bylaws provide that:</w:t>
      </w:r>
    </w:p>
    <w:p>
      <w:pPr>
        <w:spacing w:after="0" w:line="192" w:lineRule="exact"/>
        <w:rPr>
          <w:sz w:val="20"/>
          <w:szCs w:val="20"/>
          <w:color w:val="auto"/>
        </w:rPr>
      </w:pPr>
    </w:p>
    <w:p>
      <w:pPr>
        <w:ind w:left="880" w:right="80" w:hanging="432"/>
        <w:spacing w:after="0" w:line="271" w:lineRule="auto"/>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we will indemnify our directors, officers and, in the discretion of our board of directors, certain employees to the fullest extent permitted by the DGCL, as it now exists or may in the future be amended;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40"/>
          </w:cols>
          <w:pgMar w:left="320" w:top="454" w:right="3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880" w:right="380" w:hanging="432"/>
        <w:spacing w:after="0" w:line="250" w:lineRule="auto"/>
        <w:tabs>
          <w:tab w:leader="none" w:pos="880" w:val="left"/>
        </w:tabs>
        <w:numPr>
          <w:ilvl w:val="0"/>
          <w:numId w:val="114"/>
        </w:numPr>
        <w:rPr>
          <w:rFonts w:ascii="MS PGothic" w:cs="MS PGothic" w:eastAsia="MS PGothic" w:hAnsi="MS PGothic"/>
          <w:sz w:val="12"/>
          <w:szCs w:val="12"/>
          <w:color w:val="auto"/>
        </w:rPr>
      </w:pPr>
      <w:r>
        <w:rPr>
          <w:rFonts w:ascii="Arial" w:cs="Arial" w:eastAsia="Arial" w:hAnsi="Arial"/>
          <w:sz w:val="17"/>
          <w:szCs w:val="17"/>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1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19" w:lineRule="exact"/>
        <w:rPr>
          <w:sz w:val="20"/>
          <w:szCs w:val="20"/>
          <w:color w:val="auto"/>
        </w:rPr>
      </w:pPr>
    </w:p>
    <w:p>
      <w:pPr>
        <w:ind w:right="760"/>
        <w:spacing w:after="0" w:line="303" w:lineRule="auto"/>
        <w:rPr>
          <w:sz w:val="20"/>
          <w:szCs w:val="20"/>
          <w:color w:val="auto"/>
        </w:rPr>
      </w:pPr>
      <w:r>
        <w:rPr>
          <w:rFonts w:ascii="Arial" w:cs="Arial" w:eastAsia="Arial" w:hAnsi="Arial"/>
          <w:sz w:val="16"/>
          <w:szCs w:val="16"/>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70"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In the three years preceding the filing of this registration statement, we have issued the following securities that were not registered under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Issuances of Capital Stock and Warrant</w:t>
      </w:r>
    </w:p>
    <w:p>
      <w:pPr>
        <w:spacing w:after="0" w:line="40"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June and July 2020, we issued and sold 142,857,142 shares of Series B preferred stock to investors at $1.05 per share. Jefferies LLC, one of our underwriters, acted as one of the placement agents with respect to this offering.</w:t>
      </w:r>
    </w:p>
    <w:p>
      <w:pPr>
        <w:spacing w:after="0" w:line="103"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In June 2020, we issued a warrant to purchase 2,857,142 shares of Series B preferred stock to our lender Perceptive Credit Holdings III, LP at an exercise price of $1.05 per share.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2018, we issued and sold 900,900 shares of Series A preferred stock to an investor at $2.22 per share.</w:t>
      </w:r>
    </w:p>
    <w:p>
      <w:pPr>
        <w:spacing w:after="0" w:line="15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sales of securities described above were deemed to be exempt from registration pursuant to Section 4(a)(2) of the Securities Act, as private placement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Grants and Exercises of Stock Options</w:t>
      </w:r>
    </w:p>
    <w:p>
      <w:pPr>
        <w:spacing w:after="0" w:line="40"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We have granted stock options to purchase an aggregate of 2,947,168 shares of our common stock, with exercise prices ranging from $3.72 to $6.67 per share, to employees, directors and consultants pursuant to the 2015 Plan. Through the date of filing, 339,569 shares of common stock have been issued upon the exercise of stock options pursuant to the 2015 Plan.</w:t>
      </w:r>
    </w:p>
    <w:p>
      <w:pPr>
        <w:spacing w:after="0" w:line="116"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20"/>
          </w:cols>
          <w:pgMar w:left="320" w:top="454" w:right="35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335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8"/>
              </w:rPr>
              <w:t>EXHIBIT TABLE</w:t>
            </w:r>
          </w:p>
        </w:tc>
        <w:tc>
          <w:tcPr>
            <w:tcW w:w="432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3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640" w:type="dxa"/>
            <w:vAlign w:val="bottom"/>
          </w:tcPr>
          <w:p>
            <w:pPr>
              <w:jc w:val="right"/>
              <w:ind w:right="192"/>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w:anchor="page237">
              <w:r>
                <w:rPr>
                  <w:rFonts w:ascii="Arial" w:cs="Arial" w:eastAsia="Arial" w:hAnsi="Arial"/>
                  <w:sz w:val="17"/>
                  <w:szCs w:val="17"/>
                  <w:u w:val="single" w:color="auto"/>
                  <w:color w:val="0000EE"/>
                </w:rPr>
                <w:t>Form of Underwriting Agreement</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86">
              <w:r>
                <w:rPr>
                  <w:rFonts w:ascii="Arial" w:cs="Arial" w:eastAsia="Arial" w:hAnsi="Arial"/>
                  <w:sz w:val="17"/>
                  <w:szCs w:val="17"/>
                  <w:u w:val="single" w:color="auto"/>
                  <w:color w:val="0000EE"/>
                </w:rPr>
                <w:t>Fourth 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w:anchor="page285">
              <w:r>
                <w:rPr>
                  <w:rFonts w:ascii="Arial" w:cs="Arial" w:eastAsia="Arial" w:hAnsi="Arial"/>
                  <w:sz w:val="17"/>
                  <w:szCs w:val="17"/>
                  <w:u w:val="single" w:color="auto"/>
                  <w:color w:val="0000EE"/>
                </w:rPr>
                <w:t>Certificate of Amendment to the Fourth Amended and Restated Certificate of Incorporation of the Registrant</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87">
              <w:r>
                <w:rPr>
                  <w:rFonts w:ascii="Arial" w:cs="Arial" w:eastAsia="Arial" w:hAnsi="Arial"/>
                  <w:sz w:val="17"/>
                  <w:szCs w:val="17"/>
                  <w:u w:val="single" w:color="auto"/>
                  <w:color w:val="0000EE"/>
                </w:rPr>
                <w:t>Form of Fifth Amended and Restated Certificate of Incorporation of the Registrant, to be in effect upon the closing of this offering</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88">
              <w:r>
                <w:rPr>
                  <w:rFonts w:ascii="Arial" w:cs="Arial" w:eastAsia="Arial" w:hAnsi="Arial"/>
                  <w:sz w:val="17"/>
                  <w:szCs w:val="17"/>
                  <w:u w:val="single" w:color="auto"/>
                  <w:color w:val="0000EE"/>
                </w:rPr>
                <w:t>Amended and Restated Bylaws of the Registrant, as currently in effect</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89">
              <w:r>
                <w:rPr>
                  <w:rFonts w:ascii="Arial" w:cs="Arial" w:eastAsia="Arial" w:hAnsi="Arial"/>
                  <w:sz w:val="17"/>
                  <w:szCs w:val="17"/>
                  <w:u w:val="single" w:color="auto"/>
                  <w:color w:val="0000EE"/>
                </w:rPr>
                <w:t>Form of Second Amended and Restated Bylaws of the Registrant, to be in effect upon the closing of this offering.</w:t>
              </w:r>
            </w:hyperlink>
          </w:p>
        </w:tc>
        <w:tc>
          <w:tcPr>
            <w:tcW w:w="0" w:type="dxa"/>
            <w:vAlign w:val="bottom"/>
          </w:tcPr>
          <w:p>
            <w:pPr>
              <w:spacing w:after="0"/>
              <w:rPr>
                <w:sz w:val="1"/>
                <w:szCs w:val="1"/>
                <w:color w:val="auto"/>
              </w:rPr>
            </w:pPr>
          </w:p>
        </w:tc>
      </w:tr>
      <w:tr>
        <w:trPr>
          <w:trHeight w:val="252"/>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1"/>
                <w:szCs w:val="21"/>
                <w:color w:val="auto"/>
              </w:rPr>
            </w:pPr>
          </w:p>
        </w:tc>
        <w:tc>
          <w:tcPr>
            <w:tcW w:w="9820" w:type="dxa"/>
            <w:vAlign w:val="bottom"/>
            <w:gridSpan w:val="9"/>
          </w:tcPr>
          <w:p>
            <w:pPr>
              <w:spacing w:after="0"/>
              <w:rPr>
                <w:rFonts w:ascii="Arial" w:cs="Arial" w:eastAsia="Arial" w:hAnsi="Arial"/>
                <w:sz w:val="17"/>
                <w:szCs w:val="17"/>
                <w:color w:val="0000EE"/>
                <w:w w:val="99"/>
              </w:rPr>
            </w:pPr>
            <w:hyperlink r:id="rId390">
              <w:r>
                <w:rPr>
                  <w:rFonts w:ascii="Arial" w:cs="Arial" w:eastAsia="Arial" w:hAnsi="Arial"/>
                  <w:sz w:val="17"/>
                  <w:szCs w:val="17"/>
                  <w:color w:val="0000EE"/>
                  <w:w w:val="99"/>
                </w:rPr>
                <w:t>Amended and Restated Investors’ Rights Agreement among the Registrant, its warrant holder and certain of its stockholders, dated</w:t>
              </w:r>
            </w:hyperlink>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0" w:type="dxa"/>
            <w:vAlign w:val="bottom"/>
            <w:tcBorders>
              <w:top w:val="single" w:sz="8" w:color="0000EE"/>
            </w:tcBorders>
            <w:gridSpan w:val="8"/>
          </w:tcPr>
          <w:p>
            <w:pPr>
              <w:spacing w:after="0" w:line="167" w:lineRule="exact"/>
              <w:rPr>
                <w:rFonts w:ascii="Arial" w:cs="Arial" w:eastAsia="Arial" w:hAnsi="Arial"/>
                <w:sz w:val="17"/>
                <w:szCs w:val="17"/>
                <w:color w:val="0000EE"/>
              </w:rPr>
            </w:pPr>
            <w:hyperlink r:id="rId390">
              <w:r>
                <w:rPr>
                  <w:rFonts w:ascii="Arial" w:cs="Arial" w:eastAsia="Arial" w:hAnsi="Arial"/>
                  <w:sz w:val="17"/>
                  <w:szCs w:val="17"/>
                  <w:color w:val="0000EE"/>
                </w:rPr>
                <w:t>June 5, 2020</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91">
              <w:r>
                <w:rPr>
                  <w:rFonts w:ascii="Arial" w:cs="Arial" w:eastAsia="Arial" w:hAnsi="Arial"/>
                  <w:sz w:val="17"/>
                  <w:szCs w:val="17"/>
                  <w:u w:val="single" w:color="auto"/>
                  <w:color w:val="0000EE"/>
                </w:rPr>
                <w:t>Warrant Certificate issued by the Registrant to Perceptive Credit Holdings III, LP dated June 5, 2020</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w:anchor="page287">
              <w:r>
                <w:rPr>
                  <w:rFonts w:ascii="Arial" w:cs="Arial" w:eastAsia="Arial" w:hAnsi="Arial"/>
                  <w:sz w:val="17"/>
                  <w:szCs w:val="17"/>
                  <w:u w:val="single" w:color="auto"/>
                  <w:color w:val="0000EE"/>
                </w:rPr>
                <w:t>Form of Specimen Common Stock Certificate</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w:anchor="page289">
              <w:r>
                <w:rPr>
                  <w:rFonts w:ascii="Arial" w:cs="Arial" w:eastAsia="Arial" w:hAnsi="Arial"/>
                  <w:sz w:val="17"/>
                  <w:szCs w:val="17"/>
                  <w:u w:val="single" w:color="auto"/>
                  <w:color w:val="0000EE"/>
                </w:rPr>
                <w:t>Opinion of Goodwin Procter LLP</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10.1*#</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92">
              <w:r>
                <w:rPr>
                  <w:rFonts w:ascii="Arial" w:cs="Arial" w:eastAsia="Arial" w:hAnsi="Arial"/>
                  <w:sz w:val="17"/>
                  <w:szCs w:val="17"/>
                  <w:u w:val="single" w:color="auto"/>
                  <w:color w:val="0000EE"/>
                </w:rPr>
                <w:t>2015 Stock Option and Grant Plan, as amended and forms of award agreements thereunder</w:t>
              </w:r>
            </w:hyperlink>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w:anchor="page290">
              <w:r>
                <w:rPr>
                  <w:rFonts w:ascii="Arial" w:cs="Arial" w:eastAsia="Arial" w:hAnsi="Arial"/>
                  <w:sz w:val="17"/>
                  <w:szCs w:val="17"/>
                  <w:u w:val="single" w:color="auto"/>
                  <w:color w:val="0000EE"/>
                </w:rPr>
                <w:t>2020 Stock Option and Incentive Plan and forms of award agreements thereunder</w:t>
              </w:r>
            </w:hyperlink>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w:anchor="page337">
              <w:r>
                <w:rPr>
                  <w:rFonts w:ascii="Arial" w:cs="Arial" w:eastAsia="Arial" w:hAnsi="Arial"/>
                  <w:sz w:val="17"/>
                  <w:szCs w:val="17"/>
                  <w:u w:val="single" w:color="auto"/>
                  <w:color w:val="0000EE"/>
                </w:rPr>
                <w:t>2020 Employee Stock Purchase Plan</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10.4*#</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93">
              <w:r>
                <w:rPr>
                  <w:rFonts w:ascii="Arial" w:cs="Arial" w:eastAsia="Arial" w:hAnsi="Arial"/>
                  <w:sz w:val="17"/>
                  <w:szCs w:val="17"/>
                  <w:u w:val="single" w:color="auto"/>
                  <w:color w:val="0000EE"/>
                </w:rPr>
                <w:t>Senior Executive Cash Incentive Bonus Plan</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10.5*#</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94">
              <w:r>
                <w:rPr>
                  <w:rFonts w:ascii="Arial" w:cs="Arial" w:eastAsia="Arial" w:hAnsi="Arial"/>
                  <w:sz w:val="17"/>
                  <w:szCs w:val="17"/>
                  <w:u w:val="single" w:color="auto"/>
                  <w:color w:val="0000EE"/>
                </w:rPr>
                <w:t>Form of Director Indemnification Agreement</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10.6*#</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95">
              <w:r>
                <w:rPr>
                  <w:rFonts w:ascii="Arial" w:cs="Arial" w:eastAsia="Arial" w:hAnsi="Arial"/>
                  <w:sz w:val="17"/>
                  <w:szCs w:val="17"/>
                  <w:u w:val="single" w:color="auto"/>
                  <w:color w:val="0000EE"/>
                </w:rPr>
                <w:t>Form of Officer Indemnification Agreement</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10.7*#</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96">
              <w:r>
                <w:rPr>
                  <w:rFonts w:ascii="Arial" w:cs="Arial" w:eastAsia="Arial" w:hAnsi="Arial"/>
                  <w:sz w:val="17"/>
                  <w:szCs w:val="17"/>
                  <w:u w:val="single" w:color="auto"/>
                  <w:color w:val="0000EE"/>
                </w:rPr>
                <w:t>Form of Executive Employment Agreement</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10.8*#</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97">
              <w:r>
                <w:rPr>
                  <w:rFonts w:ascii="Arial" w:cs="Arial" w:eastAsia="Arial" w:hAnsi="Arial"/>
                  <w:sz w:val="17"/>
                  <w:szCs w:val="17"/>
                  <w:u w:val="single" w:color="auto"/>
                  <w:color w:val="0000EE"/>
                </w:rPr>
                <w:t>Employment Agreement between the Registrant and Andrew Hirsch, dated September 6, 2020</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10.9*#</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98">
              <w:r>
                <w:rPr>
                  <w:rFonts w:ascii="Arial" w:cs="Arial" w:eastAsia="Arial" w:hAnsi="Arial"/>
                  <w:sz w:val="17"/>
                  <w:szCs w:val="17"/>
                  <w:u w:val="single" w:color="auto"/>
                  <w:color w:val="0000EE"/>
                </w:rPr>
                <w:t>Consulting Agreement between the Registrant and MBJC Associates, LLC, effective March 31, 2020</w:t>
              </w:r>
            </w:hyperlink>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Arial" w:cs="Arial" w:eastAsia="Arial" w:hAnsi="Arial"/>
                <w:sz w:val="18"/>
                <w:szCs w:val="18"/>
                <w:color w:val="auto"/>
                <w:w w:val="99"/>
              </w:rPr>
              <w:t>10.10*†</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399">
              <w:r>
                <w:rPr>
                  <w:rFonts w:ascii="Arial" w:cs="Arial" w:eastAsia="Arial" w:hAnsi="Arial"/>
                  <w:sz w:val="17"/>
                  <w:szCs w:val="17"/>
                  <w:u w:val="single" w:color="auto"/>
                  <w:color w:val="0000EE"/>
                </w:rPr>
                <w:t>Collaboration Research and License Agreement between the Registrant and Biogen MA, Inc., dated December 28, 2018</w:t>
              </w:r>
            </w:hyperlink>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Arial" w:cs="Arial" w:eastAsia="Arial" w:hAnsi="Arial"/>
                <w:sz w:val="18"/>
                <w:szCs w:val="18"/>
                <w:color w:val="auto"/>
                <w:w w:val="99"/>
              </w:rPr>
              <w:t>10.11*†</w:t>
            </w:r>
          </w:p>
        </w:tc>
        <w:tc>
          <w:tcPr>
            <w:tcW w:w="660" w:type="dxa"/>
            <w:vAlign w:val="bottom"/>
          </w:tcPr>
          <w:p>
            <w:pPr>
              <w:spacing w:after="0"/>
              <w:rPr>
                <w:sz w:val="21"/>
                <w:szCs w:val="21"/>
                <w:color w:val="auto"/>
              </w:rPr>
            </w:pPr>
          </w:p>
        </w:tc>
        <w:tc>
          <w:tcPr>
            <w:tcW w:w="9820" w:type="dxa"/>
            <w:vAlign w:val="bottom"/>
            <w:gridSpan w:val="9"/>
          </w:tcPr>
          <w:p>
            <w:pPr>
              <w:spacing w:after="0"/>
              <w:rPr>
                <w:rFonts w:ascii="Arial" w:cs="Arial" w:eastAsia="Arial" w:hAnsi="Arial"/>
                <w:sz w:val="17"/>
                <w:szCs w:val="17"/>
                <w:color w:val="0000EE"/>
                <w:w w:val="99"/>
              </w:rPr>
            </w:pPr>
            <w:hyperlink r:id="rId400">
              <w:r>
                <w:rPr>
                  <w:rFonts w:ascii="Arial" w:cs="Arial" w:eastAsia="Arial" w:hAnsi="Arial"/>
                  <w:sz w:val="17"/>
                  <w:szCs w:val="17"/>
                  <w:color w:val="0000EE"/>
                  <w:w w:val="99"/>
                </w:rPr>
                <w:t>Amended and Restated License Agreement among the Registrant, F. Hoffmann-La Roche Ltd and Hoffmann-La Roche Inc., dated</w:t>
              </w:r>
            </w:hyperlink>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Borders>
              <w:top w:val="single" w:sz="8" w:color="0000EE"/>
              <w:bottom w:val="single" w:sz="8" w:color="0000EE"/>
            </w:tcBorders>
            <w:gridSpan w:val="2"/>
          </w:tcPr>
          <w:p>
            <w:pPr>
              <w:spacing w:after="0" w:line="167" w:lineRule="exact"/>
              <w:rPr>
                <w:rFonts w:ascii="Arial" w:cs="Arial" w:eastAsia="Arial" w:hAnsi="Arial"/>
                <w:sz w:val="17"/>
                <w:szCs w:val="17"/>
                <w:color w:val="0000EE"/>
                <w:w w:val="97"/>
              </w:rPr>
            </w:pPr>
            <w:hyperlink r:id="rId400">
              <w:r>
                <w:rPr>
                  <w:rFonts w:ascii="Arial" w:cs="Arial" w:eastAsia="Arial" w:hAnsi="Arial"/>
                  <w:sz w:val="17"/>
                  <w:szCs w:val="17"/>
                  <w:color w:val="0000EE"/>
                  <w:w w:val="97"/>
                </w:rPr>
                <w:t>December 20, 2018</w:t>
              </w:r>
            </w:hyperlink>
          </w:p>
        </w:tc>
        <w:tc>
          <w:tcPr>
            <w:tcW w:w="8260" w:type="dxa"/>
            <w:vAlign w:val="bottom"/>
            <w:tcBorders>
              <w:top w:val="single" w:sz="8" w:color="0000EE"/>
            </w:tcBorders>
            <w:gridSpan w:val="5"/>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640" w:type="dxa"/>
            <w:vAlign w:val="bottom"/>
          </w:tcPr>
          <w:p>
            <w:pPr>
              <w:spacing w:after="0"/>
              <w:rPr>
                <w:sz w:val="20"/>
                <w:szCs w:val="20"/>
                <w:color w:val="auto"/>
              </w:rPr>
            </w:pPr>
            <w:r>
              <w:rPr>
                <w:rFonts w:ascii="Arial" w:cs="Arial" w:eastAsia="Arial" w:hAnsi="Arial"/>
                <w:sz w:val="18"/>
                <w:szCs w:val="18"/>
                <w:color w:val="auto"/>
                <w:w w:val="99"/>
              </w:rPr>
              <w:t>10.12*†</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401">
              <w:r>
                <w:rPr>
                  <w:rFonts w:ascii="Arial" w:cs="Arial" w:eastAsia="Arial" w:hAnsi="Arial"/>
                  <w:sz w:val="17"/>
                  <w:szCs w:val="17"/>
                  <w:u w:val="single" w:color="auto"/>
                  <w:color w:val="0000EE"/>
                </w:rPr>
                <w:t>Collaboration and License Agreement between the Registrant and Calico Life Sciences LLC, dated March 13, 2017</w:t>
              </w:r>
            </w:hyperlink>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Arial" w:cs="Arial" w:eastAsia="Arial" w:hAnsi="Arial"/>
                <w:sz w:val="18"/>
                <w:szCs w:val="18"/>
                <w:color w:val="auto"/>
                <w:w w:val="99"/>
              </w:rPr>
              <w:t>10.13*†</w:t>
            </w:r>
          </w:p>
        </w:tc>
        <w:tc>
          <w:tcPr>
            <w:tcW w:w="660" w:type="dxa"/>
            <w:vAlign w:val="bottom"/>
          </w:tcPr>
          <w:p>
            <w:pPr>
              <w:spacing w:after="0"/>
              <w:rPr>
                <w:sz w:val="21"/>
                <w:szCs w:val="21"/>
                <w:color w:val="auto"/>
              </w:rPr>
            </w:pPr>
          </w:p>
        </w:tc>
        <w:tc>
          <w:tcPr>
            <w:tcW w:w="9820" w:type="dxa"/>
            <w:vAlign w:val="bottom"/>
            <w:gridSpan w:val="9"/>
          </w:tcPr>
          <w:p>
            <w:pPr>
              <w:spacing w:after="0"/>
              <w:rPr>
                <w:rFonts w:ascii="Arial" w:cs="Arial" w:eastAsia="Arial" w:hAnsi="Arial"/>
                <w:sz w:val="17"/>
                <w:szCs w:val="17"/>
                <w:color w:val="0000EE"/>
              </w:rPr>
            </w:pPr>
            <w:hyperlink r:id="rId402">
              <w:r>
                <w:rPr>
                  <w:rFonts w:ascii="Arial" w:cs="Arial" w:eastAsia="Arial" w:hAnsi="Arial"/>
                  <w:sz w:val="17"/>
                  <w:szCs w:val="17"/>
                  <w:color w:val="0000EE"/>
                </w:rPr>
                <w:t>Credit Agreement and Guaranty among the Registrant, Perceptive Credit Holdings III, LP and the guarantors and lenders party</w:t>
              </w:r>
            </w:hyperlink>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tcBorders>
              <w:top w:val="single" w:sz="8" w:color="0000EE"/>
              <w:bottom w:val="single" w:sz="8" w:color="0000EE"/>
            </w:tcBorders>
            <w:gridSpan w:val="3"/>
          </w:tcPr>
          <w:p>
            <w:pPr>
              <w:spacing w:after="0" w:line="167" w:lineRule="exact"/>
              <w:rPr>
                <w:rFonts w:ascii="Arial" w:cs="Arial" w:eastAsia="Arial" w:hAnsi="Arial"/>
                <w:sz w:val="17"/>
                <w:szCs w:val="17"/>
                <w:color w:val="0000EE"/>
                <w:w w:val="98"/>
              </w:rPr>
            </w:pPr>
            <w:hyperlink r:id="rId402">
              <w:r>
                <w:rPr>
                  <w:rFonts w:ascii="Arial" w:cs="Arial" w:eastAsia="Arial" w:hAnsi="Arial"/>
                  <w:sz w:val="17"/>
                  <w:szCs w:val="17"/>
                  <w:color w:val="0000EE"/>
                  <w:w w:val="98"/>
                </w:rPr>
                <w:t>thereto, dated July 5, 2020</w:t>
              </w:r>
            </w:hyperlink>
          </w:p>
        </w:tc>
        <w:tc>
          <w:tcPr>
            <w:tcW w:w="7460" w:type="dxa"/>
            <w:vAlign w:val="bottom"/>
            <w:tcBorders>
              <w:top w:val="single" w:sz="8" w:color="0000EE"/>
            </w:tcBorders>
            <w:gridSpan w:val="3"/>
          </w:tcPr>
          <w:p>
            <w:pPr>
              <w:spacing w:after="0"/>
              <w:rPr>
                <w:sz w:val="14"/>
                <w:szCs w:val="14"/>
                <w:color w:val="auto"/>
              </w:rPr>
            </w:pPr>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403">
              <w:r>
                <w:rPr>
                  <w:rFonts w:ascii="Arial" w:cs="Arial" w:eastAsia="Arial" w:hAnsi="Arial"/>
                  <w:sz w:val="17"/>
                  <w:szCs w:val="17"/>
                  <w:u w:val="single" w:color="auto"/>
                  <w:color w:val="0000EE"/>
                </w:rPr>
                <w:t>Lease by 480 Arsenal Group LLC to the Registrant, dated July 5, 2017, as amended</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32"/>
              <w:spacing w:after="0"/>
              <w:rPr>
                <w:sz w:val="20"/>
                <w:szCs w:val="20"/>
                <w:color w:val="auto"/>
              </w:rPr>
            </w:pPr>
            <w:r>
              <w:rPr>
                <w:rFonts w:ascii="Arial" w:cs="Arial" w:eastAsia="Arial" w:hAnsi="Arial"/>
                <w:sz w:val="18"/>
                <w:szCs w:val="18"/>
                <w:color w:val="auto"/>
                <w:w w:val="95"/>
              </w:rPr>
              <w:t>21.1*</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404">
              <w:r>
                <w:rPr>
                  <w:rFonts w:ascii="Arial" w:cs="Arial" w:eastAsia="Arial" w:hAnsi="Arial"/>
                  <w:sz w:val="17"/>
                  <w:szCs w:val="17"/>
                  <w:u w:val="single" w:color="auto"/>
                  <w:color w:val="0000EE"/>
                </w:rPr>
                <w:t>Subsidiaries of the Registrant</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92"/>
              <w:spacing w:after="0"/>
              <w:rPr>
                <w:sz w:val="20"/>
                <w:szCs w:val="20"/>
                <w:color w:val="auto"/>
              </w:rPr>
            </w:pPr>
            <w:r>
              <w:rPr>
                <w:rFonts w:ascii="Arial" w:cs="Arial" w:eastAsia="Arial" w:hAnsi="Arial"/>
                <w:sz w:val="18"/>
                <w:szCs w:val="18"/>
                <w:color w:val="auto"/>
                <w:w w:val="96"/>
              </w:rPr>
              <w:t>23.1</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w:anchor="page343">
              <w:r>
                <w:rPr>
                  <w:rFonts w:ascii="Arial" w:cs="Arial" w:eastAsia="Arial" w:hAnsi="Arial"/>
                  <w:sz w:val="17"/>
                  <w:szCs w:val="17"/>
                  <w:u w:val="single" w:color="auto"/>
                  <w:color w:val="0000EE"/>
                </w:rPr>
                <w:t>Consent of KPMG LLP, Independent Registered Public Accounting Firm</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92"/>
              <w:spacing w:after="0"/>
              <w:rPr>
                <w:sz w:val="20"/>
                <w:szCs w:val="20"/>
                <w:color w:val="auto"/>
              </w:rPr>
            </w:pPr>
            <w:r>
              <w:rPr>
                <w:rFonts w:ascii="Arial" w:cs="Arial" w:eastAsia="Arial" w:hAnsi="Arial"/>
                <w:sz w:val="18"/>
                <w:szCs w:val="18"/>
                <w:color w:val="auto"/>
                <w:w w:val="96"/>
              </w:rPr>
              <w:t>23.2</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w:anchor="page289">
              <w:r>
                <w:rPr>
                  <w:rFonts w:ascii="Arial" w:cs="Arial" w:eastAsia="Arial" w:hAnsi="Arial"/>
                  <w:sz w:val="17"/>
                  <w:szCs w:val="17"/>
                  <w:u w:val="single" w:color="auto"/>
                  <w:color w:val="0000EE"/>
                </w:rPr>
                <w:t>Consent of Goodwin Procter LLP (included in Exhibit 5.1)</w:t>
              </w:r>
            </w:hyperlink>
          </w:p>
        </w:tc>
        <w:tc>
          <w:tcPr>
            <w:tcW w:w="0" w:type="dxa"/>
            <w:vAlign w:val="bottom"/>
          </w:tcPr>
          <w:p>
            <w:pPr>
              <w:spacing w:after="0"/>
              <w:rPr>
                <w:sz w:val="1"/>
                <w:szCs w:val="1"/>
                <w:color w:val="auto"/>
              </w:rPr>
            </w:pPr>
          </w:p>
        </w:tc>
      </w:tr>
      <w:tr>
        <w:trPr>
          <w:trHeight w:val="308"/>
        </w:trPr>
        <w:tc>
          <w:tcPr>
            <w:tcW w:w="640" w:type="dxa"/>
            <w:vAlign w:val="bottom"/>
          </w:tcPr>
          <w:p>
            <w:pPr>
              <w:jc w:val="right"/>
              <w:ind w:right="132"/>
              <w:spacing w:after="0"/>
              <w:rPr>
                <w:sz w:val="20"/>
                <w:szCs w:val="20"/>
                <w:color w:val="auto"/>
              </w:rPr>
            </w:pPr>
            <w:r>
              <w:rPr>
                <w:rFonts w:ascii="Arial" w:cs="Arial" w:eastAsia="Arial" w:hAnsi="Arial"/>
                <w:sz w:val="18"/>
                <w:szCs w:val="18"/>
                <w:color w:val="auto"/>
                <w:w w:val="95"/>
              </w:rPr>
              <w:t>24.1*</w:t>
            </w:r>
          </w:p>
        </w:tc>
        <w:tc>
          <w:tcPr>
            <w:tcW w:w="66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7"/>
                <w:szCs w:val="17"/>
                <w:u w:val="single" w:color="auto"/>
                <w:color w:val="0000EE"/>
              </w:rPr>
            </w:pPr>
            <w:hyperlink r:id="rId405">
              <w:r>
                <w:rPr>
                  <w:rFonts w:ascii="Arial" w:cs="Arial" w:eastAsia="Arial" w:hAnsi="Arial"/>
                  <w:sz w:val="17"/>
                  <w:szCs w:val="17"/>
                  <w:u w:val="single" w:color="auto"/>
                  <w:color w:val="0000EE"/>
                </w:rPr>
                <w:t>Power of Attorney (included on signature page to this registration statement)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335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Previously filed.</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Indicates a management contract or any compensatory plan, contract or arrangement.</w:t>
      </w:r>
    </w:p>
    <w:p>
      <w:pPr>
        <w:ind w:left="260"/>
        <w:spacing w:after="0"/>
        <w:rPr>
          <w:sz w:val="20"/>
          <w:szCs w:val="20"/>
          <w:color w:val="auto"/>
        </w:rPr>
      </w:pPr>
      <w:r>
        <w:rPr>
          <w:rFonts w:ascii="Arial" w:cs="Arial" w:eastAsia="Arial" w:hAnsi="Arial"/>
          <w:sz w:val="14"/>
          <w:szCs w:val="14"/>
          <w:color w:val="auto"/>
        </w:rPr>
        <w:t>†  Portions of this exhibit (indicated by asterisks) will be omitted in accordance with the rules of the Securities and Exchange Commission.</w:t>
      </w:r>
    </w:p>
    <w:p>
      <w:pPr>
        <w:spacing w:after="0" w:line="129" w:lineRule="exact"/>
        <w:rPr>
          <w:sz w:val="20"/>
          <w:szCs w:val="20"/>
          <w:color w:val="auto"/>
        </w:rPr>
      </w:pPr>
    </w:p>
    <w:p>
      <w:pPr>
        <w:ind w:left="280" w:hanging="273"/>
        <w:spacing w:after="0"/>
        <w:tabs>
          <w:tab w:leader="none" w:pos="280" w:val="left"/>
        </w:tabs>
        <w:numPr>
          <w:ilvl w:val="0"/>
          <w:numId w:val="1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Financial Statement Schedules.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100"/>
          </w:cols>
          <w:pgMar w:left="320" w:top="454" w:right="47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71"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52" w:lineRule="exact"/>
        <w:rPr>
          <w:sz w:val="20"/>
          <w:szCs w:val="20"/>
          <w:color w:val="auto"/>
        </w:rPr>
      </w:pPr>
    </w:p>
    <w:p>
      <w:pPr>
        <w:ind w:right="240" w:firstLine="7"/>
        <w:spacing w:after="0" w:line="250" w:lineRule="auto"/>
        <w:tabs>
          <w:tab w:leader="none" w:pos="25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1" w:lineRule="exact"/>
        <w:rPr>
          <w:rFonts w:ascii="Arial" w:cs="Arial" w:eastAsia="Arial" w:hAnsi="Arial"/>
          <w:sz w:val="17"/>
          <w:szCs w:val="17"/>
          <w:color w:val="auto"/>
        </w:rPr>
      </w:pPr>
    </w:p>
    <w:p>
      <w:pPr>
        <w:ind w:right="40" w:firstLine="7"/>
        <w:spacing w:after="0" w:line="250" w:lineRule="auto"/>
        <w:tabs>
          <w:tab w:leader="none" w:pos="25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00"/>
          </w:cols>
          <w:pgMar w:left="320" w:top="454" w:right="37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1" w:lineRule="exact"/>
        <w:rPr>
          <w:sz w:val="20"/>
          <w:szCs w:val="20"/>
          <w:color w:val="auto"/>
        </w:rPr>
      </w:pPr>
    </w:p>
    <w:p>
      <w:pPr>
        <w:ind w:right="480"/>
        <w:spacing w:after="0" w:line="250"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amendment no. 1 to the registration statement on Form S-1 to be signed on its behalf by the undersigned, thereunto duly authorized, in the City of Watertown, Commonwealth of Massachusetts, on the 28th day of September, 2020.</w:t>
      </w:r>
    </w:p>
    <w:p>
      <w:pPr>
        <w:spacing w:after="0" w:line="190"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C4 Therapeutics, Inc.</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 Marc A.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12700</wp:posOffset>
            </wp:positionV>
            <wp:extent cx="268351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9">
                      <a:extLst>
                        <a:ext uri="{28A0092B-C50C-407E-A947-70E740481C1C}"/>
                      </a:extLst>
                    </a:blip>
                    <a:srcRect/>
                    <a:stretch>
                      <a:fillRect/>
                    </a:stretch>
                  </pic:blipFill>
                  <pic:spPr bwMode="auto">
                    <a:xfrm>
                      <a:off x="0" y="0"/>
                      <a:ext cx="2683510"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7"/>
          <w:szCs w:val="17"/>
          <w:color w:val="auto"/>
        </w:rPr>
        <w:t>Marc A. Cohen</w:t>
      </w:r>
    </w:p>
    <w:p>
      <w:pPr>
        <w:ind w:left="7060"/>
        <w:spacing w:after="0"/>
        <w:rPr>
          <w:sz w:val="20"/>
          <w:szCs w:val="20"/>
          <w:color w:val="auto"/>
        </w:rPr>
      </w:pPr>
      <w:r>
        <w:rPr>
          <w:rFonts w:ascii="Arial" w:cs="Arial" w:eastAsia="Arial" w:hAnsi="Arial"/>
          <w:sz w:val="17"/>
          <w:szCs w:val="17"/>
          <w:color w:val="auto"/>
        </w:rPr>
        <w:t>Chief Executive Officer</w:t>
      </w:r>
    </w:p>
    <w:p>
      <w:pPr>
        <w:spacing w:after="0" w:line="14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Pursuant to the requirements of the Securities Act of 1933, as amended, this amendment no. 1 to the registration statement has been signed by the following persons in the capacities indicated on the 28th day of September,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SIGNATURE</w:t>
            </w: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DATE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80" w:type="dxa"/>
            <w:vAlign w:val="bottom"/>
            <w:gridSpan w:val="4"/>
            <w:vMerge w:val="restart"/>
          </w:tcPr>
          <w:p>
            <w:pPr>
              <w:spacing w:after="0"/>
              <w:rPr>
                <w:sz w:val="20"/>
                <w:szCs w:val="20"/>
                <w:color w:val="auto"/>
              </w:rPr>
            </w:pPr>
            <w:r>
              <w:rPr>
                <w:rFonts w:ascii="Arial" w:cs="Arial" w:eastAsia="Arial" w:hAnsi="Arial"/>
                <w:sz w:val="17"/>
                <w:szCs w:val="17"/>
                <w:color w:val="auto"/>
              </w:rPr>
              <w:t>/s/ Marc A. Cohen</w:t>
            </w:r>
          </w:p>
        </w:tc>
        <w:tc>
          <w:tcPr>
            <w:tcW w:w="2780" w:type="dxa"/>
            <w:vAlign w:val="bottom"/>
            <w:gridSpan w:val="2"/>
          </w:tcPr>
          <w:p>
            <w:pPr>
              <w:ind w:left="1220"/>
              <w:spacing w:after="0" w:line="153" w:lineRule="exact"/>
              <w:rPr>
                <w:sz w:val="20"/>
                <w:szCs w:val="20"/>
                <w:color w:val="auto"/>
              </w:rPr>
            </w:pPr>
            <w:r>
              <w:rPr>
                <w:rFonts w:ascii="Arial" w:cs="Arial" w:eastAsia="Arial" w:hAnsi="Arial"/>
                <w:sz w:val="17"/>
                <w:szCs w:val="17"/>
                <w:color w:val="auto"/>
                <w:w w:val="88"/>
              </w:rPr>
              <w:t>Co-Founder, Executive</w:t>
            </w:r>
          </w:p>
        </w:tc>
        <w:tc>
          <w:tcPr>
            <w:tcW w:w="400" w:type="dxa"/>
            <w:vAlign w:val="bottom"/>
          </w:tcPr>
          <w:p>
            <w:pPr>
              <w:spacing w:after="0"/>
              <w:rPr>
                <w:sz w:val="13"/>
                <w:szCs w:val="13"/>
                <w:color w:val="auto"/>
              </w:rPr>
            </w:pPr>
          </w:p>
        </w:tc>
        <w:tc>
          <w:tcPr>
            <w:tcW w:w="2480" w:type="dxa"/>
            <w:vAlign w:val="bottom"/>
          </w:tcPr>
          <w:p>
            <w:pPr>
              <w:spacing w:after="0" w:line="153" w:lineRule="exact"/>
              <w:rPr>
                <w:sz w:val="20"/>
                <w:szCs w:val="20"/>
                <w:color w:val="auto"/>
              </w:rPr>
            </w:pPr>
            <w:r>
              <w:rPr>
                <w:rFonts w:ascii="Arial" w:cs="Arial" w:eastAsia="Arial" w:hAnsi="Arial"/>
                <w:sz w:val="17"/>
                <w:szCs w:val="17"/>
                <w:color w:val="auto"/>
              </w:rPr>
              <w:t>Chairman, Director and</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80" w:type="dxa"/>
            <w:vAlign w:val="bottom"/>
            <w:tcBorders>
              <w:bottom w:val="single" w:sz="8" w:color="auto"/>
            </w:tcBorders>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4440" w:type="dxa"/>
            <w:vAlign w:val="bottom"/>
            <w:gridSpan w:val="3"/>
          </w:tcPr>
          <w:p>
            <w:pPr>
              <w:jc w:val="center"/>
              <w:ind w:right="835"/>
              <w:spacing w:after="0"/>
              <w:rPr>
                <w:sz w:val="20"/>
                <w:szCs w:val="20"/>
                <w:color w:val="auto"/>
              </w:rPr>
            </w:pPr>
            <w:r>
              <w:rPr>
                <w:rFonts w:ascii="Arial" w:cs="Arial" w:eastAsia="Arial" w:hAnsi="Arial"/>
                <w:sz w:val="17"/>
                <w:szCs w:val="17"/>
                <w:color w:val="auto"/>
                <w:w w:val="99"/>
              </w:rPr>
              <w:t>Chief Executive Officer</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Marc A. Cohen</w:t>
            </w:r>
          </w:p>
        </w:tc>
        <w:tc>
          <w:tcPr>
            <w:tcW w:w="1220" w:type="dxa"/>
            <w:vAlign w:val="bottom"/>
          </w:tcPr>
          <w:p>
            <w:pPr>
              <w:spacing w:after="0"/>
              <w:rPr>
                <w:sz w:val="19"/>
                <w:szCs w:val="19"/>
                <w:color w:val="auto"/>
              </w:rPr>
            </w:pPr>
          </w:p>
        </w:tc>
        <w:tc>
          <w:tcPr>
            <w:tcW w:w="4440" w:type="dxa"/>
            <w:vAlign w:val="bottom"/>
            <w:gridSpan w:val="3"/>
          </w:tcPr>
          <w:p>
            <w:pPr>
              <w:jc w:val="center"/>
              <w:ind w:right="835"/>
              <w:spacing w:after="0"/>
              <w:rPr>
                <w:sz w:val="20"/>
                <w:szCs w:val="20"/>
                <w:color w:val="auto"/>
              </w:rPr>
            </w:pPr>
            <w:r>
              <w:rPr>
                <w:rFonts w:ascii="Arial" w:cs="Arial" w:eastAsia="Arial" w:hAnsi="Arial"/>
                <w:sz w:val="17"/>
                <w:szCs w:val="17"/>
                <w:color w:val="auto"/>
                <w:w w:val="99"/>
              </w:rPr>
              <w:t>(Principal Executive Officer)</w:t>
            </w:r>
          </w:p>
        </w:tc>
        <w:tc>
          <w:tcPr>
            <w:tcW w:w="2300" w:type="dxa"/>
            <w:vAlign w:val="bottom"/>
            <w:gridSpan w:val="3"/>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373"/>
        </w:trPr>
        <w:tc>
          <w:tcPr>
            <w:tcW w:w="328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William McKee</w:t>
            </w:r>
          </w:p>
        </w:tc>
        <w:tc>
          <w:tcPr>
            <w:tcW w:w="1220" w:type="dxa"/>
            <w:vAlign w:val="bottom"/>
          </w:tcPr>
          <w:p>
            <w:pPr>
              <w:spacing w:after="0"/>
              <w:rPr>
                <w:sz w:val="24"/>
                <w:szCs w:val="24"/>
                <w:color w:val="auto"/>
              </w:rPr>
            </w:pPr>
          </w:p>
        </w:tc>
        <w:tc>
          <w:tcPr>
            <w:tcW w:w="4440" w:type="dxa"/>
            <w:vAlign w:val="bottom"/>
            <w:gridSpan w:val="3"/>
          </w:tcPr>
          <w:p>
            <w:pPr>
              <w:jc w:val="center"/>
              <w:ind w:right="855"/>
              <w:spacing w:after="0"/>
              <w:rPr>
                <w:sz w:val="20"/>
                <w:szCs w:val="20"/>
                <w:color w:val="auto"/>
              </w:rPr>
            </w:pPr>
            <w:r>
              <w:rPr>
                <w:rFonts w:ascii="Arial" w:cs="Arial" w:eastAsia="Arial" w:hAnsi="Arial"/>
                <w:sz w:val="17"/>
                <w:szCs w:val="17"/>
                <w:color w:val="auto"/>
                <w:w w:val="99"/>
              </w:rPr>
              <w:t>Chief Financial Officer</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William McKee</w:t>
            </w:r>
          </w:p>
        </w:tc>
        <w:tc>
          <w:tcPr>
            <w:tcW w:w="1220" w:type="dxa"/>
            <w:vAlign w:val="bottom"/>
          </w:tcPr>
          <w:p>
            <w:pPr>
              <w:spacing w:after="0"/>
              <w:rPr>
                <w:sz w:val="19"/>
                <w:szCs w:val="19"/>
                <w:color w:val="auto"/>
              </w:rPr>
            </w:pPr>
          </w:p>
        </w:tc>
        <w:tc>
          <w:tcPr>
            <w:tcW w:w="4440" w:type="dxa"/>
            <w:vAlign w:val="bottom"/>
            <w:gridSpan w:val="3"/>
          </w:tcPr>
          <w:p>
            <w:pPr>
              <w:jc w:val="center"/>
              <w:ind w:right="855"/>
              <w:spacing w:after="0"/>
              <w:rPr>
                <w:sz w:val="20"/>
                <w:szCs w:val="20"/>
                <w:color w:val="auto"/>
              </w:rPr>
            </w:pPr>
            <w:r>
              <w:rPr>
                <w:rFonts w:ascii="Arial" w:cs="Arial" w:eastAsia="Arial" w:hAnsi="Arial"/>
                <w:sz w:val="17"/>
                <w:szCs w:val="17"/>
                <w:color w:val="auto"/>
                <w:w w:val="98"/>
              </w:rPr>
              <w:t>(Principal Financial Officer)</w:t>
            </w:r>
          </w:p>
        </w:tc>
        <w:tc>
          <w:tcPr>
            <w:tcW w:w="2300" w:type="dxa"/>
            <w:vAlign w:val="bottom"/>
            <w:gridSpan w:val="3"/>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373"/>
        </w:trPr>
        <w:tc>
          <w:tcPr>
            <w:tcW w:w="328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Laura J. Wahlberg</w:t>
            </w:r>
          </w:p>
        </w:tc>
        <w:tc>
          <w:tcPr>
            <w:tcW w:w="5660" w:type="dxa"/>
            <w:vAlign w:val="bottom"/>
            <w:gridSpan w:val="4"/>
          </w:tcPr>
          <w:p>
            <w:pPr>
              <w:jc w:val="center"/>
              <w:ind w:left="215"/>
              <w:spacing w:after="0"/>
              <w:rPr>
                <w:sz w:val="20"/>
                <w:szCs w:val="20"/>
                <w:color w:val="auto"/>
              </w:rPr>
            </w:pPr>
            <w:r>
              <w:rPr>
                <w:rFonts w:ascii="Arial" w:cs="Arial" w:eastAsia="Arial" w:hAnsi="Arial"/>
                <w:sz w:val="17"/>
                <w:szCs w:val="17"/>
                <w:color w:val="auto"/>
                <w:w w:val="99"/>
              </w:rPr>
              <w:t>Vice President of Finance and Corporate Controller</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Laura J. Wahlberg</w:t>
            </w:r>
          </w:p>
        </w:tc>
        <w:tc>
          <w:tcPr>
            <w:tcW w:w="1220" w:type="dxa"/>
            <w:vAlign w:val="bottom"/>
          </w:tcPr>
          <w:p>
            <w:pPr>
              <w:spacing w:after="0"/>
              <w:rPr>
                <w:sz w:val="19"/>
                <w:szCs w:val="19"/>
                <w:color w:val="auto"/>
              </w:rPr>
            </w:pPr>
          </w:p>
        </w:tc>
        <w:tc>
          <w:tcPr>
            <w:tcW w:w="4440" w:type="dxa"/>
            <w:vAlign w:val="bottom"/>
            <w:gridSpan w:val="3"/>
          </w:tcPr>
          <w:p>
            <w:pPr>
              <w:jc w:val="center"/>
              <w:ind w:right="855"/>
              <w:spacing w:after="0"/>
              <w:rPr>
                <w:sz w:val="20"/>
                <w:szCs w:val="20"/>
                <w:color w:val="auto"/>
              </w:rPr>
            </w:pPr>
            <w:r>
              <w:rPr>
                <w:rFonts w:ascii="Arial" w:cs="Arial" w:eastAsia="Arial" w:hAnsi="Arial"/>
                <w:sz w:val="17"/>
                <w:szCs w:val="17"/>
                <w:color w:val="auto"/>
                <w:w w:val="99"/>
              </w:rPr>
              <w:t>(Principal Accounting Officer)</w:t>
            </w:r>
          </w:p>
        </w:tc>
        <w:tc>
          <w:tcPr>
            <w:tcW w:w="2300" w:type="dxa"/>
            <w:vAlign w:val="bottom"/>
            <w:gridSpan w:val="3"/>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373"/>
        </w:trPr>
        <w:tc>
          <w:tcPr>
            <w:tcW w:w="328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Andrew Hirsch</w:t>
            </w:r>
          </w:p>
        </w:tc>
        <w:tc>
          <w:tcPr>
            <w:tcW w:w="1220" w:type="dxa"/>
            <w:vAlign w:val="bottom"/>
          </w:tcPr>
          <w:p>
            <w:pPr>
              <w:spacing w:after="0"/>
              <w:rPr>
                <w:sz w:val="24"/>
                <w:szCs w:val="24"/>
                <w:color w:val="auto"/>
              </w:rPr>
            </w:pPr>
          </w:p>
        </w:tc>
        <w:tc>
          <w:tcPr>
            <w:tcW w:w="4440" w:type="dxa"/>
            <w:vAlign w:val="bottom"/>
            <w:gridSpan w:val="3"/>
            <w:vMerge w:val="restart"/>
          </w:tcPr>
          <w:p>
            <w:pPr>
              <w:jc w:val="center"/>
              <w:ind w:right="835"/>
              <w:spacing w:after="0"/>
              <w:rPr>
                <w:sz w:val="20"/>
                <w:szCs w:val="20"/>
                <w:color w:val="auto"/>
              </w:rPr>
            </w:pPr>
            <w:r>
              <w:rPr>
                <w:rFonts w:ascii="Arial" w:cs="Arial" w:eastAsia="Arial" w:hAnsi="Arial"/>
                <w:sz w:val="17"/>
                <w:szCs w:val="17"/>
                <w:color w:val="auto"/>
                <w:w w:val="99"/>
              </w:rPr>
              <w:t>President and Director</w:t>
            </w:r>
          </w:p>
        </w:tc>
        <w:tc>
          <w:tcPr>
            <w:tcW w:w="2300" w:type="dxa"/>
            <w:vAlign w:val="bottom"/>
            <w:gridSpan w:val="3"/>
            <w:vMerge w:val="restart"/>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Andrew Hirsch</w:t>
            </w:r>
          </w:p>
        </w:tc>
        <w:tc>
          <w:tcPr>
            <w:tcW w:w="1220" w:type="dxa"/>
            <w:vAlign w:val="bottom"/>
          </w:tcPr>
          <w:p>
            <w:pPr>
              <w:spacing w:after="0"/>
              <w:rPr>
                <w:sz w:val="19"/>
                <w:szCs w:val="19"/>
                <w:color w:val="auto"/>
              </w:rPr>
            </w:pPr>
          </w:p>
        </w:tc>
        <w:tc>
          <w:tcPr>
            <w:tcW w:w="4440" w:type="dxa"/>
            <w:vAlign w:val="bottom"/>
            <w:gridSpan w:val="3"/>
            <w:vMerge w:val="continue"/>
          </w:tcPr>
          <w:p>
            <w:pPr>
              <w:spacing w:after="0"/>
              <w:rPr>
                <w:sz w:val="19"/>
                <w:szCs w:val="19"/>
                <w:color w:val="auto"/>
              </w:rPr>
            </w:pPr>
          </w:p>
        </w:tc>
        <w:tc>
          <w:tcPr>
            <w:tcW w:w="2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440" w:type="dxa"/>
            <w:vAlign w:val="bottom"/>
            <w:gridSpan w:val="3"/>
            <w:vMerge w:val="restart"/>
          </w:tcPr>
          <w:p>
            <w:pPr>
              <w:jc w:val="center"/>
              <w:ind w:right="855"/>
              <w:spacing w:after="0"/>
              <w:rPr>
                <w:sz w:val="20"/>
                <w:szCs w:val="20"/>
                <w:color w:val="auto"/>
              </w:rPr>
            </w:pPr>
            <w:r>
              <w:rPr>
                <w:rFonts w:ascii="Arial" w:cs="Arial" w:eastAsia="Arial" w:hAnsi="Arial"/>
                <w:sz w:val="17"/>
                <w:szCs w:val="17"/>
                <w:color w:val="auto"/>
                <w:w w:val="97"/>
              </w:rPr>
              <w:t>Director</w:t>
            </w:r>
          </w:p>
        </w:tc>
        <w:tc>
          <w:tcPr>
            <w:tcW w:w="2300" w:type="dxa"/>
            <w:vAlign w:val="bottom"/>
            <w:gridSpan w:val="3"/>
            <w:vMerge w:val="restart"/>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Kenneth C. Anderson, M.D.</w:t>
            </w:r>
          </w:p>
        </w:tc>
        <w:tc>
          <w:tcPr>
            <w:tcW w:w="1220" w:type="dxa"/>
            <w:vAlign w:val="bottom"/>
          </w:tcPr>
          <w:p>
            <w:pPr>
              <w:spacing w:after="0"/>
              <w:rPr>
                <w:sz w:val="19"/>
                <w:szCs w:val="19"/>
                <w:color w:val="auto"/>
              </w:rPr>
            </w:pPr>
          </w:p>
        </w:tc>
        <w:tc>
          <w:tcPr>
            <w:tcW w:w="4440" w:type="dxa"/>
            <w:vAlign w:val="bottom"/>
            <w:gridSpan w:val="3"/>
            <w:vMerge w:val="continue"/>
          </w:tcPr>
          <w:p>
            <w:pPr>
              <w:spacing w:after="0"/>
              <w:rPr>
                <w:sz w:val="19"/>
                <w:szCs w:val="19"/>
                <w:color w:val="auto"/>
              </w:rPr>
            </w:pPr>
          </w:p>
        </w:tc>
        <w:tc>
          <w:tcPr>
            <w:tcW w:w="2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440" w:type="dxa"/>
            <w:vAlign w:val="bottom"/>
            <w:gridSpan w:val="3"/>
            <w:vMerge w:val="restart"/>
          </w:tcPr>
          <w:p>
            <w:pPr>
              <w:jc w:val="center"/>
              <w:ind w:right="855"/>
              <w:spacing w:after="0"/>
              <w:rPr>
                <w:sz w:val="20"/>
                <w:szCs w:val="20"/>
                <w:color w:val="auto"/>
              </w:rPr>
            </w:pPr>
            <w:r>
              <w:rPr>
                <w:rFonts w:ascii="Arial" w:cs="Arial" w:eastAsia="Arial" w:hAnsi="Arial"/>
                <w:sz w:val="17"/>
                <w:szCs w:val="17"/>
                <w:color w:val="auto"/>
                <w:w w:val="97"/>
              </w:rPr>
              <w:t>Director</w:t>
            </w:r>
          </w:p>
        </w:tc>
        <w:tc>
          <w:tcPr>
            <w:tcW w:w="2300" w:type="dxa"/>
            <w:vAlign w:val="bottom"/>
            <w:gridSpan w:val="3"/>
            <w:vMerge w:val="restart"/>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Bihua Chen</w:t>
            </w:r>
          </w:p>
        </w:tc>
        <w:tc>
          <w:tcPr>
            <w:tcW w:w="1220" w:type="dxa"/>
            <w:vAlign w:val="bottom"/>
          </w:tcPr>
          <w:p>
            <w:pPr>
              <w:spacing w:after="0"/>
              <w:rPr>
                <w:sz w:val="19"/>
                <w:szCs w:val="19"/>
                <w:color w:val="auto"/>
              </w:rPr>
            </w:pPr>
          </w:p>
        </w:tc>
        <w:tc>
          <w:tcPr>
            <w:tcW w:w="4440" w:type="dxa"/>
            <w:vAlign w:val="bottom"/>
            <w:gridSpan w:val="3"/>
            <w:vMerge w:val="continue"/>
          </w:tcPr>
          <w:p>
            <w:pPr>
              <w:spacing w:after="0"/>
              <w:rPr>
                <w:sz w:val="19"/>
                <w:szCs w:val="19"/>
                <w:color w:val="auto"/>
              </w:rPr>
            </w:pPr>
          </w:p>
        </w:tc>
        <w:tc>
          <w:tcPr>
            <w:tcW w:w="2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440" w:type="dxa"/>
            <w:vAlign w:val="bottom"/>
            <w:gridSpan w:val="3"/>
            <w:vMerge w:val="restart"/>
          </w:tcPr>
          <w:p>
            <w:pPr>
              <w:jc w:val="center"/>
              <w:ind w:right="855"/>
              <w:spacing w:after="0"/>
              <w:rPr>
                <w:sz w:val="20"/>
                <w:szCs w:val="20"/>
                <w:color w:val="auto"/>
              </w:rPr>
            </w:pPr>
            <w:r>
              <w:rPr>
                <w:rFonts w:ascii="Arial" w:cs="Arial" w:eastAsia="Arial" w:hAnsi="Arial"/>
                <w:sz w:val="17"/>
                <w:szCs w:val="17"/>
                <w:color w:val="auto"/>
                <w:w w:val="97"/>
              </w:rPr>
              <w:t>Director</w:t>
            </w:r>
          </w:p>
        </w:tc>
        <w:tc>
          <w:tcPr>
            <w:tcW w:w="2300" w:type="dxa"/>
            <w:vAlign w:val="bottom"/>
            <w:gridSpan w:val="3"/>
            <w:vMerge w:val="restart"/>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Alain J. Cohen</w:t>
            </w:r>
          </w:p>
        </w:tc>
        <w:tc>
          <w:tcPr>
            <w:tcW w:w="1220" w:type="dxa"/>
            <w:vAlign w:val="bottom"/>
          </w:tcPr>
          <w:p>
            <w:pPr>
              <w:spacing w:after="0"/>
              <w:rPr>
                <w:sz w:val="19"/>
                <w:szCs w:val="19"/>
                <w:color w:val="auto"/>
              </w:rPr>
            </w:pPr>
          </w:p>
        </w:tc>
        <w:tc>
          <w:tcPr>
            <w:tcW w:w="4440" w:type="dxa"/>
            <w:vAlign w:val="bottom"/>
            <w:gridSpan w:val="3"/>
            <w:vMerge w:val="continue"/>
          </w:tcPr>
          <w:p>
            <w:pPr>
              <w:spacing w:after="0"/>
              <w:rPr>
                <w:sz w:val="19"/>
                <w:szCs w:val="19"/>
                <w:color w:val="auto"/>
              </w:rPr>
            </w:pPr>
          </w:p>
        </w:tc>
        <w:tc>
          <w:tcPr>
            <w:tcW w:w="2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440" w:type="dxa"/>
            <w:vAlign w:val="bottom"/>
            <w:gridSpan w:val="3"/>
            <w:vMerge w:val="restart"/>
          </w:tcPr>
          <w:p>
            <w:pPr>
              <w:jc w:val="center"/>
              <w:ind w:right="855"/>
              <w:spacing w:after="0"/>
              <w:rPr>
                <w:sz w:val="20"/>
                <w:szCs w:val="20"/>
                <w:color w:val="auto"/>
              </w:rPr>
            </w:pPr>
            <w:r>
              <w:rPr>
                <w:rFonts w:ascii="Arial" w:cs="Arial" w:eastAsia="Arial" w:hAnsi="Arial"/>
                <w:sz w:val="17"/>
                <w:szCs w:val="17"/>
                <w:color w:val="auto"/>
                <w:w w:val="97"/>
              </w:rPr>
              <w:t>Director</w:t>
            </w:r>
          </w:p>
        </w:tc>
        <w:tc>
          <w:tcPr>
            <w:tcW w:w="2300" w:type="dxa"/>
            <w:vAlign w:val="bottom"/>
            <w:gridSpan w:val="3"/>
            <w:vMerge w:val="restart"/>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Bruce Downey</w:t>
            </w:r>
          </w:p>
        </w:tc>
        <w:tc>
          <w:tcPr>
            <w:tcW w:w="1220" w:type="dxa"/>
            <w:vAlign w:val="bottom"/>
          </w:tcPr>
          <w:p>
            <w:pPr>
              <w:spacing w:after="0"/>
              <w:rPr>
                <w:sz w:val="19"/>
                <w:szCs w:val="19"/>
                <w:color w:val="auto"/>
              </w:rPr>
            </w:pPr>
          </w:p>
        </w:tc>
        <w:tc>
          <w:tcPr>
            <w:tcW w:w="4440" w:type="dxa"/>
            <w:vAlign w:val="bottom"/>
            <w:gridSpan w:val="3"/>
            <w:vMerge w:val="continue"/>
          </w:tcPr>
          <w:p>
            <w:pPr>
              <w:spacing w:after="0"/>
              <w:rPr>
                <w:sz w:val="19"/>
                <w:szCs w:val="19"/>
                <w:color w:val="auto"/>
              </w:rPr>
            </w:pPr>
          </w:p>
        </w:tc>
        <w:tc>
          <w:tcPr>
            <w:tcW w:w="2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440" w:type="dxa"/>
            <w:vAlign w:val="bottom"/>
            <w:gridSpan w:val="3"/>
            <w:vMerge w:val="restart"/>
          </w:tcPr>
          <w:p>
            <w:pPr>
              <w:jc w:val="center"/>
              <w:ind w:right="855"/>
              <w:spacing w:after="0"/>
              <w:rPr>
                <w:sz w:val="20"/>
                <w:szCs w:val="20"/>
                <w:color w:val="auto"/>
              </w:rPr>
            </w:pPr>
            <w:r>
              <w:rPr>
                <w:rFonts w:ascii="Arial" w:cs="Arial" w:eastAsia="Arial" w:hAnsi="Arial"/>
                <w:sz w:val="17"/>
                <w:szCs w:val="17"/>
                <w:color w:val="auto"/>
                <w:w w:val="97"/>
              </w:rPr>
              <w:t>Director</w:t>
            </w:r>
          </w:p>
        </w:tc>
        <w:tc>
          <w:tcPr>
            <w:tcW w:w="2300" w:type="dxa"/>
            <w:vAlign w:val="bottom"/>
            <w:gridSpan w:val="3"/>
            <w:vMerge w:val="restart"/>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Elena Prokupets, Ph.D.</w:t>
            </w:r>
          </w:p>
        </w:tc>
        <w:tc>
          <w:tcPr>
            <w:tcW w:w="1220" w:type="dxa"/>
            <w:vAlign w:val="bottom"/>
          </w:tcPr>
          <w:p>
            <w:pPr>
              <w:spacing w:after="0"/>
              <w:rPr>
                <w:sz w:val="19"/>
                <w:szCs w:val="19"/>
                <w:color w:val="auto"/>
              </w:rPr>
            </w:pPr>
          </w:p>
        </w:tc>
        <w:tc>
          <w:tcPr>
            <w:tcW w:w="4440" w:type="dxa"/>
            <w:vAlign w:val="bottom"/>
            <w:gridSpan w:val="3"/>
            <w:vMerge w:val="continue"/>
          </w:tcPr>
          <w:p>
            <w:pPr>
              <w:spacing w:after="0"/>
              <w:rPr>
                <w:sz w:val="19"/>
                <w:szCs w:val="19"/>
                <w:color w:val="auto"/>
              </w:rPr>
            </w:pPr>
          </w:p>
        </w:tc>
        <w:tc>
          <w:tcPr>
            <w:tcW w:w="2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440" w:type="dxa"/>
            <w:vAlign w:val="bottom"/>
            <w:gridSpan w:val="3"/>
            <w:vMerge w:val="restart"/>
          </w:tcPr>
          <w:p>
            <w:pPr>
              <w:jc w:val="center"/>
              <w:ind w:right="855"/>
              <w:spacing w:after="0"/>
              <w:rPr>
                <w:sz w:val="20"/>
                <w:szCs w:val="20"/>
                <w:color w:val="auto"/>
              </w:rPr>
            </w:pPr>
            <w:r>
              <w:rPr>
                <w:rFonts w:ascii="Arial" w:cs="Arial" w:eastAsia="Arial" w:hAnsi="Arial"/>
                <w:sz w:val="17"/>
                <w:szCs w:val="17"/>
                <w:color w:val="auto"/>
                <w:w w:val="97"/>
              </w:rPr>
              <w:t>Director</w:t>
            </w:r>
          </w:p>
        </w:tc>
        <w:tc>
          <w:tcPr>
            <w:tcW w:w="2300" w:type="dxa"/>
            <w:vAlign w:val="bottom"/>
            <w:gridSpan w:val="3"/>
            <w:vMerge w:val="restart"/>
          </w:tcPr>
          <w:p>
            <w:pPr>
              <w:ind w:left="760"/>
              <w:spacing w:after="0"/>
              <w:rPr>
                <w:sz w:val="20"/>
                <w:szCs w:val="20"/>
                <w:color w:val="auto"/>
              </w:rPr>
            </w:pPr>
            <w:r>
              <w:rPr>
                <w:rFonts w:ascii="Arial" w:cs="Arial" w:eastAsia="Arial" w:hAnsi="Arial"/>
                <w:sz w:val="17"/>
                <w:szCs w:val="17"/>
                <w:color w:val="auto"/>
                <w:w w:val="98"/>
              </w:rPr>
              <w:t>September 28, 2020</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7"/>
                <w:szCs w:val="17"/>
                <w:color w:val="auto"/>
              </w:rPr>
              <w:t>Malcolm Salter</w:t>
            </w:r>
          </w:p>
        </w:tc>
        <w:tc>
          <w:tcPr>
            <w:tcW w:w="1220" w:type="dxa"/>
            <w:vAlign w:val="bottom"/>
          </w:tcPr>
          <w:p>
            <w:pPr>
              <w:spacing w:after="0"/>
              <w:rPr>
                <w:sz w:val="19"/>
                <w:szCs w:val="19"/>
                <w:color w:val="auto"/>
              </w:rPr>
            </w:pPr>
          </w:p>
        </w:tc>
        <w:tc>
          <w:tcPr>
            <w:tcW w:w="4440" w:type="dxa"/>
            <w:vAlign w:val="bottom"/>
            <w:gridSpan w:val="3"/>
            <w:vMerge w:val="continue"/>
          </w:tcPr>
          <w:p>
            <w:pPr>
              <w:spacing w:after="0"/>
              <w:rPr>
                <w:sz w:val="19"/>
                <w:szCs w:val="19"/>
                <w:color w:val="auto"/>
              </w:rPr>
            </w:pPr>
          </w:p>
        </w:tc>
        <w:tc>
          <w:tcPr>
            <w:tcW w:w="2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3280" w:type="dxa"/>
            <w:vAlign w:val="bottom"/>
            <w:gridSpan w:val="4"/>
          </w:tcPr>
          <w:p>
            <w:pPr>
              <w:spacing w:after="0"/>
              <w:rPr>
                <w:sz w:val="20"/>
                <w:szCs w:val="20"/>
                <w:color w:val="auto"/>
              </w:rPr>
            </w:pPr>
            <w:r>
              <w:rPr>
                <w:rFonts w:ascii="Arial" w:cs="Arial" w:eastAsia="Arial" w:hAnsi="Arial"/>
                <w:sz w:val="17"/>
                <w:szCs w:val="17"/>
                <w:color w:val="auto"/>
              </w:rPr>
              <w:t>* By:  /s/ William McKee</w:t>
            </w: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60" w:type="dxa"/>
            <w:vAlign w:val="bottom"/>
          </w:tcPr>
          <w:p>
            <w:pPr>
              <w:spacing w:after="0" w:line="166" w:lineRule="exact"/>
              <w:rPr>
                <w:sz w:val="20"/>
                <w:szCs w:val="20"/>
                <w:color w:val="auto"/>
              </w:rPr>
            </w:pPr>
            <w:r>
              <w:rPr>
                <w:rFonts w:ascii="Arial" w:cs="Arial" w:eastAsia="Arial" w:hAnsi="Arial"/>
                <w:sz w:val="17"/>
                <w:szCs w:val="17"/>
                <w:color w:val="auto"/>
                <w:w w:val="98"/>
              </w:rPr>
              <w:t>William</w:t>
            </w:r>
          </w:p>
        </w:tc>
        <w:tc>
          <w:tcPr>
            <w:tcW w:w="2720" w:type="dxa"/>
            <w:vAlign w:val="bottom"/>
            <w:tcBorders>
              <w:top w:val="single" w:sz="8" w:color="auto"/>
            </w:tcBorders>
            <w:gridSpan w:val="3"/>
          </w:tcPr>
          <w:p>
            <w:pPr>
              <w:ind w:left="40"/>
              <w:spacing w:after="0" w:line="166" w:lineRule="exact"/>
              <w:rPr>
                <w:sz w:val="20"/>
                <w:szCs w:val="20"/>
                <w:color w:val="auto"/>
              </w:rPr>
            </w:pPr>
            <w:r>
              <w:rPr>
                <w:rFonts w:ascii="Arial" w:cs="Arial" w:eastAsia="Arial" w:hAnsi="Arial"/>
                <w:sz w:val="17"/>
                <w:szCs w:val="17"/>
                <w:color w:val="auto"/>
              </w:rPr>
              <w:t>McKee</w:t>
            </w:r>
          </w:p>
        </w:tc>
        <w:tc>
          <w:tcPr>
            <w:tcW w:w="1220" w:type="dxa"/>
            <w:vAlign w:val="bottom"/>
            <w:tcBorders>
              <w:top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280" w:type="dxa"/>
            <w:vAlign w:val="bottom"/>
            <w:gridSpan w:val="4"/>
          </w:tcPr>
          <w:p>
            <w:pPr>
              <w:spacing w:after="0"/>
              <w:rPr>
                <w:sz w:val="20"/>
                <w:szCs w:val="20"/>
                <w:color w:val="auto"/>
              </w:rPr>
            </w:pPr>
            <w:r>
              <w:rPr>
                <w:rFonts w:ascii="Arial" w:cs="Arial" w:eastAsia="Arial" w:hAnsi="Arial"/>
                <w:sz w:val="17"/>
                <w:szCs w:val="17"/>
                <w:color w:val="auto"/>
              </w:rPr>
              <w:t>Attorney-in-fact</w:t>
            </w:r>
          </w:p>
        </w:tc>
        <w:tc>
          <w:tcPr>
            <w:tcW w:w="1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236" w:name="page237"/>
    <w:bookmarkEnd w:id="236"/>
    <w:p>
      <w:pPr>
        <w:ind w:left="10080"/>
        <w:spacing w:after="0"/>
        <w:rPr>
          <w:sz w:val="20"/>
          <w:szCs w:val="20"/>
          <w:color w:val="auto"/>
        </w:rPr>
      </w:pPr>
      <w:r>
        <w:rPr>
          <w:rFonts w:ascii="Times New Roman" w:cs="Times New Roman" w:eastAsia="Times New Roman" w:hAnsi="Times New Roman"/>
          <w:sz w:val="17"/>
          <w:szCs w:val="17"/>
          <w:b w:val="1"/>
          <w:bCs w:val="1"/>
          <w:color w:val="auto"/>
        </w:rPr>
        <w:t>Exhibit 1.1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2020</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EVERCORE GROUP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East 52nd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C4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an aggregate of [●] shares of its common stock, par value $0.0001 per share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The [●] Shares to be sold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are called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In addition, the Company has granted to the Underwriters an option to purchase up to an additional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as provided in Section 2. The additional [●] Shares to be sold by the Company pursuant to such option are collectively called the “</w:t>
      </w:r>
      <w:r>
        <w:rPr>
          <w:rFonts w:ascii="Times New Roman" w:cs="Times New Roman" w:eastAsia="Times New Roman" w:hAnsi="Times New Roman"/>
          <w:sz w:val="18"/>
          <w:szCs w:val="18"/>
          <w:b w:val="1"/>
          <w:bCs w:val="1"/>
          <w:color w:val="auto"/>
        </w:rPr>
        <w:t>Optional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Firm Shares and, if and to the extent such option is exercised, the Optional Shares are collectively called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Jefferies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and Evercore Group L.L.C. (“</w:t>
      </w:r>
      <w:r>
        <w:rPr>
          <w:rFonts w:ascii="Times New Roman" w:cs="Times New Roman" w:eastAsia="Times New Roman" w:hAnsi="Times New Roman"/>
          <w:sz w:val="18"/>
          <w:szCs w:val="18"/>
          <w:b w:val="1"/>
          <w:bCs w:val="1"/>
          <w:color w:val="auto"/>
        </w:rPr>
        <w:t>Evercore</w:t>
      </w:r>
      <w:r>
        <w:rPr>
          <w:rFonts w:ascii="Times New Roman" w:cs="Times New Roman" w:eastAsia="Times New Roman" w:hAnsi="Times New Roman"/>
          <w:sz w:val="18"/>
          <w:szCs w:val="18"/>
          <w:color w:val="auto"/>
        </w:rPr>
        <w:t>”) have agreed to act as representatives of the several Underwriters (in such capacity,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xml:space="preserve">”) in connection with the offering and sale of the Offered Shares. To the extent there are no additional underwriters listed on </w:t>
      </w:r>
      <w:r>
        <w:rPr>
          <w:rFonts w:ascii="Times New Roman" w:cs="Times New Roman" w:eastAsia="Times New Roman" w:hAnsi="Times New Roman"/>
          <w:sz w:val="17"/>
          <w:szCs w:val="17"/>
          <w:u w:val="single" w:color="auto"/>
          <w:color w:val="auto"/>
        </w:rPr>
        <w:t>Schedule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term “Representatives” as used herein shall mean you, as Underwriters, and the term “Underwriters” shall mean either the singular or the plural,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context requires.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Jefferies agrees that up to [●] of the Firm Shares to be purchased by the Underwriters (the “</w:t>
      </w:r>
      <w:r>
        <w:rPr>
          <w:rFonts w:ascii="Times New Roman" w:cs="Times New Roman" w:eastAsia="Times New Roman" w:hAnsi="Times New Roman"/>
          <w:sz w:val="17"/>
          <w:szCs w:val="17"/>
          <w:b w:val="1"/>
          <w:bCs w:val="1"/>
          <w:color w:val="auto"/>
        </w:rPr>
        <w:t>Directed Shares</w:t>
      </w:r>
      <w:r>
        <w:rPr>
          <w:rFonts w:ascii="Times New Roman" w:cs="Times New Roman" w:eastAsia="Times New Roman" w:hAnsi="Times New Roman"/>
          <w:sz w:val="17"/>
          <w:szCs w:val="17"/>
          <w:color w:val="auto"/>
        </w:rPr>
        <w:t>”) shall be reserved for sale to certain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directors, officers and employees of the Company and persons having business relationships with the Company (collectively,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as part of the distribution of the Offered Shares by the Underwriters (the “</w:t>
      </w:r>
      <w:r>
        <w:rPr>
          <w:rFonts w:ascii="Times New Roman" w:cs="Times New Roman" w:eastAsia="Times New Roman" w:hAnsi="Times New Roman"/>
          <w:sz w:val="18"/>
          <w:szCs w:val="18"/>
          <w:b w:val="1"/>
          <w:bCs w:val="1"/>
          <w:color w:val="auto"/>
        </w:rPr>
        <w:t>Directed Share Program</w:t>
      </w:r>
      <w:r>
        <w:rPr>
          <w:rFonts w:ascii="Times New Roman" w:cs="Times New Roman" w:eastAsia="Times New Roman" w:hAnsi="Times New Roman"/>
          <w:sz w:val="18"/>
          <w:szCs w:val="18"/>
          <w:color w:val="auto"/>
        </w:rPr>
        <w:t>”) subject to the terms of this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the applicable rules, regulations and interpretations of the Financial Industry Regulatory Authority, Inc. (“</w:t>
      </w:r>
      <w:r>
        <w:rPr>
          <w:rFonts w:ascii="Times New Roman" w:cs="Times New Roman" w:eastAsia="Times New Roman" w:hAnsi="Times New Roman"/>
          <w:sz w:val="17"/>
          <w:szCs w:val="17"/>
          <w:b w:val="1"/>
          <w:bCs w:val="1"/>
          <w:color w:val="auto"/>
        </w:rPr>
        <w:t>FINRA</w:t>
      </w:r>
      <w:r>
        <w:rPr>
          <w:rFonts w:ascii="Times New Roman" w:cs="Times New Roman" w:eastAsia="Times New Roman" w:hAnsi="Times New Roman"/>
          <w:sz w:val="17"/>
          <w:szCs w:val="17"/>
          <w:color w:val="auto"/>
        </w:rPr>
        <w:t>”) and all other applicable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rule and regulations. The Directed Share Program shall be administered by Jefferies. To the extent that the Directed Shares are not orally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for purchase by the Participants by the end of the first business day after the date of this Agreement, such Directed Shares may be offered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by the Underwriters as part of the public offering contemplated hereby.</w:t>
      </w:r>
    </w:p>
    <w:p>
      <w:pPr>
        <w:sectPr>
          <w:pgSz w:w="11900" w:h="16838" w:orient="portrait"/>
          <w:cols w:equalWidth="0" w:num="1">
            <w:col w:w="10920"/>
          </w:cols>
          <w:pgMar w:left="480" w:top="117" w:right="499" w:bottom="1440" w:gutter="0" w:footer="0" w:header="0"/>
        </w:sectPr>
      </w:pPr>
    </w:p>
    <w:bookmarkStart w:id="237" w:name="page238"/>
    <w:bookmarkEnd w:id="2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333-248719 which contains a form of prospectus to be used in connection with the public offering and sale of the Offered Shares.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as amended, including the financial statements, exhibits and schedules thereto, in the form in which it became effective under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Act of 1933, as amended, and the rules and regulations promulgated thereunder (collectively,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including any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a part thereof at the time of effectiveness pursuant to Rule 430A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filed by the Company pursuant to Rule 462(b) under the Securities Act in connection with the offer and sale of the Offered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called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and from and after the date and time of filing of any such Rule 462(b) Registration Statement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“Registration Statement” shall include the Rule 462(b) Registration Statement. The prospectus, in the form first used by the Underwriters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sales of the Offered Shares or in the form first made available to the Underwriters by the Company to meet requests of purchasers pursuant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173 under the Securities Act, is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preliminary prospectus dated [●], 2020 describing the Offered Shares and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thereof is called the “</w:t>
      </w:r>
      <w:r>
        <w:rPr>
          <w:rFonts w:ascii="Times New Roman" w:cs="Times New Roman" w:eastAsia="Times New Roman" w:hAnsi="Times New Roman"/>
          <w:sz w:val="17"/>
          <w:szCs w:val="17"/>
          <w:b w:val="1"/>
          <w:bCs w:val="1"/>
          <w:color w:val="auto"/>
        </w:rPr>
        <w:t>Preliminary Prospectus</w:t>
      </w:r>
      <w:r>
        <w:rPr>
          <w:rFonts w:ascii="Times New Roman" w:cs="Times New Roman" w:eastAsia="Times New Roman" w:hAnsi="Times New Roman"/>
          <w:sz w:val="17"/>
          <w:szCs w:val="17"/>
          <w:color w:val="auto"/>
        </w:rPr>
        <w:t>,” and the Preliminary Prospectus and any other prospectus in preliminary form that describes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Shares and the offering thereof and is used prior to the filing of the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 p.m. (New York City time) on [●], 2020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Securities Act, and “</w:t>
      </w:r>
      <w:r>
        <w:rPr>
          <w:rFonts w:ascii="Times New Roman" w:cs="Times New Roman" w:eastAsia="Times New Roman" w:hAnsi="Times New Roman"/>
          <w:sz w:val="17"/>
          <w:szCs w:val="17"/>
          <w:b w:val="1"/>
          <w:bCs w:val="1"/>
          <w:color w:val="auto"/>
        </w:rPr>
        <w:t>Time of Sale Prospectus</w:t>
      </w:r>
      <w:r>
        <w:rPr>
          <w:rFonts w:ascii="Times New Roman" w:cs="Times New Roman" w:eastAsia="Times New Roman" w:hAnsi="Times New Roman"/>
          <w:sz w:val="17"/>
          <w:szCs w:val="17"/>
          <w:color w:val="auto"/>
        </w:rPr>
        <w:t>” means the Preliminary Prospectus together with the free writing prospectuses, if any, identified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xml:space="preserve"> means a “road show” (as defined in Rule 433 under the Securities Act) relating to the offering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Offered Shares contemplated hereby that is a “written communication” (as defined in Rule 405 under the Securities Act). As used herein,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Section 5(d) Written Communication</w:t>
      </w:r>
      <w:r>
        <w:rPr>
          <w:rFonts w:ascii="Times New Roman" w:cs="Times New Roman" w:eastAsia="Times New Roman" w:hAnsi="Times New Roman"/>
          <w:sz w:val="17"/>
          <w:szCs w:val="17"/>
          <w:color w:val="auto"/>
        </w:rPr>
        <w:t>” means each written communication (within the meaning of Rule 405 under the Securities Act) that is made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Section 5(d) of the Securities Act by the Company or any person authorized to act on behalf of the Company to one or more potential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 that are qualified institutional buyers (“</w:t>
      </w:r>
      <w:r>
        <w:rPr>
          <w:rFonts w:ascii="Times New Roman" w:cs="Times New Roman" w:eastAsia="Times New Roman" w:hAnsi="Times New Roman"/>
          <w:sz w:val="17"/>
          <w:szCs w:val="17"/>
          <w:b w:val="1"/>
          <w:bCs w:val="1"/>
          <w:color w:val="auto"/>
        </w:rPr>
        <w:t>QIBs</w:t>
      </w:r>
      <w:r>
        <w:rPr>
          <w:rFonts w:ascii="Times New Roman" w:cs="Times New Roman" w:eastAsia="Times New Roman" w:hAnsi="Times New Roman"/>
          <w:sz w:val="17"/>
          <w:szCs w:val="17"/>
          <w:color w:val="auto"/>
        </w:rPr>
        <w:t>”) and/or institutions that are accredited investors (“</w:t>
      </w:r>
      <w:r>
        <w:rPr>
          <w:rFonts w:ascii="Times New Roman" w:cs="Times New Roman" w:eastAsia="Times New Roman" w:hAnsi="Times New Roman"/>
          <w:sz w:val="17"/>
          <w:szCs w:val="17"/>
          <w:b w:val="1"/>
          <w:bCs w:val="1"/>
          <w:color w:val="auto"/>
        </w:rPr>
        <w:t>IAIs</w:t>
      </w:r>
      <w:r>
        <w:rPr>
          <w:rFonts w:ascii="Times New Roman" w:cs="Times New Roman" w:eastAsia="Times New Roman" w:hAnsi="Times New Roman"/>
          <w:sz w:val="17"/>
          <w:szCs w:val="17"/>
          <w:color w:val="auto"/>
        </w:rPr>
        <w:t>”), as such terms are respectively defined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Rule 144A and Rule 501(a) under the Securities Act, to determine whether such investors might have an interest in the offering of the Offered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Section 5(d) Oral Communication</w:t>
      </w:r>
      <w:r>
        <w:rPr>
          <w:rFonts w:ascii="Times New Roman" w:cs="Times New Roman" w:eastAsia="Times New Roman" w:hAnsi="Times New Roman"/>
          <w:sz w:val="17"/>
          <w:szCs w:val="17"/>
          <w:color w:val="auto"/>
        </w:rPr>
        <w:t>” means each oral communication, if any, made in reliance on Section 5(d) of the Securities Act by the Company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authorized to act on behalf of the Company made to one or more QIBs and/or one or more IAIs to determine whether such investors might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an interest in the offering of the Offered Shares;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means any materials or information provided to investors by, or with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Company in connection with the marketing of the offering of the Offered Shares, including any roadshow or investor presentations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to investors by the Company (whether in person or electronically); and “</w:t>
      </w:r>
      <w:r>
        <w:rPr>
          <w:rFonts w:ascii="Times New Roman" w:cs="Times New Roman" w:eastAsia="Times New Roman" w:hAnsi="Times New Roman"/>
          <w:sz w:val="18"/>
          <w:szCs w:val="18"/>
          <w:b w:val="1"/>
          <w:bCs w:val="1"/>
          <w:color w:val="auto"/>
        </w:rPr>
        <w:t>Permitted Section 5(d) Communication</w:t>
      </w:r>
      <w:r>
        <w:rPr>
          <w:rFonts w:ascii="Times New Roman" w:cs="Times New Roman" w:eastAsia="Times New Roman" w:hAnsi="Times New Roman"/>
          <w:sz w:val="18"/>
          <w:szCs w:val="18"/>
          <w:color w:val="auto"/>
        </w:rPr>
        <w:t>” means the Section 5(d)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Communication(s) and Marketing Materials listed on Schedule C attached hereto.</w:t>
      </w:r>
    </w:p>
    <w:p>
      <w:pPr>
        <w:spacing w:after="0" w:line="202" w:lineRule="exact"/>
        <w:rPr>
          <w:sz w:val="20"/>
          <w:szCs w:val="20"/>
          <w:color w:val="auto"/>
        </w:rPr>
      </w:pPr>
    </w:p>
    <w:p>
      <w:pPr>
        <w:ind w:right="180" w:firstLine="436"/>
        <w:spacing w:after="0" w:line="277" w:lineRule="auto"/>
        <w:rPr>
          <w:sz w:val="20"/>
          <w:szCs w:val="20"/>
          <w:color w:val="auto"/>
        </w:rPr>
      </w:pPr>
      <w:r>
        <w:rPr>
          <w:rFonts w:ascii="Times New Roman" w:cs="Times New Roman" w:eastAsia="Times New Roman" w:hAnsi="Times New Roman"/>
          <w:sz w:val="17"/>
          <w:szCs w:val="17"/>
          <w:color w:val="auto"/>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7"/>
          <w:szCs w:val="17"/>
          <w:b w:val="1"/>
          <w:bCs w:val="1"/>
          <w:color w:val="auto"/>
        </w:rPr>
        <w:t>EDGAR</w:t>
      </w:r>
      <w:r>
        <w:rPr>
          <w:rFonts w:ascii="Times New Roman" w:cs="Times New Roman" w:eastAsia="Times New Roman" w:hAnsi="Times New Roman"/>
          <w:sz w:val="17"/>
          <w:szCs w:val="17"/>
          <w:color w:val="auto"/>
        </w:rPr>
        <w:t>”) and (ii) the Prospectus shall be deemed to include any “electronic Prospectus” provided for use in connection with the offering of the Offered Shares as contemplated by Section 3(o) of this Agreement.</w:t>
      </w:r>
    </w:p>
    <w:p>
      <w:pPr>
        <w:spacing w:after="0" w:line="167" w:lineRule="exact"/>
        <w:rPr>
          <w:sz w:val="20"/>
          <w:szCs w:val="20"/>
          <w:color w:val="auto"/>
        </w:rPr>
      </w:pPr>
    </w:p>
    <w:p>
      <w:pPr>
        <w:ind w:right="360" w:firstLine="436"/>
        <w:spacing w:after="0" w:line="278" w:lineRule="auto"/>
        <w:rPr>
          <w:sz w:val="20"/>
          <w:szCs w:val="20"/>
          <w:color w:val="auto"/>
        </w:rPr>
      </w:pPr>
      <w:r>
        <w:rPr>
          <w:rFonts w:ascii="Times New Roman" w:cs="Times New Roman" w:eastAsia="Times New Roman" w:hAnsi="Times New Roman"/>
          <w:sz w:val="18"/>
          <w:szCs w:val="18"/>
          <w:color w:val="auto"/>
        </w:rPr>
        <w:t xml:space="preserve">In the event that the Company has only one subsidiary, then all references herein to “subsidiaries” of the Company shall be deemed to refer to such single subsidiary,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110" w:lineRule="exact"/>
        <w:rPr>
          <w:sz w:val="20"/>
          <w:szCs w:val="20"/>
          <w:color w:val="auto"/>
        </w:rPr>
      </w:pPr>
    </w:p>
    <w:p>
      <w:pPr>
        <w:ind w:right="26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 Representations and Warranties of the Company. </w:t>
      </w:r>
      <w:r>
        <w:rPr>
          <w:rFonts w:ascii="Times New Roman" w:cs="Times New Roman" w:eastAsia="Times New Roman" w:hAnsi="Times New Roman"/>
          <w:sz w:val="18"/>
          <w:szCs w:val="18"/>
          <w:color w:val="auto"/>
        </w:rPr>
        <w:t>The Company hereby represents, warrants and covenants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 as of the date of this Agreement, as of the First Closing Date (as defined in Section 2) and as of each Option Closing Date (as defined in Section 2), if any, as follows:</w:t>
      </w:r>
    </w:p>
    <w:p>
      <w:pPr>
        <w:sectPr>
          <w:pgSz w:w="11900" w:h="16838" w:orient="portrait"/>
          <w:cols w:equalWidth="0" w:num="1">
            <w:col w:w="10920"/>
          </w:cols>
          <w:pgMar w:left="480" w:top="264" w:right="499" w:bottom="1440" w:gutter="0" w:footer="0" w:header="0"/>
        </w:sectPr>
      </w:pPr>
    </w:p>
    <w:bookmarkStart w:id="238" w:name="page239"/>
    <w:bookmarkEnd w:id="238"/>
    <w:p>
      <w:pPr>
        <w:ind w:left="-444" w:right="20" w:firstLine="444"/>
        <w:spacing w:after="0" w:line="259" w:lineRule="auto"/>
        <w:tabs>
          <w:tab w:leader="none" w:pos="245"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Compliance with Registration Requirements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has become effective under the Securities Act.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w:t>
      </w:r>
    </w:p>
    <w:p>
      <w:pPr>
        <w:spacing w:after="0" w:line="69" w:lineRule="exact"/>
        <w:rPr>
          <w:rFonts w:ascii="Times New Roman" w:cs="Times New Roman" w:eastAsia="Times New Roman" w:hAnsi="Times New Roman"/>
          <w:sz w:val="18"/>
          <w:szCs w:val="18"/>
          <w:b w:val="1"/>
          <w:bCs w:val="1"/>
          <w:color w:val="auto"/>
        </w:rPr>
      </w:pPr>
    </w:p>
    <w:p>
      <w:pPr>
        <w:ind w:left="-444" w:firstLine="444"/>
        <w:spacing w:after="0" w:line="266" w:lineRule="auto"/>
        <w:tabs>
          <w:tab w:leader="none" w:pos="255"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Disclosure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preliminary prospectus and the Prospectus, when filed, complied in all material respects with the Securities Act and, if filed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and at each applicable Option Closing Date,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64" w:lineRule="exact"/>
        <w:rPr>
          <w:rFonts w:ascii="Times New Roman" w:cs="Times New Roman" w:eastAsia="Times New Roman" w:hAnsi="Times New Roman"/>
          <w:sz w:val="17"/>
          <w:szCs w:val="17"/>
          <w:b w:val="1"/>
          <w:bCs w:val="1"/>
          <w:color w:val="auto"/>
        </w:rPr>
      </w:pPr>
    </w:p>
    <w:p>
      <w:pPr>
        <w:ind w:left="-444" w:right="20" w:firstLine="444"/>
        <w:spacing w:after="0" w:line="250" w:lineRule="auto"/>
        <w:tabs>
          <w:tab w:leader="none" w:pos="235"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determination date referenced in Rule 164(h) under the Securities Act, the Company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and electronic road shows, if any, furnished to the Representatives before first use, the Company has not prepared, used or referred to, and will not, without the Representatives’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ectPr>
          <w:pgSz w:w="11900" w:h="16838" w:orient="portrait"/>
          <w:cols w:equalWidth="0" w:num="1">
            <w:col w:w="10416"/>
          </w:cols>
          <w:pgMar w:left="924" w:top="264" w:right="559" w:bottom="1440" w:gutter="0" w:footer="0" w:header="0"/>
        </w:sectPr>
      </w:pPr>
    </w:p>
    <w:bookmarkStart w:id="239" w:name="page240"/>
    <w:bookmarkEnd w:id="239"/>
    <w:p>
      <w:pPr>
        <w:ind w:left="-7" w:firstLine="444"/>
        <w:spacing w:after="0" w:line="252" w:lineRule="auto"/>
        <w:tabs>
          <w:tab w:leader="none" w:pos="691"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Directed Share Program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 The Registration Statement, the Prospectus, the Time of Sale Prospectus and any preliminary prospectus comply,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any further amendments or supplements thereto will comply, with any applicable laws or regulations of foreign jurisdictions in which the Prospectus, Time of Sale Prospectus or any preliminary prospectus, as amended or supplemented, if applicable, are distributed in connection with the Directed Share Program, and (ii) no authorization, approval, consent, license, order registration or qualification of or with any government, governmental instrumentality or court, other than such as have been obtained, is necessary under the securities laws and regulations of foreign jurisdictions in which the Directed Shares are offered outside the United States. The Company has not offered, or caused the Underwriters to offer, any Offered Shares to any person pursuant to the Directed Share Program with the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76" w:lineRule="exact"/>
        <w:rPr>
          <w:rFonts w:ascii="Times New Roman" w:cs="Times New Roman" w:eastAsia="Times New Roman" w:hAnsi="Times New Roman"/>
          <w:sz w:val="18"/>
          <w:szCs w:val="18"/>
          <w:b w:val="1"/>
          <w:bCs w:val="1"/>
          <w:color w:val="auto"/>
        </w:rPr>
      </w:pPr>
    </w:p>
    <w:p>
      <w:pPr>
        <w:ind w:left="-7" w:right="60" w:firstLine="444"/>
        <w:spacing w:after="0" w:line="275" w:lineRule="auto"/>
        <w:tabs>
          <w:tab w:leader="none" w:pos="671" w:val="left"/>
        </w:tabs>
        <w:numPr>
          <w:ilvl w:val="1"/>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Distribution of Offering Material By the Company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 to the later of (i) the expiration or termination of the option granted to the several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Underwriters in Section 2, (ii) the completion of the Underwriters’ distribution of the Offered Shares and (iii) the expiration of 25 days after the date of the Prospectus,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hereto and any Permitted Section 5(d) Communications.</w:t>
      </w:r>
    </w:p>
    <w:p>
      <w:pPr>
        <w:spacing w:after="0" w:line="56" w:lineRule="exact"/>
        <w:rPr>
          <w:rFonts w:ascii="Times New Roman" w:cs="Times New Roman" w:eastAsia="Times New Roman" w:hAnsi="Times New Roman"/>
          <w:sz w:val="17"/>
          <w:szCs w:val="17"/>
          <w:b w:val="1"/>
          <w:bCs w:val="1"/>
          <w:color w:val="auto"/>
        </w:rPr>
      </w:pPr>
    </w:p>
    <w:p>
      <w:pPr>
        <w:ind w:left="653" w:hanging="216"/>
        <w:spacing w:after="0"/>
        <w:tabs>
          <w:tab w:leader="none" w:pos="653"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has been duly authorized, executed and delivered by the Company.</w:t>
      </w:r>
    </w:p>
    <w:p>
      <w:pPr>
        <w:spacing w:after="0" w:line="113" w:lineRule="exact"/>
        <w:rPr>
          <w:rFonts w:ascii="Times New Roman" w:cs="Times New Roman" w:eastAsia="Times New Roman" w:hAnsi="Times New Roman"/>
          <w:sz w:val="18"/>
          <w:szCs w:val="18"/>
          <w:b w:val="1"/>
          <w:bCs w:val="1"/>
          <w:color w:val="auto"/>
        </w:rPr>
      </w:pPr>
    </w:p>
    <w:p>
      <w:pPr>
        <w:ind w:left="-7" w:right="160" w:firstLine="444"/>
        <w:spacing w:after="0" w:line="259" w:lineRule="auto"/>
        <w:tabs>
          <w:tab w:leader="none" w:pos="681"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Shares have been duly authorized for issuance and sale pursuant to this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69" w:lineRule="exact"/>
        <w:rPr>
          <w:rFonts w:ascii="Times New Roman" w:cs="Times New Roman" w:eastAsia="Times New Roman" w:hAnsi="Times New Roman"/>
          <w:sz w:val="18"/>
          <w:szCs w:val="18"/>
          <w:b w:val="1"/>
          <w:bCs w:val="1"/>
          <w:color w:val="auto"/>
        </w:rPr>
      </w:pPr>
    </w:p>
    <w:p>
      <w:pPr>
        <w:ind w:left="-7" w:firstLine="444"/>
        <w:spacing w:after="0" w:line="265" w:lineRule="auto"/>
        <w:tabs>
          <w:tab w:leader="none" w:pos="691"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Applicable Registration or Other Similar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persons with registration or other similar rights to have any equity 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registered for sale under the Registration Statement or included in the offering contemplated by this Agreement, except for such rights as have been duly waived.</w:t>
      </w:r>
    </w:p>
    <w:p>
      <w:pPr>
        <w:spacing w:after="0" w:line="63" w:lineRule="exact"/>
        <w:rPr>
          <w:rFonts w:ascii="Times New Roman" w:cs="Times New Roman" w:eastAsia="Times New Roman" w:hAnsi="Times New Roman"/>
          <w:sz w:val="18"/>
          <w:szCs w:val="18"/>
          <w:b w:val="1"/>
          <w:bCs w:val="1"/>
          <w:color w:val="auto"/>
        </w:rPr>
      </w:pPr>
    </w:p>
    <w:p>
      <w:pPr>
        <w:ind w:left="-7" w:right="200" w:firstLine="444"/>
        <w:spacing w:after="0" w:line="276" w:lineRule="auto"/>
        <w:tabs>
          <w:tab w:leader="none" w:pos="642" w:val="left"/>
        </w:tabs>
        <w:numPr>
          <w:ilvl w:val="1"/>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 Material Adverse Change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otherwise disclosed in the Registration Statement, the Time of Sale Prospectus and the Prospectus,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subsequent to the respective dates as of which information is given in the Registration Statement, the Time of Sale Prospectus and the Prospectus:</w:t>
      </w:r>
    </w:p>
    <w:p>
      <w:pPr>
        <w:spacing w:after="0" w:line="1" w:lineRule="exact"/>
        <w:rPr>
          <w:rFonts w:ascii="Times New Roman" w:cs="Times New Roman" w:eastAsia="Times New Roman" w:hAnsi="Times New Roman"/>
          <w:sz w:val="17"/>
          <w:szCs w:val="17"/>
          <w:b w:val="1"/>
          <w:bCs w:val="1"/>
          <w:color w:val="auto"/>
        </w:rPr>
      </w:pPr>
    </w:p>
    <w:p>
      <w:pPr>
        <w:ind w:left="-7" w:right="100" w:firstLine="7"/>
        <w:spacing w:after="0" w:line="249" w:lineRule="auto"/>
        <w:tabs>
          <w:tab w:leader="none" w:pos="20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or any development that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(iii) there</w:t>
      </w:r>
    </w:p>
    <w:p>
      <w:pPr>
        <w:sectPr>
          <w:pgSz w:w="11900" w:h="16838" w:orient="portrait"/>
          <w:cols w:equalWidth="0" w:num="1">
            <w:col w:w="10853"/>
          </w:cols>
          <w:pgMar w:left="487" w:top="264" w:right="559" w:bottom="1440" w:gutter="0" w:footer="0" w:header="0"/>
        </w:sectPr>
      </w:pPr>
    </w:p>
    <w:bookmarkStart w:id="240" w:name="page241"/>
    <w:bookmarkEnd w:id="240"/>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has not been any material decrease in the capital stock or any material increase in any short-term or long-term indebtedness of the Company or its subsidiaries; and (iv)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69" w:lineRule="exact"/>
        <w:rPr>
          <w:sz w:val="20"/>
          <w:szCs w:val="20"/>
          <w:color w:val="auto"/>
        </w:rPr>
      </w:pPr>
    </w:p>
    <w:p>
      <w:pPr>
        <w:ind w:right="220" w:firstLine="444"/>
        <w:spacing w:after="0" w:line="255" w:lineRule="auto"/>
        <w:tabs>
          <w:tab w:leader="none" w:pos="659"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Independent Accountants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KPMG LLP, which has expressed its opinion with respect to the financial statements (which term, as used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includes the related notes thereto) filed with the Commission as a part of the Registration Statement, the Time of Sale Prospectus and the Prospectus, is (i) an independent registered public accounting firm as required by the Securities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and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71" w:lineRule="exact"/>
        <w:rPr>
          <w:rFonts w:ascii="Times New Roman" w:cs="Times New Roman" w:eastAsia="Times New Roman" w:hAnsi="Times New Roman"/>
          <w:sz w:val="18"/>
          <w:szCs w:val="18"/>
          <w:b w:val="1"/>
          <w:bCs w:val="1"/>
          <w:color w:val="auto"/>
        </w:rPr>
      </w:pPr>
    </w:p>
    <w:p>
      <w:pPr>
        <w:ind w:firstLine="444"/>
        <w:spacing w:after="0" w:line="250" w:lineRule="auto"/>
        <w:tabs>
          <w:tab w:leader="none" w:pos="699"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financial statements filed with the Commission as a part of the Registration Statement, the Time of Sale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“Prospectus Summary—Summary Consolidated Financial Data,” “Selected Consolidated Financial Data” and “Capitalization” present fairly in all material respects the information set forth therein on a basis consistent with that of the 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Exchange Act) comply in all material respects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79" w:lineRule="exact"/>
        <w:rPr>
          <w:rFonts w:ascii="Times New Roman" w:cs="Times New Roman" w:eastAsia="Times New Roman" w:hAnsi="Times New Roman"/>
          <w:sz w:val="18"/>
          <w:szCs w:val="18"/>
          <w:b w:val="1"/>
          <w:bCs w:val="1"/>
          <w:color w:val="auto"/>
        </w:rPr>
      </w:pPr>
    </w:p>
    <w:p>
      <w:pPr>
        <w:ind w:firstLine="444"/>
        <w:spacing w:after="0" w:line="255" w:lineRule="auto"/>
        <w:tabs>
          <w:tab w:leader="none" w:pos="649"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Company’s Accounting 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make and keep accurate books and records and maintain,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basis,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ectPr>
          <w:pgSz w:w="11900" w:h="16838" w:orient="portrait"/>
          <w:cols w:equalWidth="0" w:num="1">
            <w:col w:w="10900"/>
          </w:cols>
          <w:pgMar w:left="480" w:top="268" w:right="519" w:bottom="1440" w:gutter="0" w:footer="0" w:header="0"/>
        </w:sectPr>
      </w:pPr>
    </w:p>
    <w:bookmarkStart w:id="241" w:name="page242"/>
    <w:bookmarkEnd w:id="241"/>
    <w:p>
      <w:pPr>
        <w:ind w:left="-444" w:firstLine="444"/>
        <w:spacing w:after="0" w:line="251" w:lineRule="auto"/>
        <w:tabs>
          <w:tab w:leader="none" w:pos="30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Disclosure Controls and Procedures; Deficiencies in or Changes to Internal Control Over Financial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otherwise disclosed in the Registration Statement, the Time of Sale Prospectus and the Prospectus, (i)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and (ii) the Company is not aware of any change in its internal control over financial reporting that has occurred during its most recently completed fiscal quarter that has materially affected, or is reasonably likely to materially affect, the Company’s internal control over financial reporting.</w:t>
      </w:r>
    </w:p>
    <w:p>
      <w:pPr>
        <w:spacing w:after="0" w:line="77" w:lineRule="exact"/>
        <w:rPr>
          <w:rFonts w:ascii="Times New Roman" w:cs="Times New Roman" w:eastAsia="Times New Roman" w:hAnsi="Times New Roman"/>
          <w:sz w:val="18"/>
          <w:szCs w:val="18"/>
          <w:b w:val="1"/>
          <w:bCs w:val="1"/>
          <w:color w:val="auto"/>
        </w:rPr>
      </w:pPr>
    </w:p>
    <w:p>
      <w:pPr>
        <w:ind w:left="-444" w:right="40" w:firstLine="444"/>
        <w:spacing w:after="0" w:line="272" w:lineRule="auto"/>
        <w:tabs>
          <w:tab w:leader="none" w:pos="255"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Incorporation and Good Standing of the Company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has been duly incorporated and is validly existing as a corporation in good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Commonwealth of Massachusetts and each other jurisdiction in which such qualification is required, whether by reason of the ownership or leasing of property or the conduct of business, except where the failure to be so qualified could not reasonably be expected to result in a Material Adverse Change.</w:t>
      </w:r>
    </w:p>
    <w:p>
      <w:pPr>
        <w:spacing w:after="0" w:line="61" w:lineRule="exact"/>
        <w:rPr>
          <w:rFonts w:ascii="Times New Roman" w:cs="Times New Roman" w:eastAsia="Times New Roman" w:hAnsi="Times New Roman"/>
          <w:sz w:val="17"/>
          <w:szCs w:val="17"/>
          <w:b w:val="1"/>
          <w:bCs w:val="1"/>
          <w:color w:val="auto"/>
        </w:rPr>
      </w:pPr>
    </w:p>
    <w:p>
      <w:pPr>
        <w:ind w:left="-444" w:right="20" w:firstLine="444"/>
        <w:spacing w:after="0" w:line="250" w:lineRule="auto"/>
        <w:tabs>
          <w:tab w:leader="none" w:pos="24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Company’s “subsidiaries” (for purposes of this Agreement, as defined in Rule 405 under the Securities Act)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except as could not reasonably be expected, individually or in the aggregate, to result in a Material Adverse Change.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except to the extent that such security interest, mortgage, pledge, lien, encumbrance or adverse claim could not reasonably be expected, individually or in the aggregate, to result in a Material Adverse Change. None of the outstanding capital stock or equity interests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Registration Statement. Since inception, C4T Securities Corporation, a wholly owned Massachusetts subsidiary of the Company, has not conducted, and does not currently conduct, any operations, has not had and does not have any employees and has been and is engaged exclusively in buying, selling, dealing in and holding publicly-traded securities on its own behalf and not as a broker.</w:t>
      </w:r>
    </w:p>
    <w:p>
      <w:pPr>
        <w:sectPr>
          <w:pgSz w:w="11900" w:h="16838" w:orient="portrait"/>
          <w:cols w:equalWidth="0" w:num="1">
            <w:col w:w="10476"/>
          </w:cols>
          <w:pgMar w:left="924" w:top="264" w:right="499" w:bottom="1440" w:gutter="0" w:footer="0" w:header="0"/>
        </w:sectPr>
      </w:pPr>
    </w:p>
    <w:bookmarkStart w:id="242" w:name="page243"/>
    <w:bookmarkEnd w:id="242"/>
    <w:p>
      <w:pPr>
        <w:ind w:left="-444" w:right="60" w:firstLine="444"/>
        <w:spacing w:after="0" w:line="251" w:lineRule="auto"/>
        <w:tabs>
          <w:tab w:leader="none" w:pos="255"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Capitalization and Other Capital Stock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authorized, issued and outstanding capital stock of the Company is as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 in all material respects the information required to be shown with respect to such plans, arrangements, options and rights.</w:t>
      </w:r>
    </w:p>
    <w:p>
      <w:pPr>
        <w:spacing w:after="0" w:line="77" w:lineRule="exact"/>
        <w:rPr>
          <w:rFonts w:ascii="Times New Roman" w:cs="Times New Roman" w:eastAsia="Times New Roman" w:hAnsi="Times New Roman"/>
          <w:sz w:val="18"/>
          <w:szCs w:val="18"/>
          <w:b w:val="1"/>
          <w:bCs w:val="1"/>
          <w:color w:val="auto"/>
        </w:rPr>
      </w:pPr>
    </w:p>
    <w:p>
      <w:pPr>
        <w:ind w:left="-444" w:right="520" w:firstLine="444"/>
        <w:spacing w:after="0" w:line="282" w:lineRule="auto"/>
        <w:tabs>
          <w:tab w:leader="none" w:pos="255"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Exchange 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Shares have been approved for listing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subject only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official notice of issuance.</w:t>
      </w:r>
    </w:p>
    <w:p>
      <w:pPr>
        <w:spacing w:after="0" w:line="48" w:lineRule="exact"/>
        <w:rPr>
          <w:rFonts w:ascii="Times New Roman" w:cs="Times New Roman" w:eastAsia="Times New Roman" w:hAnsi="Times New Roman"/>
          <w:sz w:val="18"/>
          <w:szCs w:val="18"/>
          <w:b w:val="1"/>
          <w:bCs w:val="1"/>
          <w:color w:val="auto"/>
        </w:rPr>
      </w:pPr>
    </w:p>
    <w:p>
      <w:pPr>
        <w:ind w:left="-444" w:firstLine="444"/>
        <w:spacing w:after="0" w:line="250" w:lineRule="auto"/>
        <w:tabs>
          <w:tab w:leader="none" w:pos="235"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Non-Contravention of Existing Instruments; No Further Authorizations or Approvals Required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could not reasonably be expected, individually or in the aggregate, to result in a Material Adverse Change.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(ii) and (iii) above as could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w:t>
      </w:r>
    </w:p>
    <w:p>
      <w:pPr>
        <w:sectPr>
          <w:pgSz w:w="11900" w:h="16838" w:orient="portrait"/>
          <w:cols w:equalWidth="0" w:num="1">
            <w:col w:w="10476"/>
          </w:cols>
          <w:pgMar w:left="924" w:top="264" w:right="499" w:bottom="1440" w:gutter="0" w:footer="0" w:header="0"/>
        </w:sectPr>
      </w:pPr>
    </w:p>
    <w:bookmarkStart w:id="243" w:name="page244"/>
    <w:bookmarkEnd w:id="24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execution, delivery and performance of this Agreement and consummation of the transactions contemplated hereby and by the Registration Statement, the Time of Sale Prospectus and the Prospectus, except (A) such as have been obtained or made by the Company and are in full force and effect under the Securities Act and such as may be required under applicable state securities or blue sky laws or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and (B) such as have been obtained under the laws and regulations of jurisdictions outside the United States in which Directed Shares are offered. As used herein, a “</w:t>
      </w:r>
      <w:r>
        <w:rPr>
          <w:rFonts w:ascii="Times New Roman" w:cs="Times New Roman" w:eastAsia="Times New Roman" w:hAnsi="Times New Roman"/>
          <w:sz w:val="18"/>
          <w:szCs w:val="18"/>
          <w:b w:val="1"/>
          <w:bCs w:val="1"/>
          <w:color w:val="auto"/>
        </w:rPr>
        <w:t>Debt Repayment Triggering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of indebtedness (or any person acting on such holder’s behalf) the right to require the repurchase, redemption or repayment of all or a portion of such indebtedness by the Company or any of its subsidiaries.</w:t>
      </w:r>
    </w:p>
    <w:p>
      <w:pPr>
        <w:spacing w:after="0" w:line="73" w:lineRule="exact"/>
        <w:rPr>
          <w:sz w:val="20"/>
          <w:szCs w:val="20"/>
          <w:color w:val="auto"/>
        </w:rPr>
      </w:pPr>
    </w:p>
    <w:p>
      <w:pPr>
        <w:ind w:right="160" w:firstLine="444"/>
        <w:spacing w:after="0" w:line="313" w:lineRule="auto"/>
        <w:tabs>
          <w:tab w:leader="none" w:pos="669"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Compliance with Laws. </w:t>
      </w:r>
      <w:r>
        <w:rPr>
          <w:rFonts w:ascii="Times New Roman" w:cs="Times New Roman" w:eastAsia="Times New Roman" w:hAnsi="Times New Roman"/>
          <w:sz w:val="17"/>
          <w:szCs w:val="17"/>
          <w:color w:val="auto"/>
        </w:rPr>
        <w:t>The Company and its subsidiaries have been and are in compliance with all applicable laws, rules and regulations,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where failure to be so in compliance could not reasonably be expected, individually or in the aggregate, to result in a Material Adverse Change.</w:t>
      </w:r>
    </w:p>
    <w:p>
      <w:pPr>
        <w:spacing w:after="0" w:line="25" w:lineRule="exact"/>
        <w:rPr>
          <w:rFonts w:ascii="Times New Roman" w:cs="Times New Roman" w:eastAsia="Times New Roman" w:hAnsi="Times New Roman"/>
          <w:sz w:val="17"/>
          <w:szCs w:val="17"/>
          <w:b w:val="1"/>
          <w:bCs w:val="1"/>
          <w:color w:val="auto"/>
        </w:rPr>
      </w:pPr>
    </w:p>
    <w:p>
      <w:pPr>
        <w:ind w:right="80" w:firstLine="444"/>
        <w:spacing w:after="0" w:line="256" w:lineRule="auto"/>
        <w:tabs>
          <w:tab w:leader="none" w:pos="659"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Actions or Proceedings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is no action, suit, proceeding, inquiry or investigation brought by or before any legal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governmental entity now pending or, to the knowledge of the Company, threatened, against or affecting the Company or any of its subsidiaries, which could reasonably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72" w:lineRule="exact"/>
        <w:rPr>
          <w:rFonts w:ascii="Times New Roman" w:cs="Times New Roman" w:eastAsia="Times New Roman" w:hAnsi="Times New Roman"/>
          <w:sz w:val="18"/>
          <w:szCs w:val="18"/>
          <w:b w:val="1"/>
          <w:bCs w:val="1"/>
          <w:color w:val="auto"/>
        </w:rPr>
      </w:pPr>
    </w:p>
    <w:p>
      <w:pPr>
        <w:ind w:firstLine="444"/>
        <w:spacing w:after="0" w:line="249" w:lineRule="auto"/>
        <w:tabs>
          <w:tab w:leader="none" w:pos="699"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own, or have obtained valid and enforceable licenses for, the inventions,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 applications, patents, trademarks, trade names, service names, copyrights, trade secrets and other intellectual property (collectively, “</w:t>
      </w:r>
      <w:r>
        <w:rPr>
          <w:rFonts w:ascii="Times New Roman" w:cs="Times New Roman" w:eastAsia="Times New Roman" w:hAnsi="Times New Roman"/>
          <w:sz w:val="18"/>
          <w:szCs w:val="18"/>
          <w:b w:val="1"/>
          <w:b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described in the Registration Statement, the Time of Sale Prospectus and the Prospectus as being owned or licensed by them or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for the conduct of their respective businesses as currently conducted or as currently proposed to be conducted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To the knowledge of the Company, the conduct of the Company’s business does not infringe, misappropriate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in any material respect with any Intellectual Property rights of others. The Company Intellectual Property has not been adjudged by a court of competent jurisdiction to be invalid or unenforceable, in whole or in part, and the Company is unaware of any facts which would form a reasonable basis for any such adjudication. To the Company’s knowledge, (i) subject to ongoing inventorship determinations for recently filed patent applications, there are no third parties who have rights to any Intellectual Property, except for customary reversionary rights of third-party licensors with respect to Intellectual Property that is disclosed in the Registration Statement, the Time of Sale Prospectus and the Prospectus as licensed to the Company or one or more of its subsidiaries; and (ii) there is no infringement by third parties of any Company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Company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in all material respects with the terms of each agreement pursuant to which Intellectual Property has been licensed to the Company or any subsidiary, and all such agreements are in full force and effect.</w:t>
      </w:r>
    </w:p>
    <w:p>
      <w:pPr>
        <w:sectPr>
          <w:pgSz w:w="11900" w:h="16838" w:orient="portrait"/>
          <w:cols w:equalWidth="0" w:num="1">
            <w:col w:w="10920"/>
          </w:cols>
          <w:pgMar w:left="480" w:top="268" w:right="499" w:bottom="1440" w:gutter="0" w:footer="0" w:header="0"/>
        </w:sectPr>
      </w:pPr>
    </w:p>
    <w:bookmarkStart w:id="244" w:name="page245"/>
    <w:bookmarkEnd w:id="244"/>
    <w:p>
      <w:pPr>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the Company’s knowledge, there are no material defects in any of the patents or patent applications included in the Company Intellectual Property. The Company and its subsidiaries have taken appropriate and reasonable steps to protect, maintain and safeguard their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To the Company’s knowledge,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to the Company’s knowledge, any of their respective officers, directors or employees or otherwise in violation of the rights of any persons. The product candidates, their method of manufacture, and/or a method of their use described in the Registration Statement, the Time of Sale Prospectus and the Prospectus as under development by the Company or any subsidiary fall within the scope of the claims of one or more patents or patent applications owned by, or exclusively licensed to, the Company or any subsidiary, or are otherwise described in such patents or patent applications in a manner that would support claim(s).</w:t>
      </w:r>
    </w:p>
    <w:p>
      <w:pPr>
        <w:spacing w:after="0" w:line="75" w:lineRule="exact"/>
        <w:rPr>
          <w:sz w:val="20"/>
          <w:szCs w:val="20"/>
          <w:color w:val="auto"/>
        </w:rPr>
      </w:pPr>
    </w:p>
    <w:p>
      <w:pPr>
        <w:ind w:firstLine="444"/>
        <w:spacing w:after="0" w:line="251" w:lineRule="auto"/>
        <w:tabs>
          <w:tab w:leader="none" w:pos="689"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All Necessary Permits, etc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possess such valid and current certificates, authorizations or permits required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 federal or foreign regulatory agencies or bodies to conduct their respective businesses as currently conducted and as described in the Registration Statement, the Time of Sale Prospectus or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where the failure to possess such Permits could not reasonably be expected, individually or in the aggregate, to result in a Material Adverse Change. Neither the Company nor any of its subsidiaries is in violation of, or in default under, any of the Permits, except where such failure or violation could not reasonably be expected, individually or in the aggregate, to result in a Material Adverse Change, or has received any notice of proceedings relating to the revocation or material modification of, or non-compliance with, any such certificate, authorization or permit. The Company and its subsidiaries have filed, obtained, maintained or submitted all reports, documents, forms, notices, applications, records, claims, submissions and supplements or amendments as required by any Permits and that all such reports, documents, forms, notices, applications, records, claims, submissions and supplements or amendments were timely, complete, correct and not misleading on the date filed (or were corrected or supplemented by a subsequent submission), except, in each case, where the failure to do so would not reasonably be expected, individually or in the aggregate, to result in a Material Adverse Change.</w:t>
      </w:r>
    </w:p>
    <w:p>
      <w:pPr>
        <w:spacing w:after="0" w:line="79" w:lineRule="exact"/>
        <w:rPr>
          <w:rFonts w:ascii="Times New Roman" w:cs="Times New Roman" w:eastAsia="Times New Roman" w:hAnsi="Times New Roman"/>
          <w:sz w:val="18"/>
          <w:szCs w:val="18"/>
          <w:b w:val="1"/>
          <w:bCs w:val="1"/>
          <w:color w:val="auto"/>
        </w:rPr>
      </w:pPr>
    </w:p>
    <w:p>
      <w:pPr>
        <w:ind w:right="60" w:firstLine="444"/>
        <w:spacing w:after="0" w:line="272" w:lineRule="auto"/>
        <w:tabs>
          <w:tab w:leader="none" w:pos="728"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Title to Properties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and its subsidiaries have good and marketable title to all of the real and personal property and other assets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reflected as owned in the financial statements referred to in Section 1(k) above (or elsewhere in the Registration Statement, the Time of Sale Prospectus or the Prospectus), in each case free and clear of any security interests, mortgages, liens, encumbrances, equities, adverse claims and other defects, except where the failure to have such title could not reasonably be expected, individually or in the aggregate, to result in a Material Adverse Change. The real property, improvements, equipment and personal property held under lease by the Company or any of its subsidiaries are held under valid and enforceable leases, with such exceptions as could not reasonably be expected, individually or in the aggregate, to result in a Material Adverse Change.</w:t>
      </w:r>
    </w:p>
    <w:p>
      <w:pPr>
        <w:sectPr>
          <w:pgSz w:w="11900" w:h="16838" w:orient="portrait"/>
          <w:cols w:equalWidth="0" w:num="1">
            <w:col w:w="10900"/>
          </w:cols>
          <w:pgMar w:left="480" w:top="268" w:right="519" w:bottom="1440" w:gutter="0" w:footer="0" w:header="0"/>
        </w:sectPr>
      </w:pPr>
    </w:p>
    <w:bookmarkStart w:id="245" w:name="page246"/>
    <w:bookmarkEnd w:id="245"/>
    <w:p>
      <w:pPr>
        <w:ind w:left="-444" w:right="20" w:firstLine="444"/>
        <w:spacing w:after="0" w:line="251" w:lineRule="auto"/>
        <w:tabs>
          <w:tab w:leader="none" w:pos="245"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Tax Law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have timely filed all necessary U.S. federal, state and foreign income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tax returns or have properly requested extensions thereof and have paid all income and other material taxes due pursuant to such returns and, if due and payable, any related or similar material assessment, fine or penalty levied against any of them except as may be being contested in good faith and by appropriate proceedings and for which reserves required by U.S. GAAP have been created and maintained in the financial statements of the Company. The Company has made adequate charges, accruals and reserves in the applicable financial statements referred to in Section 1(k) above in respect of all taxes for all periods as to which the tax liability of the Company or any of its subsidiaries has not been finally determined. No material tax deficiency has been determined adversely to the Company or its subsidiaries nor does the Company or its subsidiaries have any written notice or knowledge of any material tax deficiency which would reasonably be expected to be determined adversely to the Company or its subsidiaries. There are no outstanding agreements or waivers extending the statutory period of limitation applicable to any federal, state, local or foreign tax return for any period.</w:t>
      </w:r>
    </w:p>
    <w:p>
      <w:pPr>
        <w:spacing w:after="0" w:line="82" w:lineRule="exact"/>
        <w:rPr>
          <w:rFonts w:ascii="Times New Roman" w:cs="Times New Roman" w:eastAsia="Times New Roman" w:hAnsi="Times New Roman"/>
          <w:sz w:val="18"/>
          <w:szCs w:val="18"/>
          <w:b w:val="1"/>
          <w:bCs w:val="1"/>
          <w:color w:val="auto"/>
        </w:rPr>
      </w:pPr>
    </w:p>
    <w:p>
      <w:pPr>
        <w:ind w:left="-444" w:right="20" w:firstLine="444"/>
        <w:spacing w:after="0" w:line="253" w:lineRule="auto"/>
        <w:tabs>
          <w:tab w:leader="none" w:pos="245"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Company and its subsidiaries are insured by recognized, financially sound and reputable institutions with policies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except where the failure to do so could not reasonably be expected, individually or in the aggregate, to result in a Material Adverse Change.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result in a Material Adverse Change. Neither the Company nor any of its subsidiaries has been denied any insurance coverage which it has sought or for which it has applied.</w:t>
      </w:r>
    </w:p>
    <w:p>
      <w:pPr>
        <w:spacing w:after="0" w:line="73" w:lineRule="exact"/>
        <w:rPr>
          <w:rFonts w:ascii="Times New Roman" w:cs="Times New Roman" w:eastAsia="Times New Roman" w:hAnsi="Times New Roman"/>
          <w:sz w:val="18"/>
          <w:szCs w:val="18"/>
          <w:b w:val="1"/>
          <w:bCs w:val="1"/>
          <w:color w:val="auto"/>
        </w:rPr>
      </w:pPr>
    </w:p>
    <w:p>
      <w:pPr>
        <w:ind w:left="-444" w:firstLine="444"/>
        <w:spacing w:after="0" w:line="250" w:lineRule="auto"/>
        <w:tabs>
          <w:tab w:leader="none" w:pos="235"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Environmental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could not reasonably be expected, individually or in the aggregate, to result in a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knowledge of the Company,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88" w:lineRule="exact"/>
        <w:rPr>
          <w:sz w:val="20"/>
          <w:szCs w:val="20"/>
          <w:color w:val="auto"/>
        </w:rPr>
      </w:pPr>
    </w:p>
    <w:p>
      <w:pPr>
        <w:ind w:left="336" w:hanging="336"/>
        <w:spacing w:after="0"/>
        <w:tabs>
          <w:tab w:leader="none" w:pos="336"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10436"/>
          </w:cols>
          <w:pgMar w:left="924" w:top="264" w:right="539" w:bottom="1440" w:gutter="0" w:footer="0" w:header="0"/>
        </w:sectPr>
      </w:pPr>
    </w:p>
    <w:bookmarkStart w:id="246" w:name="page247"/>
    <w:bookmarkEnd w:id="246"/>
    <w:p>
      <w:pPr>
        <w:ind w:left="-444" w:right="40" w:firstLine="444"/>
        <w:spacing w:after="0" w:line="250" w:lineRule="auto"/>
        <w:tabs>
          <w:tab w:leader="none" w:pos="35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ERISA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and any “employee benefit plan” (as defined under the Employee Retirement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to the extent the Company has any liability,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that may reasonably be expected to result in a Material Adverse Change. No “employee benefit plan” established or maintained by the Company, its subsidiaries or, to the extent the Company would have liability, any of their ERISA Affiliates, if such “employee benefit plan” were terminated, would have any material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to the extent the Company has any liability, any of their ERISA Affiliates that is intended to be qualified under Section 401(a) of the Code has received a favorable determination or approval letter from the IRS with respect to such qualifications, or may rely on an opinion letter issued by the IRS with respect to a prototype plan adopted in accordance with the requirements for such reliance, or has time remaining for application to the IRS for a determination of the qualified status of such employee benefit plan for any period for which such employee benefit plan would not otherwise be covered by an IRS determination and, to the knowledge of the Company nothing has occurred, whether by action or failure to act, which would cause the loss of such qualification.</w:t>
      </w:r>
    </w:p>
    <w:p>
      <w:pPr>
        <w:spacing w:after="0" w:line="77" w:lineRule="exact"/>
        <w:rPr>
          <w:rFonts w:ascii="Times New Roman" w:cs="Times New Roman" w:eastAsia="Times New Roman" w:hAnsi="Times New Roman"/>
          <w:sz w:val="18"/>
          <w:szCs w:val="18"/>
          <w:b w:val="1"/>
          <w:bCs w:val="1"/>
          <w:color w:val="auto"/>
        </w:rPr>
      </w:pPr>
    </w:p>
    <w:p>
      <w:pPr>
        <w:ind w:left="-444" w:right="220" w:firstLine="444"/>
        <w:spacing w:after="0" w:line="259" w:lineRule="auto"/>
        <w:tabs>
          <w:tab w:leader="none" w:pos="31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Company Not an “Investment Company.” </w:t>
      </w:r>
      <w:r>
        <w:rPr>
          <w:rFonts w:ascii="Times New Roman" w:cs="Times New Roman" w:eastAsia="Times New Roman" w:hAnsi="Times New Roman"/>
          <w:sz w:val="18"/>
          <w:szCs w:val="18"/>
          <w:color w:val="auto"/>
        </w:rPr>
        <w:t>The Company is not, and will not be, either after receipt of payment for the Offered Shares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b w:val="1"/>
          <w:bCs w:val="1"/>
          <w:color w:val="auto"/>
        </w:rPr>
      </w:pPr>
    </w:p>
    <w:p>
      <w:pPr>
        <w:ind w:left="-444" w:right="60" w:firstLine="444"/>
        <w:spacing w:after="0" w:line="256" w:lineRule="auto"/>
        <w:tabs>
          <w:tab w:leader="none" w:pos="35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Price Stabilization or Manipulation; Compliance with Regulation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has taken,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or indirectly, any action designed to stabilize or manipulate, or that would reasonably be expected to cause or result in stabilization or manipulation of, the price of any security of the Company, the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Shares, whether to facilitate the sale or resale of the Offered Shares or otherwise, and has taken no action which would directly or indirectly violate Regulation M.</w:t>
      </w:r>
    </w:p>
    <w:p>
      <w:pPr>
        <w:spacing w:after="0" w:line="72" w:lineRule="exact"/>
        <w:rPr>
          <w:rFonts w:ascii="Times New Roman" w:cs="Times New Roman" w:eastAsia="Times New Roman" w:hAnsi="Times New Roman"/>
          <w:sz w:val="18"/>
          <w:szCs w:val="18"/>
          <w:b w:val="1"/>
          <w:bCs w:val="1"/>
          <w:color w:val="auto"/>
        </w:rPr>
      </w:pPr>
    </w:p>
    <w:p>
      <w:pPr>
        <w:ind w:left="-444" w:right="60" w:firstLine="444"/>
        <w:spacing w:after="0" w:line="265" w:lineRule="auto"/>
        <w:tabs>
          <w:tab w:leader="none" w:pos="31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Related-Party 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business relationships or related-party transactions involving the Company or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or any other person required to be described in the Registration Statement, the Time of Sale Prospectus or the Prospectus that have not been described as required.</w:t>
      </w:r>
    </w:p>
    <w:p>
      <w:pPr>
        <w:spacing w:after="0" w:line="63" w:lineRule="exact"/>
        <w:rPr>
          <w:rFonts w:ascii="Times New Roman" w:cs="Times New Roman" w:eastAsia="Times New Roman" w:hAnsi="Times New Roman"/>
          <w:sz w:val="18"/>
          <w:szCs w:val="18"/>
          <w:b w:val="1"/>
          <w:bCs w:val="1"/>
          <w:color w:val="auto"/>
        </w:rPr>
      </w:pPr>
    </w:p>
    <w:p>
      <w:pPr>
        <w:ind w:left="-444" w:firstLine="444"/>
        <w:spacing w:after="0" w:line="279" w:lineRule="auto"/>
        <w:tabs>
          <w:tab w:leader="none" w:pos="274"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FINRA Matters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All of the information provided to the Underwriters or to counsel for the Underwriters by the Company, its counsel,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officers and directors and to the Company’s knowledge, the holders of any securities (debt or equity) or options to acquire any securities of the Company in connection with the offering of the Offered Shares is true, complete, correct and compliant in all material respects with FINRA’s rules and any letters, filings or other supplemental information provided to FINRA pursuant to FINRA Rules or NASD Conduct Rules is true, complete and correct.</w:t>
      </w:r>
    </w:p>
    <w:p>
      <w:pPr>
        <w:sectPr>
          <w:pgSz w:w="11900" w:h="16838" w:orient="portrait"/>
          <w:cols w:equalWidth="0" w:num="1">
            <w:col w:w="10476"/>
          </w:cols>
          <w:pgMar w:left="924" w:top="264" w:right="499" w:bottom="1440" w:gutter="0" w:footer="0" w:header="0"/>
        </w:sectPr>
      </w:pPr>
    </w:p>
    <w:bookmarkStart w:id="247" w:name="page248"/>
    <w:bookmarkEnd w:id="247"/>
    <w:p>
      <w:pPr>
        <w:ind w:left="-7" w:firstLine="444"/>
        <w:spacing w:after="0" w:line="255" w:lineRule="auto"/>
        <w:tabs>
          <w:tab w:leader="none" w:pos="770"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Parties to Lock-Up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furnished to the Underwriters a letter agreement substantially in the form attached hereto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from each director and officer of the Company and from all of the securityholders of the Company except as set forth in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If any additional persons shall become directors or officers (as defined in Rule 16a-1(f) under the Exchange Act) of the Company prior to the end of the Company Lock-up Period (as defined below), the Company shall cause each such person, prior to or contemporaneously with their appointment or election as a director or officer of the Company, to execute and deliver to the Representatives a Lock-up Agreement.</w:t>
      </w:r>
    </w:p>
    <w:p>
      <w:pPr>
        <w:spacing w:after="0" w:line="71" w:lineRule="exact"/>
        <w:rPr>
          <w:rFonts w:ascii="Times New Roman" w:cs="Times New Roman" w:eastAsia="Times New Roman" w:hAnsi="Times New Roman"/>
          <w:sz w:val="18"/>
          <w:szCs w:val="18"/>
          <w:b w:val="1"/>
          <w:bCs w:val="1"/>
          <w:color w:val="auto"/>
        </w:rPr>
      </w:pPr>
    </w:p>
    <w:p>
      <w:pPr>
        <w:ind w:left="-7" w:firstLine="444"/>
        <w:spacing w:after="0" w:line="265" w:lineRule="auto"/>
        <w:tabs>
          <w:tab w:leader="none" w:pos="791"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statistical, demographic and market-related data included in the Registration Statement, the Time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Prospectus or the Prospectus are based on or derived from sources that the Company believes, after reasonable inquiry, to be reliable. To the extent required, the Company has obtained the written consent to the use of such data from such sources.</w:t>
      </w:r>
    </w:p>
    <w:p>
      <w:pPr>
        <w:spacing w:after="0" w:line="63" w:lineRule="exact"/>
        <w:rPr>
          <w:rFonts w:ascii="Times New Roman" w:cs="Times New Roman" w:eastAsia="Times New Roman" w:hAnsi="Times New Roman"/>
          <w:sz w:val="18"/>
          <w:szCs w:val="18"/>
          <w:b w:val="1"/>
          <w:bCs w:val="1"/>
          <w:color w:val="auto"/>
        </w:rPr>
      </w:pPr>
    </w:p>
    <w:p>
      <w:pPr>
        <w:ind w:left="-7" w:right="180" w:firstLine="444"/>
        <w:spacing w:after="0" w:line="265" w:lineRule="auto"/>
        <w:tabs>
          <w:tab w:leader="none" w:pos="691"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Sarbanes-Oxley Act. </w:t>
      </w:r>
      <w:r>
        <w:rPr>
          <w:rFonts w:ascii="Times New Roman" w:cs="Times New Roman" w:eastAsia="Times New Roman" w:hAnsi="Times New Roman"/>
          <w:sz w:val="18"/>
          <w:szCs w:val="18"/>
          <w:color w:val="auto"/>
        </w:rPr>
        <w:t>There is, and has been, no failure on the part of the Company or any of the Company’s directors or officers, in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capacities as 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63" w:lineRule="exact"/>
        <w:rPr>
          <w:rFonts w:ascii="Times New Roman" w:cs="Times New Roman" w:eastAsia="Times New Roman" w:hAnsi="Times New Roman"/>
          <w:sz w:val="18"/>
          <w:szCs w:val="18"/>
          <w:b w:val="1"/>
          <w:bCs w:val="1"/>
          <w:color w:val="auto"/>
        </w:rPr>
      </w:pPr>
    </w:p>
    <w:p>
      <w:pPr>
        <w:ind w:left="-7" w:right="160" w:firstLine="444"/>
        <w:spacing w:after="0" w:line="259" w:lineRule="auto"/>
        <w:tabs>
          <w:tab w:leader="none" w:pos="711"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Unlawful Contributions or Other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nor, to the Company’s knowledge,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69" w:lineRule="exact"/>
        <w:rPr>
          <w:rFonts w:ascii="Times New Roman" w:cs="Times New Roman" w:eastAsia="Times New Roman" w:hAnsi="Times New Roman"/>
          <w:sz w:val="18"/>
          <w:szCs w:val="18"/>
          <w:b w:val="1"/>
          <w:bCs w:val="1"/>
          <w:color w:val="auto"/>
        </w:rPr>
      </w:pPr>
    </w:p>
    <w:p>
      <w:pPr>
        <w:ind w:left="-7" w:firstLine="444"/>
        <w:spacing w:after="0" w:line="252" w:lineRule="auto"/>
        <w:tabs>
          <w:tab w:leader="none" w:pos="791"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Anti-Corruption and Anti-Bribery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nor any director, officer, or employee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spacing w:after="0" w:line="2" w:lineRule="exact"/>
        <w:rPr>
          <w:rFonts w:ascii="Times New Roman" w:cs="Times New Roman" w:eastAsia="Times New Roman" w:hAnsi="Times New Roman"/>
          <w:sz w:val="18"/>
          <w:szCs w:val="18"/>
          <w:b w:val="1"/>
          <w:bCs w:val="1"/>
          <w:color w:val="auto"/>
        </w:rPr>
      </w:pPr>
    </w:p>
    <w:p>
      <w:pPr>
        <w:ind w:left="-7" w:right="80" w:firstLine="7"/>
        <w:spacing w:after="0" w:line="250" w:lineRule="auto"/>
        <w:tabs>
          <w:tab w:leader="none" w:pos="3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75" w:lineRule="exact"/>
        <w:rPr>
          <w:rFonts w:ascii="Times New Roman" w:cs="Times New Roman" w:eastAsia="Times New Roman" w:hAnsi="Times New Roman"/>
          <w:sz w:val="18"/>
          <w:szCs w:val="18"/>
          <w:color w:val="auto"/>
        </w:rPr>
      </w:pPr>
    </w:p>
    <w:p>
      <w:pPr>
        <w:ind w:left="-7" w:right="40" w:firstLine="444"/>
        <w:spacing w:after="0" w:line="255" w:lineRule="auto"/>
        <w:tabs>
          <w:tab w:leader="none" w:pos="691"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operations of the Company and its subsidiaries are, and have been conducted at all times, in compliance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ectPr>
          <w:pgSz w:w="11900" w:h="16838" w:orient="portrait"/>
          <w:cols w:equalWidth="0" w:num="1">
            <w:col w:w="10913"/>
          </w:cols>
          <w:pgMar w:left="487" w:top="264" w:right="499" w:bottom="1440" w:gutter="0" w:footer="0" w:header="0"/>
        </w:sectPr>
      </w:pPr>
    </w:p>
    <w:bookmarkStart w:id="248" w:name="page249"/>
    <w:bookmarkEnd w:id="248"/>
    <w:p>
      <w:pPr>
        <w:ind w:left="-444" w:right="40" w:firstLine="444"/>
        <w:spacing w:after="0" w:line="251" w:lineRule="auto"/>
        <w:tabs>
          <w:tab w:leader="none" w:pos="453"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Sanctions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directors, officers, or employees, nor, to the knowledge of the Company,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Her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77" w:lineRule="exact"/>
        <w:rPr>
          <w:rFonts w:ascii="Times New Roman" w:cs="Times New Roman" w:eastAsia="Times New Roman" w:hAnsi="Times New Roman"/>
          <w:sz w:val="18"/>
          <w:szCs w:val="18"/>
          <w:b w:val="1"/>
          <w:bCs w:val="1"/>
          <w:color w:val="auto"/>
        </w:rPr>
      </w:pPr>
    </w:p>
    <w:p>
      <w:pPr>
        <w:ind w:left="-444" w:right="500" w:firstLine="444"/>
        <w:spacing w:after="0" w:line="282" w:lineRule="auto"/>
        <w:tabs>
          <w:tab w:leader="none" w:pos="35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pursuant to this Agreement, there is no broker or finder that is entitled to receive from the Company any brokerage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finder’s fee as a result of any transactions contemplated by this Agreement in connection with the issuance and sale of the Offered Shares.</w:t>
      </w:r>
    </w:p>
    <w:p>
      <w:pPr>
        <w:spacing w:after="0" w:line="48" w:lineRule="exact"/>
        <w:rPr>
          <w:rFonts w:ascii="Times New Roman" w:cs="Times New Roman" w:eastAsia="Times New Roman" w:hAnsi="Times New Roman"/>
          <w:sz w:val="18"/>
          <w:szCs w:val="18"/>
          <w:b w:val="1"/>
          <w:bCs w:val="1"/>
          <w:color w:val="auto"/>
        </w:rPr>
      </w:pPr>
    </w:p>
    <w:p>
      <w:pPr>
        <w:ind w:left="-444" w:firstLine="444"/>
        <w:spacing w:after="0" w:line="255" w:lineRule="auto"/>
        <w:tabs>
          <w:tab w:leader="none" w:pos="33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Forward-Looking Statements. </w:t>
      </w:r>
      <w:r>
        <w:rPr>
          <w:rFonts w:ascii="Times New Roman" w:cs="Times New Roman" w:eastAsia="Times New Roman" w:hAnsi="Times New Roman"/>
          <w:sz w:val="18"/>
          <w:szCs w:val="18"/>
          <w:color w:val="auto"/>
        </w:rPr>
        <w:t>Each financial or operational projection or other “forward-looking statement” (as defined by Section 27A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71" w:lineRule="exact"/>
        <w:rPr>
          <w:rFonts w:ascii="Times New Roman" w:cs="Times New Roman" w:eastAsia="Times New Roman" w:hAnsi="Times New Roman"/>
          <w:sz w:val="18"/>
          <w:szCs w:val="18"/>
          <w:b w:val="1"/>
          <w:bCs w:val="1"/>
          <w:color w:val="auto"/>
        </w:rPr>
      </w:pPr>
    </w:p>
    <w:p>
      <w:pPr>
        <w:jc w:val="both"/>
        <w:ind w:left="-444" w:right="300" w:firstLine="444"/>
        <w:spacing w:after="0" w:line="265" w:lineRule="auto"/>
        <w:tabs>
          <w:tab w:leader="none" w:pos="35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63" w:lineRule="exact"/>
        <w:rPr>
          <w:rFonts w:ascii="Times New Roman" w:cs="Times New Roman" w:eastAsia="Times New Roman" w:hAnsi="Times New Roman"/>
          <w:sz w:val="18"/>
          <w:szCs w:val="18"/>
          <w:b w:val="1"/>
          <w:bCs w:val="1"/>
          <w:color w:val="auto"/>
        </w:rPr>
      </w:pPr>
    </w:p>
    <w:p>
      <w:pPr>
        <w:ind w:left="-444" w:firstLine="444"/>
        <w:spacing w:after="0" w:line="253" w:lineRule="auto"/>
        <w:tabs>
          <w:tab w:leader="none" w:pos="35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color w:val="auto"/>
        </w:rPr>
        <w:t>. Except as could not reasonably be expected, individually or in the aggregate, to result in a Material Adverse Change,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w:t>
      </w:r>
    </w:p>
    <w:p>
      <w:pPr>
        <w:sectPr>
          <w:pgSz w:w="11900" w:h="16838" w:orient="portrait"/>
          <w:cols w:equalWidth="0" w:num="1">
            <w:col w:w="10456"/>
          </w:cols>
          <w:pgMar w:left="924" w:top="264" w:right="519" w:bottom="1440" w:gutter="0" w:footer="0" w:header="0"/>
        </w:sectPr>
      </w:pPr>
    </w:p>
    <w:bookmarkStart w:id="249" w:name="page250"/>
    <w:bookmarkEnd w:id="249"/>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material data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83" w:lineRule="exact"/>
        <w:rPr>
          <w:sz w:val="20"/>
          <w:szCs w:val="20"/>
          <w:color w:val="auto"/>
        </w:rPr>
      </w:pPr>
    </w:p>
    <w:p>
      <w:pPr>
        <w:ind w:right="40" w:firstLine="444"/>
        <w:spacing w:after="0" w:line="253" w:lineRule="auto"/>
        <w:tabs>
          <w:tab w:leader="none" w:pos="758"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state and federal data privacy and security laws and regulations, including without limitation HIPAA and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The Company further certifies that neither the Company nor any subsidiary: (i) has received notice of any actual or potential liability under or relating to, or actual or potential violation of, any of the Privacy Laws, except for those that have been remedied without material cost or liability or the duty to notify any other person,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settlement agreement that imposes any material obligation or liability under any Privacy Law.</w:t>
      </w:r>
    </w:p>
    <w:p>
      <w:pPr>
        <w:spacing w:after="0" w:line="73" w:lineRule="exact"/>
        <w:rPr>
          <w:rFonts w:ascii="Times New Roman" w:cs="Times New Roman" w:eastAsia="Times New Roman" w:hAnsi="Times New Roman"/>
          <w:sz w:val="18"/>
          <w:szCs w:val="18"/>
          <w:b w:val="1"/>
          <w:bCs w:val="1"/>
          <w:color w:val="auto"/>
        </w:rPr>
      </w:pPr>
    </w:p>
    <w:p>
      <w:pPr>
        <w:ind w:right="80" w:firstLine="444"/>
        <w:spacing w:after="0" w:line="259" w:lineRule="auto"/>
        <w:tabs>
          <w:tab w:leader="none" w:pos="738"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color w:val="auto"/>
        </w:rPr>
        <w:t>. From the time of initial confidential submission of the Registration Statement to the Commission (or,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b w:val="1"/>
          <w:bCs w:val="1"/>
          <w:color w:val="auto"/>
        </w:rPr>
      </w:pPr>
    </w:p>
    <w:p>
      <w:pPr>
        <w:ind w:right="40" w:firstLine="444"/>
        <w:spacing w:after="0" w:line="267" w:lineRule="auto"/>
        <w:tabs>
          <w:tab w:leader="none" w:pos="718"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Communications</w:t>
      </w:r>
      <w:r>
        <w:rPr>
          <w:rFonts w:ascii="Times New Roman" w:cs="Times New Roman" w:eastAsia="Times New Roman" w:hAnsi="Times New Roman"/>
          <w:sz w:val="17"/>
          <w:szCs w:val="17"/>
          <w:color w:val="auto"/>
        </w:rPr>
        <w:t>. The Company (i) has not alone engaged in communications with potential investors in reliance on Section 5(d)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(except where such Permitted Section 5(d) Communication has been superseded by the information contained in the Registration Statement, the Preliminary Prospectus and the Prospectus); and the Company has filed publicly on EDGAR at least 15 calendar days prior to any “road show” (as defined in Rule 433 under the Act), any confidentially submitted registration statement and registration statement amendments relating to the offer and sale of the Offered Shares.</w:t>
      </w:r>
    </w:p>
    <w:p>
      <w:pPr>
        <w:sectPr>
          <w:pgSz w:w="11900" w:h="16838" w:orient="portrait"/>
          <w:cols w:equalWidth="0" w:num="1">
            <w:col w:w="10920"/>
          </w:cols>
          <w:pgMar w:left="480" w:top="268" w:right="499" w:bottom="1440" w:gutter="0" w:footer="0" w:header="0"/>
        </w:sectPr>
      </w:pPr>
    </w:p>
    <w:bookmarkStart w:id="250" w:name="page251"/>
    <w:bookmarkEnd w:id="250"/>
    <w:p>
      <w:pPr>
        <w:ind w:left="-444" w:firstLine="444"/>
        <w:spacing w:after="0" w:line="250" w:lineRule="auto"/>
        <w:tabs>
          <w:tab w:leader="none" w:pos="35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Clinical Data and Regulatory Compliance. </w:t>
      </w:r>
      <w:r>
        <w:rPr>
          <w:rFonts w:ascii="Times New Roman" w:cs="Times New Roman" w:eastAsia="Times New Roman" w:hAnsi="Times New Roman"/>
          <w:sz w:val="18"/>
          <w:szCs w:val="18"/>
          <w:color w:val="auto"/>
        </w:rPr>
        <w:t>The preclinical tests and clinical trials, and other studies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Time of Sale Prospectuses or the Prospectus; the Company and its subsidiaries have made all such filings and obtained all such approvals or authorizations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Times New Roman" w:cs="Times New Roman" w:eastAsia="Times New Roman" w:hAnsi="Times New Roman"/>
          <w:sz w:val="18"/>
          <w:szCs w:val="18"/>
          <w:b w:val="1"/>
          <w:b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Agencies</w:t>
      </w:r>
      <w:r>
        <w:rPr>
          <w:rFonts w:ascii="Times New Roman" w:cs="Times New Roman" w:eastAsia="Times New Roman" w:hAnsi="Times New Roman"/>
          <w:sz w:val="18"/>
          <w:szCs w:val="18"/>
          <w:color w:val="auto"/>
        </w:rPr>
        <w:t>”) to conduct its business as currently conducted; neither the Company nor any of its subsidiaries has received any notice of, or correspondence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any Regulatory Agency requiring the termination, suspension or material modification of any clinical trials that are described or referred to in the Registration Statement, the Time of Sale Prospectus or the Prospectus; and the Company and its subsidiaries have each operated and currently are in compliance in all material respects with all applicable rules, regulations and policies of the Regulatory Agencies.</w:t>
      </w:r>
    </w:p>
    <w:p>
      <w:pPr>
        <w:spacing w:after="0" w:line="85" w:lineRule="exact"/>
        <w:rPr>
          <w:rFonts w:ascii="Times New Roman" w:cs="Times New Roman" w:eastAsia="Times New Roman" w:hAnsi="Times New Roman"/>
          <w:sz w:val="18"/>
          <w:szCs w:val="18"/>
          <w:b w:val="1"/>
          <w:bCs w:val="1"/>
          <w:color w:val="auto"/>
        </w:rPr>
      </w:pPr>
    </w:p>
    <w:p>
      <w:pPr>
        <w:ind w:left="-444" w:firstLine="444"/>
        <w:spacing w:after="0" w:line="249" w:lineRule="auto"/>
        <w:tabs>
          <w:tab w:leader="none" w:pos="33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Health Care Laws</w:t>
      </w:r>
      <w:r>
        <w:rPr>
          <w:rFonts w:ascii="Times New Roman" w:cs="Times New Roman" w:eastAsia="Times New Roman" w:hAnsi="Times New Roman"/>
          <w:sz w:val="18"/>
          <w:szCs w:val="18"/>
          <w:color w:val="auto"/>
        </w:rPr>
        <w:t>. The Company and its subsidiaries are in material compliance with all applicable Health Care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where such failure or violation could not reasonably be expected, individually or in the aggregate, to result in a Material Adverse Change.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(21 U.S.C. Section 301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(vi) and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w:t>
      </w:r>
    </w:p>
    <w:p>
      <w:pPr>
        <w:sectPr>
          <w:pgSz w:w="11900" w:h="16838" w:orient="portrait"/>
          <w:cols w:equalWidth="0" w:num="1">
            <w:col w:w="10456"/>
          </w:cols>
          <w:pgMar w:left="924" w:top="264" w:right="519" w:bottom="1440" w:gutter="0" w:footer="0" w:header="0"/>
        </w:sectPr>
      </w:pPr>
    </w:p>
    <w:bookmarkStart w:id="251" w:name="page252"/>
    <w:bookmarkEnd w:id="251"/>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governmental or regulatory authority. Additionally,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69" w:lineRule="exact"/>
        <w:rPr>
          <w:sz w:val="20"/>
          <w:szCs w:val="20"/>
          <w:color w:val="auto"/>
        </w:rPr>
      </w:pPr>
    </w:p>
    <w:p>
      <w:pPr>
        <w:ind w:firstLine="444"/>
        <w:spacing w:after="0" w:line="256" w:lineRule="auto"/>
        <w:tabs>
          <w:tab w:leader="none" w:pos="857"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 Contract Terminations. </w:t>
      </w:r>
      <w:r>
        <w:rPr>
          <w:rFonts w:ascii="Times New Roman" w:cs="Times New Roman" w:eastAsia="Times New Roman" w:hAnsi="Times New Roman"/>
          <w:sz w:val="18"/>
          <w:szCs w:val="18"/>
          <w:color w:val="auto"/>
        </w:rPr>
        <w:t>Neither the Company nor any of its subsidiaries has sent or received any communication regarding termination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or intent not to renew, any of the material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72" w:lineRule="exact"/>
        <w:rPr>
          <w:rFonts w:ascii="Times New Roman" w:cs="Times New Roman" w:eastAsia="Times New Roman" w:hAnsi="Times New Roman"/>
          <w:sz w:val="18"/>
          <w:szCs w:val="18"/>
          <w:b w:val="1"/>
          <w:bCs w:val="1"/>
          <w:color w:val="auto"/>
        </w:rPr>
      </w:pPr>
    </w:p>
    <w:p>
      <w:pPr>
        <w:ind w:right="60" w:firstLine="444"/>
        <w:spacing w:after="0" w:line="256" w:lineRule="auto"/>
        <w:tabs>
          <w:tab w:leader="none" w:pos="778"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 Restrictions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otherwise disclosed in the Registration Statement, the Time of Sale Prospectus and the Prospectus, or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under applicable law,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72" w:lineRule="exact"/>
        <w:rPr>
          <w:rFonts w:ascii="Times New Roman" w:cs="Times New Roman" w:eastAsia="Times New Roman" w:hAnsi="Times New Roman"/>
          <w:sz w:val="18"/>
          <w:szCs w:val="18"/>
          <w:b w:val="1"/>
          <w:bCs w:val="1"/>
          <w:color w:val="auto"/>
        </w:rPr>
      </w:pPr>
    </w:p>
    <w:p>
      <w:pPr>
        <w:ind w:firstLine="444"/>
        <w:spacing w:after="0" w:line="276" w:lineRule="auto"/>
        <w:tabs>
          <w:tab w:leader="none" w:pos="778"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 Ratings</w:t>
      </w:r>
      <w:r>
        <w:rPr>
          <w:rFonts w:ascii="Times New Roman" w:cs="Times New Roman" w:eastAsia="Times New Roman" w:hAnsi="Times New Roman"/>
          <w:sz w:val="17"/>
          <w:szCs w:val="17"/>
          <w:color w:val="auto"/>
        </w:rPr>
        <w:t>. There are (and prior to the Closing Date, will be) no debt securities, convertible securities or preferred stock issued or guaranteed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the Company or any of its subsidiaries that are rated by a “nationally recognized statistical rating organization”, as such term is defined in</w:t>
      </w:r>
    </w:p>
    <w:p>
      <w:pPr>
        <w:spacing w:after="0" w:line="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Section 3(a)(62) under the Exchange Act.</w:t>
      </w:r>
    </w:p>
    <w:p>
      <w:pPr>
        <w:spacing w:after="0" w:line="95"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68" w:lineRule="exact"/>
        <w:rPr>
          <w:sz w:val="20"/>
          <w:szCs w:val="20"/>
          <w:color w:val="auto"/>
        </w:rPr>
      </w:pPr>
    </w:p>
    <w:p>
      <w:pPr>
        <w:ind w:right="240" w:firstLine="436"/>
        <w:spacing w:after="0" w:line="263"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Shares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40" w:firstLine="444"/>
        <w:spacing w:after="0" w:line="259" w:lineRule="auto"/>
        <w:tabs>
          <w:tab w:leader="none" w:pos="689"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Firm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terms herein set forth, the Company agrees to issue and sell to the several Underwriters an aggregate of [●]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purchase price per Firm Share to be paid by the several Underwriters to the Company shall be $[●] per share.</w:t>
      </w:r>
    </w:p>
    <w:p>
      <w:pPr>
        <w:sectPr>
          <w:pgSz w:w="11900" w:h="16838" w:orient="portrait"/>
          <w:cols w:equalWidth="0" w:num="1">
            <w:col w:w="10920"/>
          </w:cols>
          <w:pgMar w:left="480" w:top="268" w:right="499" w:bottom="1440" w:gutter="0" w:footer="0" w:header="0"/>
        </w:sectPr>
      </w:pPr>
    </w:p>
    <w:bookmarkStart w:id="252" w:name="page253"/>
    <w:bookmarkEnd w:id="252"/>
    <w:p>
      <w:pPr>
        <w:ind w:left="-444" w:right="120" w:firstLine="444"/>
        <w:spacing w:after="0" w:line="253" w:lineRule="auto"/>
        <w:tabs>
          <w:tab w:leader="none" w:pos="25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First Closing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certificates for the Firm Shares to be purchased by the Underwriters and payment therefor shall be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offices of Cooley LLP, 55 Hudson Yards, New York, New York 10001 (or such other place as may be agreed to by the Company and the Representatives) at 9:00 a.m. New York City time, on [●], 2020, or such other time and date not later than 1:30 p.m. New York City time, on [●], 2020 as the Representatives shall designate by notice to the Company (the time and date of 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the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77" w:lineRule="exact"/>
        <w:rPr>
          <w:rFonts w:ascii="Times New Roman" w:cs="Times New Roman" w:eastAsia="Times New Roman" w:hAnsi="Times New Roman"/>
          <w:sz w:val="18"/>
          <w:szCs w:val="18"/>
          <w:b w:val="1"/>
          <w:bCs w:val="1"/>
          <w:color w:val="auto"/>
        </w:rPr>
      </w:pPr>
    </w:p>
    <w:p>
      <w:pPr>
        <w:ind w:left="-444" w:right="20" w:firstLine="444"/>
        <w:spacing w:after="0" w:line="266" w:lineRule="auto"/>
        <w:tabs>
          <w:tab w:leader="none" w:pos="235"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The Optional Shares; Option Closing Date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addition, on the basis of the representations, warranties and agreements herein contained,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upon the terms but subject to the conditions herein set forth, the Company hereby grants an option to the several Underwriters to purchase, severally and not jointly, up to an aggregate of [●]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7"/>
          <w:szCs w:val="17"/>
          <w:b w:val="1"/>
          <w:bCs w:val="1"/>
          <w:color w:val="auto"/>
        </w:rPr>
        <w:t>First Closing Date</w:t>
      </w:r>
      <w:r>
        <w:rPr>
          <w:rFonts w:ascii="Times New Roman" w:cs="Times New Roman" w:eastAsia="Times New Roman" w:hAnsi="Times New Roman"/>
          <w:sz w:val="17"/>
          <w:szCs w:val="17"/>
          <w:color w:val="auto"/>
        </w:rPr>
        <w:t>” shall refer to the time and date of delivery of certificates for the Firm Shares and such Optional Shares). Any such time and date of delivery, if subsequent to the First Closing Date, is called an “</w:t>
      </w:r>
      <w:r>
        <w:rPr>
          <w:rFonts w:ascii="Times New Roman" w:cs="Times New Roman" w:eastAsia="Times New Roman" w:hAnsi="Times New Roman"/>
          <w:sz w:val="17"/>
          <w:szCs w:val="17"/>
          <w:b w:val="1"/>
          <w:bCs w:val="1"/>
          <w:color w:val="auto"/>
        </w:rPr>
        <w:t>Option Closing Date</w:t>
      </w:r>
      <w:r>
        <w:rPr>
          <w:rFonts w:ascii="Times New Roman" w:cs="Times New Roman" w:eastAsia="Times New Roman" w:hAnsi="Times New Roman"/>
          <w:sz w:val="17"/>
          <w:szCs w:val="17"/>
          <w:color w:val="auto"/>
        </w:rPr>
        <w:t xml:space="preserve">,” and shall be determined by the Representatives and shall not be earlier than two or later than five full business days after delivery of such notice of exercise. If any Optional Shares are to be purchased, (a)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opposite the name of such Underwriter bears to the total number of Firm Shares and (b) the Company agrees to sell the number of Optional Shares (subject to such adjustments to eliminate fractional shares as the Representatives may determine). The Representatives may cancel the option at any time prior to its expiration by giving written notice of such cancellation to the Company.</w:t>
      </w:r>
    </w:p>
    <w:p>
      <w:pPr>
        <w:spacing w:after="0" w:line="66" w:lineRule="exact"/>
        <w:rPr>
          <w:rFonts w:ascii="Times New Roman" w:cs="Times New Roman" w:eastAsia="Times New Roman" w:hAnsi="Times New Roman"/>
          <w:sz w:val="17"/>
          <w:szCs w:val="17"/>
          <w:b w:val="1"/>
          <w:bCs w:val="1"/>
          <w:color w:val="auto"/>
        </w:rPr>
      </w:pPr>
    </w:p>
    <w:p>
      <w:pPr>
        <w:ind w:left="-444" w:right="240" w:firstLine="444"/>
        <w:spacing w:after="0" w:line="259" w:lineRule="auto"/>
        <w:tabs>
          <w:tab w:leader="none" w:pos="25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Offering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Representatives hereby advise the Company that the Underwriters intend to offer for sale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69" w:lineRule="exact"/>
        <w:rPr>
          <w:rFonts w:ascii="Times New Roman" w:cs="Times New Roman" w:eastAsia="Times New Roman" w:hAnsi="Times New Roman"/>
          <w:sz w:val="18"/>
          <w:szCs w:val="18"/>
          <w:b w:val="1"/>
          <w:bCs w:val="1"/>
          <w:color w:val="auto"/>
        </w:rPr>
      </w:pPr>
    </w:p>
    <w:p>
      <w:pPr>
        <w:ind w:left="236" w:hanging="236"/>
        <w:spacing w:after="0"/>
        <w:tabs>
          <w:tab w:leader="none" w:pos="236"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Payment for the Offered Shares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44" w:right="220" w:firstLine="990"/>
        <w:spacing w:after="0" w:line="278" w:lineRule="auto"/>
        <w:tabs>
          <w:tab w:leader="none" w:pos="75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Offered Shares to be sold by the Company shall be made at the First Closing Date (and, if applicable, at each Option Closing Date) by wire transfer of immediately available funds to the order of the Company.</w:t>
      </w:r>
    </w:p>
    <w:p>
      <w:pPr>
        <w:spacing w:after="0" w:line="55" w:lineRule="exact"/>
        <w:rPr>
          <w:rFonts w:ascii="Times New Roman" w:cs="Times New Roman" w:eastAsia="Times New Roman" w:hAnsi="Times New Roman"/>
          <w:sz w:val="18"/>
          <w:szCs w:val="18"/>
          <w:color w:val="auto"/>
        </w:rPr>
      </w:pPr>
    </w:p>
    <w:p>
      <w:pPr>
        <w:ind w:left="-444" w:firstLine="990"/>
        <w:spacing w:after="0" w:line="254" w:lineRule="auto"/>
        <w:tabs>
          <w:tab w:leader="none" w:pos="80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Evercore,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ectPr>
          <w:pgSz w:w="11900" w:h="16838" w:orient="portrait"/>
          <w:cols w:equalWidth="0" w:num="1">
            <w:col w:w="10476"/>
          </w:cols>
          <w:pgMar w:left="924" w:top="264" w:right="499" w:bottom="1440" w:gutter="0" w:footer="0" w:header="0"/>
        </w:sectPr>
      </w:pPr>
    </w:p>
    <w:bookmarkStart w:id="253" w:name="page254"/>
    <w:bookmarkEnd w:id="253"/>
    <w:p>
      <w:pPr>
        <w:ind w:left="-444" w:right="40" w:firstLine="444"/>
        <w:spacing w:after="0" w:line="267" w:lineRule="auto"/>
        <w:tabs>
          <w:tab w:leader="none" w:pos="215"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Delivery of the Offered Shares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shall deliver, or cause to be delivered to the Representatives for the accounts of the several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Underwriters certificates for the Firm Shares to be sold by them at the First Closing Date, against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from them at the First Closing Date or the applicable Option Closing Date, as the case may be, against the release of a wire transfer of immediately available funds for the amount of the purchase price therefor. If Jefferies so elect, delivery of the Offered Shares may be made by credit to the accounts designated by Jefferies through The Depository Trust Company’s full fast transfer or DWAC programs. If the Representatives so elect, the certificates for the Offered Shares shall be in definitive form and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69" w:lineRule="exact"/>
        <w:rPr>
          <w:sz w:val="20"/>
          <w:szCs w:val="20"/>
          <w:color w:val="auto"/>
        </w:rPr>
      </w:pPr>
    </w:p>
    <w:p>
      <w:pPr>
        <w:ind w:left="536"/>
        <w:spacing w:after="0"/>
        <w:rPr>
          <w:sz w:val="20"/>
          <w:szCs w:val="20"/>
          <w:color w:val="auto"/>
        </w:rPr>
      </w:pPr>
      <w:r>
        <w:rPr>
          <w:rFonts w:ascii="Times New Roman" w:cs="Times New Roman" w:eastAsia="Times New Roman" w:hAnsi="Times New Roman"/>
          <w:sz w:val="18"/>
          <w:szCs w:val="18"/>
          <w:b w:val="1"/>
          <w:bCs w:val="1"/>
          <w:color w:val="auto"/>
        </w:rPr>
        <w:t xml:space="preserve">Section 3. Additional Covenants of the Company. </w:t>
      </w:r>
      <w:r>
        <w:rPr>
          <w:rFonts w:ascii="Times New Roman" w:cs="Times New Roman" w:eastAsia="Times New Roman" w:hAnsi="Times New Roman"/>
          <w:sz w:val="18"/>
          <w:szCs w:val="18"/>
          <w:color w:val="auto"/>
        </w:rPr>
        <w:t>The Company further covenants and agrees with each Underwriter as follows:</w:t>
      </w:r>
    </w:p>
    <w:p>
      <w:pPr>
        <w:spacing w:after="0" w:line="114" w:lineRule="exact"/>
        <w:rPr>
          <w:sz w:val="20"/>
          <w:szCs w:val="20"/>
          <w:color w:val="auto"/>
        </w:rPr>
      </w:pPr>
    </w:p>
    <w:p>
      <w:pPr>
        <w:ind w:left="-444" w:firstLine="444"/>
        <w:spacing w:after="0" w:line="256" w:lineRule="auto"/>
        <w:tabs>
          <w:tab w:leader="none" w:pos="245"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Delivery of Registration Statement, Time of Sale Prospectus and Prospectus. </w:t>
      </w:r>
      <w:r>
        <w:rPr>
          <w:rFonts w:ascii="Times New Roman" w:cs="Times New Roman" w:eastAsia="Times New Roman" w:hAnsi="Times New Roman"/>
          <w:sz w:val="18"/>
          <w:szCs w:val="18"/>
          <w:color w:val="auto"/>
        </w:rPr>
        <w:t>The Company shall furnish to you in New York City,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72" w:lineRule="exact"/>
        <w:rPr>
          <w:rFonts w:ascii="Times New Roman" w:cs="Times New Roman" w:eastAsia="Times New Roman" w:hAnsi="Times New Roman"/>
          <w:sz w:val="18"/>
          <w:szCs w:val="18"/>
          <w:b w:val="1"/>
          <w:bCs w:val="1"/>
          <w:color w:val="auto"/>
        </w:rPr>
      </w:pPr>
    </w:p>
    <w:p>
      <w:pPr>
        <w:ind w:left="-444" w:firstLine="444"/>
        <w:spacing w:after="0" w:line="252" w:lineRule="auto"/>
        <w:tabs>
          <w:tab w:leader="none" w:pos="255"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Representatives’ Review of Proposed Amendments and Supplements. </w:t>
      </w:r>
      <w:r>
        <w:rPr>
          <w:rFonts w:ascii="Times New Roman" w:cs="Times New Roman" w:eastAsia="Times New Roman" w:hAnsi="Times New Roman"/>
          <w:sz w:val="18"/>
          <w:szCs w:val="18"/>
          <w:color w:val="auto"/>
        </w:rPr>
        <w:t>During the period when a prospectus relating to the Offered Shares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76" w:lineRule="exact"/>
        <w:rPr>
          <w:rFonts w:ascii="Times New Roman" w:cs="Times New Roman" w:eastAsia="Times New Roman" w:hAnsi="Times New Roman"/>
          <w:sz w:val="18"/>
          <w:szCs w:val="18"/>
          <w:b w:val="1"/>
          <w:bCs w:val="1"/>
          <w:color w:val="auto"/>
        </w:rPr>
      </w:pPr>
    </w:p>
    <w:p>
      <w:pPr>
        <w:ind w:left="-444" w:firstLine="444"/>
        <w:spacing w:after="0" w:line="256" w:lineRule="auto"/>
        <w:tabs>
          <w:tab w:leader="none" w:pos="235"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Free Writing Prospectuses. </w:t>
      </w:r>
      <w:r>
        <w:rPr>
          <w:rFonts w:ascii="Times New Roman" w:cs="Times New Roman" w:eastAsia="Times New Roman" w:hAnsi="Times New Roman"/>
          <w:sz w:val="18"/>
          <w:szCs w:val="18"/>
          <w:color w:val="auto"/>
        </w:rPr>
        <w:t>The Company shall furnish to the Representatives for review, a reasonable amount of time prior to the proposed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w:t>
      </w:r>
    </w:p>
    <w:p>
      <w:pPr>
        <w:sectPr>
          <w:pgSz w:w="11900" w:h="16838" w:orient="portrait"/>
          <w:cols w:equalWidth="0" w:num="1">
            <w:col w:w="10456"/>
          </w:cols>
          <w:pgMar w:left="924" w:top="264" w:right="519" w:bottom="1440" w:gutter="0" w:footer="0" w:header="0"/>
        </w:sectPr>
      </w:pPr>
    </w:p>
    <w:bookmarkStart w:id="254" w:name="page255"/>
    <w:bookmarkEnd w:id="254"/>
    <w:p>
      <w:pPr>
        <w:ind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spacing w:after="0" w:line="82" w:lineRule="exact"/>
        <w:rPr>
          <w:sz w:val="20"/>
          <w:szCs w:val="20"/>
          <w:color w:val="auto"/>
        </w:rPr>
      </w:pPr>
    </w:p>
    <w:p>
      <w:pPr>
        <w:ind w:firstLine="444"/>
        <w:spacing w:after="0" w:line="265" w:lineRule="auto"/>
        <w:tabs>
          <w:tab w:leader="none" w:pos="699"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Filing of Underwriter Free Writing Prospectuses. </w:t>
      </w:r>
      <w:r>
        <w:rPr>
          <w:rFonts w:ascii="Times New Roman" w:cs="Times New Roman" w:eastAsia="Times New Roman" w:hAnsi="Times New Roman"/>
          <w:sz w:val="18"/>
          <w:szCs w:val="18"/>
          <w:color w:val="auto"/>
        </w:rPr>
        <w:t>The Company shall not take any action that would result in an Underwriter or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63" w:lineRule="exact"/>
        <w:rPr>
          <w:rFonts w:ascii="Times New Roman" w:cs="Times New Roman" w:eastAsia="Times New Roman" w:hAnsi="Times New Roman"/>
          <w:sz w:val="18"/>
          <w:szCs w:val="18"/>
          <w:b w:val="1"/>
          <w:bCs w:val="1"/>
          <w:color w:val="auto"/>
        </w:rPr>
      </w:pPr>
    </w:p>
    <w:p>
      <w:pPr>
        <w:ind w:right="20" w:firstLine="444"/>
        <w:spacing w:after="0" w:line="267" w:lineRule="auto"/>
        <w:tabs>
          <w:tab w:leader="none" w:pos="679"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Amendments and Supplements to Time of Sale Prospectus. </w:t>
      </w:r>
      <w:r>
        <w:rPr>
          <w:rFonts w:ascii="Times New Roman" w:cs="Times New Roman" w:eastAsia="Times New Roman" w:hAnsi="Times New Roman"/>
          <w:sz w:val="17"/>
          <w:szCs w:val="17"/>
          <w:color w:val="auto"/>
        </w:rPr>
        <w:t>If the Time of Sale Prospectus is being used to solicit offers to buy the Offered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reasonable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65" w:lineRule="exact"/>
        <w:rPr>
          <w:rFonts w:ascii="Times New Roman" w:cs="Times New Roman" w:eastAsia="Times New Roman" w:hAnsi="Times New Roman"/>
          <w:sz w:val="17"/>
          <w:szCs w:val="17"/>
          <w:b w:val="1"/>
          <w:bCs w:val="1"/>
          <w:color w:val="auto"/>
        </w:rPr>
      </w:pPr>
    </w:p>
    <w:p>
      <w:pPr>
        <w:ind w:right="20" w:firstLine="444"/>
        <w:spacing w:after="0" w:line="255" w:lineRule="auto"/>
        <w:tabs>
          <w:tab w:leader="none" w:pos="659"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Notifications and Required 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date of this Agreement, the Company shall promptly advise the Representatives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w:t>
      </w:r>
    </w:p>
    <w:p>
      <w:pPr>
        <w:sectPr>
          <w:pgSz w:w="11900" w:h="16838" w:orient="portrait"/>
          <w:cols w:equalWidth="0" w:num="1">
            <w:col w:w="10920"/>
          </w:cols>
          <w:pgMar w:left="480" w:top="268" w:right="499" w:bottom="1440" w:gutter="0" w:footer="0" w:header="0"/>
        </w:sectPr>
      </w:pPr>
    </w:p>
    <w:bookmarkStart w:id="255" w:name="page256"/>
    <w:bookmarkEnd w:id="255"/>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moment reasonably practicable.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73" w:lineRule="exact"/>
        <w:rPr>
          <w:sz w:val="20"/>
          <w:szCs w:val="20"/>
          <w:color w:val="auto"/>
        </w:rPr>
      </w:pPr>
    </w:p>
    <w:p>
      <w:pPr>
        <w:ind w:right="20" w:firstLine="444"/>
        <w:spacing w:after="0" w:line="251" w:lineRule="auto"/>
        <w:tabs>
          <w:tab w:leader="none" w:pos="689"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Amendments and Supplements to the Prospectus and Other Securities Act Matters. </w:t>
      </w:r>
      <w:r>
        <w:rPr>
          <w:rFonts w:ascii="Times New Roman" w:cs="Times New Roman" w:eastAsia="Times New Roman" w:hAnsi="Times New Roman"/>
          <w:sz w:val="18"/>
          <w:szCs w:val="18"/>
          <w:color w:val="auto"/>
        </w:rPr>
        <w:t>If any event shall occur or condition exist as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reasonable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77" w:lineRule="exact"/>
        <w:rPr>
          <w:rFonts w:ascii="Times New Roman" w:cs="Times New Roman" w:eastAsia="Times New Roman" w:hAnsi="Times New Roman"/>
          <w:sz w:val="18"/>
          <w:szCs w:val="18"/>
          <w:b w:val="1"/>
          <w:bCs w:val="1"/>
          <w:color w:val="auto"/>
        </w:rPr>
      </w:pPr>
    </w:p>
    <w:p>
      <w:pPr>
        <w:ind w:firstLine="444"/>
        <w:spacing w:after="0" w:line="252" w:lineRule="auto"/>
        <w:tabs>
          <w:tab w:leader="none" w:pos="699"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cooperate with the Representatives and counsel for the Underwriters to qualify or register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Shares for sale under (or obtain exemptions from the application of) the state securities or blue sky laws or Canadian provincial securities laws (or other foreign laws) of those jurisdictions reasonably designated by the Representatives, shall use commercially reasonable efforts to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76" w:lineRule="exact"/>
        <w:rPr>
          <w:rFonts w:ascii="Times New Roman" w:cs="Times New Roman" w:eastAsia="Times New Roman" w:hAnsi="Times New Roman"/>
          <w:sz w:val="18"/>
          <w:szCs w:val="18"/>
          <w:b w:val="1"/>
          <w:bCs w:val="1"/>
          <w:color w:val="auto"/>
        </w:rPr>
      </w:pPr>
    </w:p>
    <w:p>
      <w:pPr>
        <w:ind w:right="240" w:firstLine="444"/>
        <w:spacing w:after="0" w:line="282" w:lineRule="auto"/>
        <w:tabs>
          <w:tab w:leader="none" w:pos="649"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apply the net proceeds from the sale of the Offered Shares sold by it in the manner described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caption “Use of Proceeds” in the Registration Statement, the Time of Sale Prospectus and the Prospectus.</w:t>
      </w:r>
    </w:p>
    <w:p>
      <w:pPr>
        <w:spacing w:after="0" w:line="48" w:lineRule="exact"/>
        <w:rPr>
          <w:rFonts w:ascii="Times New Roman" w:cs="Times New Roman" w:eastAsia="Times New Roman" w:hAnsi="Times New Roman"/>
          <w:sz w:val="18"/>
          <w:szCs w:val="18"/>
          <w:b w:val="1"/>
          <w:bCs w:val="1"/>
          <w:color w:val="auto"/>
        </w:rPr>
      </w:pPr>
    </w:p>
    <w:p>
      <w:pPr>
        <w:ind w:left="660" w:hanging="216"/>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engage and maintain, at its expense, a registrar and transfer agent for the Shares.</w:t>
      </w:r>
    </w:p>
    <w:p>
      <w:pPr>
        <w:sectPr>
          <w:pgSz w:w="11900" w:h="16838" w:orient="portrait"/>
          <w:cols w:equalWidth="0" w:num="1">
            <w:col w:w="10920"/>
          </w:cols>
          <w:pgMar w:left="480" w:top="268" w:right="499" w:bottom="1440" w:gutter="0" w:footer="0" w:header="0"/>
        </w:sectPr>
      </w:pPr>
    </w:p>
    <w:bookmarkStart w:id="256" w:name="page257"/>
    <w:bookmarkEnd w:id="256"/>
    <w:p>
      <w:pPr>
        <w:ind w:left="-7" w:right="40" w:firstLine="444"/>
        <w:spacing w:after="0" w:line="259" w:lineRule="auto"/>
        <w:tabs>
          <w:tab w:leader="none" w:pos="691"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Earnings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make generally available to its security holders and to the Representatives (which may be satisfied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filing with EDGAR)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69" w:lineRule="exact"/>
        <w:rPr>
          <w:rFonts w:ascii="Times New Roman" w:cs="Times New Roman" w:eastAsia="Times New Roman" w:hAnsi="Times New Roman"/>
          <w:sz w:val="18"/>
          <w:szCs w:val="18"/>
          <w:b w:val="1"/>
          <w:bCs w:val="1"/>
          <w:color w:val="auto"/>
        </w:rPr>
      </w:pPr>
    </w:p>
    <w:p>
      <w:pPr>
        <w:ind w:left="-7" w:firstLine="444"/>
        <w:spacing w:after="0" w:line="255" w:lineRule="auto"/>
        <w:tabs>
          <w:tab w:leader="none" w:pos="642"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comply with the Securities Act and the Exchange Act so as to permit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distribution of the Offered Shares as contemplated by this Agreement,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Offered Shares as may be required under Rule 463 under the Securities Act.</w:t>
      </w:r>
    </w:p>
    <w:p>
      <w:pPr>
        <w:spacing w:after="0" w:line="71" w:lineRule="exact"/>
        <w:rPr>
          <w:rFonts w:ascii="Times New Roman" w:cs="Times New Roman" w:eastAsia="Times New Roman" w:hAnsi="Times New Roman"/>
          <w:sz w:val="18"/>
          <w:szCs w:val="18"/>
          <w:b w:val="1"/>
          <w:bCs w:val="1"/>
          <w:color w:val="auto"/>
        </w:rPr>
      </w:pPr>
    </w:p>
    <w:p>
      <w:pPr>
        <w:ind w:left="-7" w:right="40" w:firstLine="444"/>
        <w:spacing w:after="0" w:line="255" w:lineRule="auto"/>
        <w:tabs>
          <w:tab w:leader="none" w:pos="741"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Directed Share Program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Directed Share Program, the Company will ensure that the Directed Shares will be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extent required by FINRA or its rules from sale, transfer, assignment, pledge or hypothecation for a period of three months following the date of the effectiveness of the Registration Statement. Jefferies will notify the Company as to which Participants will need to be so restricted. The Company will direct the transfer agent to place stop transfer restrictions upon such securities for such period of time. Should the Company release, or seek to release, from such restrictions any of the Directed Shares, the Company agrees to reimburse the Underwriters for any reasonable expenses (including, without limitation, legal expenses) they incur in connection with such release.</w:t>
      </w:r>
    </w:p>
    <w:p>
      <w:pPr>
        <w:spacing w:after="0" w:line="71" w:lineRule="exact"/>
        <w:rPr>
          <w:rFonts w:ascii="Times New Roman" w:cs="Times New Roman" w:eastAsia="Times New Roman" w:hAnsi="Times New Roman"/>
          <w:sz w:val="18"/>
          <w:szCs w:val="18"/>
          <w:b w:val="1"/>
          <w:bCs w:val="1"/>
          <w:color w:val="auto"/>
        </w:rPr>
      </w:pPr>
    </w:p>
    <w:p>
      <w:pPr>
        <w:ind w:left="693" w:hanging="256"/>
        <w:spacing w:after="0"/>
        <w:tabs>
          <w:tab w:leader="none" w:pos="693"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use its best efforts to list, subject to notice of issuance, the Offered Shares on Nasdaq.</w:t>
      </w:r>
    </w:p>
    <w:p>
      <w:pPr>
        <w:spacing w:after="0" w:line="113" w:lineRule="exact"/>
        <w:rPr>
          <w:rFonts w:ascii="Times New Roman" w:cs="Times New Roman" w:eastAsia="Times New Roman" w:hAnsi="Times New Roman"/>
          <w:sz w:val="18"/>
          <w:szCs w:val="18"/>
          <w:b w:val="1"/>
          <w:bCs w:val="1"/>
          <w:color w:val="auto"/>
        </w:rPr>
      </w:pPr>
    </w:p>
    <w:p>
      <w:pPr>
        <w:ind w:left="-7" w:right="40" w:firstLine="444"/>
        <w:spacing w:after="0" w:line="266" w:lineRule="auto"/>
        <w:tabs>
          <w:tab w:leader="none" w:pos="681" w:val="left"/>
        </w:tabs>
        <w:numPr>
          <w:ilvl w:val="1"/>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Company to Provide Copy of the Prospectus in Form That May be Downloaded from the Internet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requested by the Representatives,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shall cause to be prepared and delivered, at its expense, within one business day from the effective date of this Agreement, to the Representatives an “</w:t>
      </w:r>
      <w:r>
        <w:rPr>
          <w:rFonts w:ascii="Times New Roman" w:cs="Times New Roman" w:eastAsia="Times New Roman" w:hAnsi="Times New Roman"/>
          <w:sz w:val="17"/>
          <w:szCs w:val="17"/>
          <w:b w:val="1"/>
          <w:bCs w:val="1"/>
          <w:color w:val="auto"/>
        </w:rPr>
        <w:t>electronic Prospectus</w:t>
      </w:r>
      <w:r>
        <w:rPr>
          <w:rFonts w:ascii="Times New Roman" w:cs="Times New Roman" w:eastAsia="Times New Roman" w:hAnsi="Times New Roman"/>
          <w:sz w:val="17"/>
          <w:szCs w:val="17"/>
          <w:color w:val="auto"/>
        </w:rPr>
        <w:t>” to be used by the Underwriters in connection with the offering and sale of the Offered Shares. As used herein, the term “</w:t>
      </w:r>
      <w:r>
        <w:rPr>
          <w:rFonts w:ascii="Times New Roman" w:cs="Times New Roman" w:eastAsia="Times New Roman" w:hAnsi="Times New Roman"/>
          <w:sz w:val="17"/>
          <w:szCs w:val="17"/>
          <w:b w:val="1"/>
          <w:bCs w:val="1"/>
          <w:color w:val="auto"/>
        </w:rPr>
        <w:t>electronic Prospectus</w:t>
      </w:r>
      <w:r>
        <w:rPr>
          <w:rFonts w:ascii="Times New Roman" w:cs="Times New Roman" w:eastAsia="Times New Roman" w:hAnsi="Times New Roman"/>
          <w:sz w:val="17"/>
          <w:szCs w:val="17"/>
          <w:color w:val="auto"/>
        </w:rPr>
        <w:t>” means a form of the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w:t>
      </w:r>
    </w:p>
    <w:p>
      <w:pPr>
        <w:spacing w:after="0" w:line="1" w:lineRule="exact"/>
        <w:rPr>
          <w:rFonts w:ascii="Times New Roman" w:cs="Times New Roman" w:eastAsia="Times New Roman" w:hAnsi="Times New Roman"/>
          <w:sz w:val="17"/>
          <w:szCs w:val="17"/>
          <w:b w:val="1"/>
          <w:bCs w:val="1"/>
          <w:color w:val="auto"/>
        </w:rPr>
      </w:pPr>
    </w:p>
    <w:p>
      <w:pPr>
        <w:ind w:left="-7" w:right="20" w:firstLine="7"/>
        <w:spacing w:after="0" w:line="268" w:lineRule="auto"/>
        <w:tabs>
          <w:tab w:leader="none" w:pos="30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ectPr>
          <w:pgSz w:w="11900" w:h="16838" w:orient="portrait"/>
          <w:cols w:equalWidth="0" w:num="1">
            <w:col w:w="10913"/>
          </w:cols>
          <w:pgMar w:left="487" w:top="264" w:right="499" w:bottom="1440" w:gutter="0" w:footer="0" w:header="0"/>
        </w:sectPr>
      </w:pPr>
    </w:p>
    <w:bookmarkStart w:id="257" w:name="page258"/>
    <w:bookmarkEnd w:id="257"/>
    <w:p>
      <w:pPr>
        <w:ind w:left="-444" w:firstLine="444"/>
        <w:spacing w:after="0" w:line="264" w:lineRule="auto"/>
        <w:tabs>
          <w:tab w:leader="none" w:pos="255"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 Not to Offer or Sell Additional Shares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the period commencing on and including the date hereof and continuing through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including the 180th day following the date of the Prospectus (such period, as extended as described below, being referred to herein as the “</w:t>
      </w:r>
      <w:r>
        <w:rPr>
          <w:rFonts w:ascii="Times New Roman" w:cs="Times New Roman" w:eastAsia="Times New Roman" w:hAnsi="Times New Roman"/>
          <w:sz w:val="17"/>
          <w:szCs w:val="17"/>
          <w:b w:val="1"/>
          <w:bCs w:val="1"/>
          <w:color w:val="auto"/>
        </w:rPr>
        <w:t>Lock-up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 the Company will not, without the prior written consent of Jefferies and Evercore (which consent may be withheld in their sole discretion),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(other than as contemplated by this Agreement with respect to the Offered Shares);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Company may (A) effect the transactions contemplated hereby, (B) issue Shares or options to purchase Shares, or issue Shares upon exercise of options, pursuant to any stock option, stock bonus or other stock plan or arrangement described in the Registration Statement, the Time of Sale Prospectus and the Prospectus, or issue warrants to purchase Shares in exchange for or upon conversion of outstanding warrants to purchase preferred shares, or issue Shares upon conversion of outstanding preferred shares, in each case, described the Registration Statement, the Time of Sale Prospectus and the Prospectus, but only if the holders of such Shares, options, warrants or preferred shares, as applicable, agree in writing with the Underwriters not to sell, offer, dispose of or otherwise transfer any such Shares or options during such Lock-up Period without the prior written consent of the Representatives (which consent may be withheld in its sole discretion); (C) file one or more registration statements on Form S-8 with respect to any Shares or Related Securities issued or issuable pursuant to any stock option, stock bonus, or other stock plan or arrangement described in the Registration Statement, the Time of Sale Prospectus or the Prospectus; (D) issue Shares in connection with the acquisition or license by the Company of the securities, business, property, technology or other assets of another person or business entity or pursuant to any employee benefit plan assumed by the Company in connection with any such acquisition; (E) issue Shares or Related Securities, or enter into an agreement to issue Shares or Related Securities, in connection with any merger, joint venture, strategic alliance, commercial or other collaborative transaction;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immediately preceding clauses (D) and (E), (x) the aggregate number of Shares issued or underlying such Related Securities issued in connection with all such acquisitions and other transactions does not exceed 5% of the number of Shares outstanding on a fully diluted basis after giving effect to the consummation of the offering of the Offered Shares pursuant to this Agreement and (y) the recipients of the Shares or Related Securities provide to the Representatives a signed Lock-Up Agreement in the form set forth on </w:t>
      </w:r>
      <w:r>
        <w:rPr>
          <w:rFonts w:ascii="Times New Roman" w:cs="Times New Roman" w:eastAsia="Times New Roman" w:hAnsi="Times New Roman"/>
          <w:sz w:val="17"/>
          <w:szCs w:val="17"/>
          <w:u w:val="single" w:color="auto"/>
          <w:color w:val="auto"/>
        </w:rPr>
        <w:t>Exhibit C-1</w:t>
      </w:r>
      <w:r>
        <w:rPr>
          <w:rFonts w:ascii="Times New Roman" w:cs="Times New Roman" w:eastAsia="Times New Roman" w:hAnsi="Times New Roman"/>
          <w:sz w:val="17"/>
          <w:szCs w:val="17"/>
          <w:color w:val="auto"/>
        </w:rPr>
        <w:t xml:space="preserve"> hereto; and (F) assist any stockholder of the Company in the establishment of a trading plan by such stockholder pursuant to Rule 10b5-1 under the Exchange Act for the transfer of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plan does not provide for the transfer or any sale of shares of Common Stock during the Lock-Up Period, and the establishment of such plan does not require or otherwise result in any public filings or other public announcement of such plan during such Lock-Up Period and such plan is otherwise permitted to be implemented during the Lock-Up Period pursuant to the terms of the Lock-Up Agreement between such stockholder and the Underwriters in connection with the offering of the Offered Shares. For purposes of the foregoing, “</w:t>
      </w:r>
      <w:r>
        <w:rPr>
          <w:rFonts w:ascii="Times New Roman" w:cs="Times New Roman" w:eastAsia="Times New Roman" w:hAnsi="Times New Roman"/>
          <w:sz w:val="17"/>
          <w:szCs w:val="17"/>
          <w:b w:val="1"/>
          <w:bCs w:val="1"/>
          <w:color w:val="auto"/>
        </w:rPr>
        <w:t>Related Securities</w:t>
      </w:r>
      <w:r>
        <w:rPr>
          <w:rFonts w:ascii="Times New Roman" w:cs="Times New Roman" w:eastAsia="Times New Roman" w:hAnsi="Times New Roman"/>
          <w:sz w:val="17"/>
          <w:szCs w:val="17"/>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ectPr>
          <w:pgSz w:w="11900" w:h="16838" w:orient="portrait"/>
          <w:cols w:equalWidth="0" w:num="1">
            <w:col w:w="10456"/>
          </w:cols>
          <w:pgMar w:left="924" w:top="264" w:right="519" w:bottom="1440" w:gutter="0" w:footer="0" w:header="0"/>
        </w:sectPr>
      </w:pPr>
    </w:p>
    <w:bookmarkStart w:id="258" w:name="page259"/>
    <w:bookmarkEnd w:id="258"/>
    <w:p>
      <w:pPr>
        <w:ind w:left="-444" w:firstLine="444"/>
        <w:spacing w:after="0" w:line="251" w:lineRule="auto"/>
        <w:tabs>
          <w:tab w:leader="none" w:pos="255"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Future Reports to the Representatives. </w:t>
      </w:r>
      <w:r>
        <w:rPr>
          <w:rFonts w:ascii="Times New Roman" w:cs="Times New Roman" w:eastAsia="Times New Roman" w:hAnsi="Times New Roman"/>
          <w:sz w:val="18"/>
          <w:szCs w:val="18"/>
          <w:color w:val="auto"/>
        </w:rPr>
        <w:t>During the period of five years hereafter, the Company will furnish to the Representatives, 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Jefferies, at 520 Madison Avenue, New York, New York 10022, Attention: Global Head of Syndicate and Evercore Group L.L.C., 55 East 52nd Street, New York, New York 10055, Attention: Kenneth A. Masotti, Esq. (fax: 212-857-3101): (i) as soon as practicable after the end of each fiscal year, copies of the Annual Report of the Company containing the balance sheet of the Company as of the close of such fiscal year and statements of income, stockholders’ equity (deficit)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requirements of this Section 3(q) shall be satisfied to the extent that such reports, statement, communications, financial statements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documents are available on EDGAR.</w:t>
      </w:r>
    </w:p>
    <w:p>
      <w:pPr>
        <w:spacing w:after="0" w:line="82" w:lineRule="exact"/>
        <w:rPr>
          <w:rFonts w:ascii="Times New Roman" w:cs="Times New Roman" w:eastAsia="Times New Roman" w:hAnsi="Times New Roman"/>
          <w:sz w:val="18"/>
          <w:szCs w:val="18"/>
          <w:b w:val="1"/>
          <w:bCs w:val="1"/>
          <w:color w:val="auto"/>
        </w:rPr>
      </w:pPr>
    </w:p>
    <w:p>
      <w:pPr>
        <w:ind w:left="-444" w:right="140" w:firstLine="444"/>
        <w:spacing w:after="0" w:line="265" w:lineRule="auto"/>
        <w:tabs>
          <w:tab w:leader="none" w:pos="235"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Limitation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invest or otherwise use the proceeds received by the Company from its sale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in such a manner as would require the Company or any of its subsidiaries to register as an investment company under the Investment Company Act.</w:t>
      </w:r>
    </w:p>
    <w:p>
      <w:pPr>
        <w:spacing w:after="0" w:line="63" w:lineRule="exact"/>
        <w:rPr>
          <w:rFonts w:ascii="Times New Roman" w:cs="Times New Roman" w:eastAsia="Times New Roman" w:hAnsi="Times New Roman"/>
          <w:sz w:val="18"/>
          <w:szCs w:val="18"/>
          <w:b w:val="1"/>
          <w:bCs w:val="1"/>
          <w:color w:val="auto"/>
        </w:rPr>
      </w:pPr>
    </w:p>
    <w:p>
      <w:pPr>
        <w:ind w:left="-444" w:right="80" w:firstLine="444"/>
        <w:spacing w:after="0" w:line="259" w:lineRule="auto"/>
        <w:tabs>
          <w:tab w:leader="none" w:pos="225"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not take, and will ensure that no affiliate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will take, directly or indirectly, any action designed to or that might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69" w:lineRule="exact"/>
        <w:rPr>
          <w:rFonts w:ascii="Times New Roman" w:cs="Times New Roman" w:eastAsia="Times New Roman" w:hAnsi="Times New Roman"/>
          <w:sz w:val="18"/>
          <w:szCs w:val="18"/>
          <w:b w:val="1"/>
          <w:bCs w:val="1"/>
          <w:color w:val="auto"/>
        </w:rPr>
      </w:pPr>
    </w:p>
    <w:p>
      <w:pPr>
        <w:ind w:left="-444" w:right="60" w:firstLine="444"/>
        <w:spacing w:after="0" w:line="255" w:lineRule="auto"/>
        <w:tabs>
          <w:tab w:leader="none" w:pos="215"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Enforce Lock-Up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Lock-up Period, the Company will enforce all agreements between the Company and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securityholders pursuant to Section 6(l) hereof.</w:t>
      </w:r>
    </w:p>
    <w:p>
      <w:pPr>
        <w:spacing w:after="0" w:line="71" w:lineRule="exact"/>
        <w:rPr>
          <w:rFonts w:ascii="Times New Roman" w:cs="Times New Roman" w:eastAsia="Times New Roman" w:hAnsi="Times New Roman"/>
          <w:sz w:val="18"/>
          <w:szCs w:val="18"/>
          <w:b w:val="1"/>
          <w:bCs w:val="1"/>
          <w:color w:val="auto"/>
        </w:rPr>
      </w:pPr>
    </w:p>
    <w:p>
      <w:pPr>
        <w:ind w:left="-444" w:right="200" w:firstLine="444"/>
        <w:spacing w:after="0" w:line="259" w:lineRule="auto"/>
        <w:tabs>
          <w:tab w:leader="none" w:pos="255"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Provide Interim 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First Closing Date and each applicable Option Closing Date,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furnish the Underwriters, as soon as they have been prepared by or are available to the Company, a copy of any unaudited interim financial statements of the Company for any quarterly period subsequent to the period covered by the most recent financial statements appearing in the Registration Statement and the Prospectus.</w:t>
      </w:r>
    </w:p>
    <w:p>
      <w:pPr>
        <w:spacing w:after="0" w:line="69" w:lineRule="exact"/>
        <w:rPr>
          <w:rFonts w:ascii="Times New Roman" w:cs="Times New Roman" w:eastAsia="Times New Roman" w:hAnsi="Times New Roman"/>
          <w:sz w:val="18"/>
          <w:szCs w:val="18"/>
          <w:b w:val="1"/>
          <w:bCs w:val="1"/>
          <w:color w:val="auto"/>
        </w:rPr>
      </w:pPr>
    </w:p>
    <w:p>
      <w:pPr>
        <w:ind w:left="-444" w:right="180" w:firstLine="444"/>
        <w:spacing w:after="0" w:line="255" w:lineRule="auto"/>
        <w:tabs>
          <w:tab w:leader="none" w:pos="245"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Permitted Section 5(d) Communications</w:t>
      </w:r>
      <w:r>
        <w:rPr>
          <w:rFonts w:ascii="Times New Roman" w:cs="Times New Roman" w:eastAsia="Times New Roman" w:hAnsi="Times New Roman"/>
          <w:sz w:val="18"/>
          <w:szCs w:val="18"/>
          <w:color w:val="auto"/>
        </w:rPr>
        <w:t>. If at any time following the distribution of any Permitted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ectPr>
          <w:pgSz w:w="11900" w:h="16838" w:orient="portrait"/>
          <w:cols w:equalWidth="0" w:num="1">
            <w:col w:w="10436"/>
          </w:cols>
          <w:pgMar w:left="924" w:top="264" w:right="539" w:bottom="1440" w:gutter="0" w:footer="0" w:header="0"/>
        </w:sectPr>
      </w:pPr>
    </w:p>
    <w:bookmarkStart w:id="259" w:name="page260"/>
    <w:bookmarkEnd w:id="259"/>
    <w:p>
      <w:pPr>
        <w:ind w:right="40" w:firstLine="444"/>
        <w:spacing w:after="0" w:line="259" w:lineRule="auto"/>
        <w:tabs>
          <w:tab w:leader="none" w:pos="72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Emerging Growth Company Status</w:t>
      </w:r>
      <w:r>
        <w:rPr>
          <w:rFonts w:ascii="Times New Roman" w:cs="Times New Roman" w:eastAsia="Times New Roman" w:hAnsi="Times New Roman"/>
          <w:sz w:val="18"/>
          <w:szCs w:val="18"/>
          <w:color w:val="auto"/>
        </w:rPr>
        <w:t>. The Company will promptly notify the Representatives if the Company ceases to be an Emerging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 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69" w:lineRule="exact"/>
        <w:rPr>
          <w:rFonts w:ascii="Times New Roman" w:cs="Times New Roman" w:eastAsia="Times New Roman" w:hAnsi="Times New Roman"/>
          <w:sz w:val="18"/>
          <w:szCs w:val="18"/>
          <w:b w:val="1"/>
          <w:bCs w:val="1"/>
          <w:color w:val="auto"/>
        </w:rPr>
      </w:pPr>
    </w:p>
    <w:p>
      <w:pPr>
        <w:ind w:right="40" w:firstLine="444"/>
        <w:spacing w:after="0" w:line="253" w:lineRule="auto"/>
        <w:tabs>
          <w:tab w:leader="none" w:pos="68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Announcement Regarding Lock-ups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agrees to announce the Representatives’ intention to release any director or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(within the meaning of Rule 16a-1(f) under the Exchange Act) of the Company from any of the restrictions imposed by any Lock-Up Agreement, by issuing, through a major news service, a press release in form and substance satisfactory to the Representatives or, if consented to by the Representatives, in a registration statement that is publicly filed in connection with a secondary offering of the Company’s shares promptly following the Company’s receipt of any notification from the Representatives in which such intention is indicated, but in any case not later than the close of the third business day prior to the date on which such release or waiver is to become effective;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hereto.</w:t>
      </w:r>
    </w:p>
    <w:p>
      <w:pPr>
        <w:spacing w:after="0" w:line="73" w:lineRule="exact"/>
        <w:rPr>
          <w:rFonts w:ascii="Times New Roman" w:cs="Times New Roman" w:eastAsia="Times New Roman" w:hAnsi="Times New Roman"/>
          <w:sz w:val="18"/>
          <w:szCs w:val="18"/>
          <w:b w:val="1"/>
          <w:bCs w:val="1"/>
          <w:color w:val="auto"/>
        </w:rPr>
      </w:pPr>
    </w:p>
    <w:p>
      <w:pPr>
        <w:ind w:right="160" w:firstLine="444"/>
        <w:spacing w:after="0" w:line="259" w:lineRule="auto"/>
        <w:tabs>
          <w:tab w:leader="none" w:pos="68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Certification Regarding Beneficial Owners. </w:t>
      </w:r>
      <w:r>
        <w:rPr>
          <w:rFonts w:ascii="Times New Roman" w:cs="Times New Roman" w:eastAsia="Times New Roman" w:hAnsi="Times New Roman"/>
          <w:sz w:val="18"/>
          <w:szCs w:val="18"/>
          <w:color w:val="auto"/>
        </w:rPr>
        <w:t>The Company will deliver to the Representatives, on the date of execution of this Agreement,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69" w:lineRule="exact"/>
        <w:rPr>
          <w:sz w:val="20"/>
          <w:szCs w:val="20"/>
          <w:color w:val="auto"/>
        </w:rPr>
      </w:pPr>
    </w:p>
    <w:p>
      <w:pPr>
        <w:ind w:firstLine="982"/>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Section 4. Payment of Expenses. </w:t>
      </w:r>
      <w:r>
        <w:rPr>
          <w:rFonts w:ascii="Times New Roman" w:cs="Times New Roman" w:eastAsia="Times New Roman" w:hAnsi="Times New Roman"/>
          <w:sz w:val="17"/>
          <w:szCs w:val="17"/>
          <w:color w:val="auto"/>
        </w:rPr>
        <w:t>The Company agrees to pay all costs, fees and expenses incurred in connection with the performance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if any,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reasonably incurred and documented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(viii) the costs and expenses of the Company relating to investor presentations on any “road show,” any Permitted Section 5(d) Communication or any</w:t>
      </w:r>
    </w:p>
    <w:p>
      <w:pPr>
        <w:spacing w:after="0" w:line="6"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color w:val="auto"/>
        </w:rPr>
        <w:t>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w:t>
      </w:r>
    </w:p>
    <w:p>
      <w:pPr>
        <w:sectPr>
          <w:pgSz w:w="11900" w:h="16838" w:orient="portrait"/>
          <w:cols w:equalWidth="0" w:num="1">
            <w:col w:w="10900"/>
          </w:cols>
          <w:pgMar w:left="480" w:top="264" w:right="519" w:bottom="1440" w:gutter="0" w:footer="0" w:header="0"/>
        </w:sectPr>
      </w:pPr>
    </w:p>
    <w:bookmarkStart w:id="260" w:name="page261"/>
    <w:bookmarkEnd w:id="260"/>
    <w:p>
      <w:pPr>
        <w:ind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consultants engaged in connection with the road show presentations with the prior approval of the Company, travel and lodging expenses of the representatives, employees and officers of the Company and any such consultants, and 50% of the cost of any aircraft chartered in connection with the road show (with the other 50% being paid by the Underwriters), (ix) the fees and expenses associated with listing the Offered Shares on Nasdaq, and</w:t>
      </w:r>
    </w:p>
    <w:p>
      <w:pPr>
        <w:spacing w:after="0" w:line="1" w:lineRule="exact"/>
        <w:rPr>
          <w:sz w:val="20"/>
          <w:szCs w:val="20"/>
          <w:color w:val="auto"/>
        </w:rPr>
      </w:pPr>
    </w:p>
    <w:p>
      <w:pPr>
        <w:jc w:val="both"/>
        <w:ind w:right="260" w:firstLine="7"/>
        <w:spacing w:after="0" w:line="250" w:lineRule="auto"/>
        <w:tabs>
          <w:tab w:leader="none" w:pos="2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costs and expenses of the nature referred to in Item 13 of Part II of the Registration Statement and (xi) all costs and expenses of the Underwriters, including the reasonably incurred and documented fees and disbursements of counsel for the Underwriters, in connection with matters related to the Directed Shares which are designated by the Company for sale to Participants, provided, that, the fees and expenses of counsel with respect to clauses (vi) and (viii) above shall not exceed $40,000 in the aggregate. Except as provided in this Section 4 or in Section 7, Section 9 or Section 10 hereof, the Underwriters shall pay their own expenses, including the fees and disbursements of their counsel.</w:t>
      </w:r>
    </w:p>
    <w:p>
      <w:pPr>
        <w:spacing w:after="0" w:line="76" w:lineRule="exact"/>
        <w:rPr>
          <w:sz w:val="20"/>
          <w:szCs w:val="20"/>
          <w:color w:val="auto"/>
        </w:rPr>
      </w:pPr>
    </w:p>
    <w:p>
      <w:pPr>
        <w:jc w:val="both"/>
        <w:ind w:firstLine="982"/>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Section 5. Covenant of the Underwriters. </w:t>
      </w:r>
      <w:r>
        <w:rPr>
          <w:rFonts w:ascii="Times New Roman" w:cs="Times New Roman" w:eastAsia="Times New Roman" w:hAnsi="Times New Roman"/>
          <w:sz w:val="17"/>
          <w:szCs w:val="17"/>
          <w:color w:val="auto"/>
        </w:rPr>
        <w:t>Each Underwriter severally and not jointly covenants with the Company not to take any 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45" w:lineRule="exact"/>
        <w:rPr>
          <w:sz w:val="20"/>
          <w:szCs w:val="20"/>
          <w:color w:val="auto"/>
        </w:rPr>
      </w:pPr>
    </w:p>
    <w:p>
      <w:pPr>
        <w:ind w:right="4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 Conditions of the Obligations of the Underwriters. </w:t>
      </w:r>
      <w:r>
        <w:rPr>
          <w:rFonts w:ascii="Times New Roman" w:cs="Times New Roman" w:eastAsia="Times New Roman" w:hAnsi="Times New Roman"/>
          <w:sz w:val="18"/>
          <w:szCs w:val="18"/>
          <w:color w:val="auto"/>
        </w:rPr>
        <w:t>The respective obligations of the several Underwriters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73" w:lineRule="exact"/>
        <w:rPr>
          <w:sz w:val="20"/>
          <w:szCs w:val="20"/>
          <w:color w:val="auto"/>
        </w:rPr>
      </w:pPr>
    </w:p>
    <w:p>
      <w:pPr>
        <w:ind w:right="160" w:firstLine="444"/>
        <w:spacing w:after="0" w:line="256" w:lineRule="auto"/>
        <w:tabs>
          <w:tab w:leader="none" w:pos="689"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date hereof, the Representatives shall have received from KPMG LLP, independent registered public accountants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72" w:lineRule="exact"/>
        <w:rPr>
          <w:rFonts w:ascii="Times New Roman" w:cs="Times New Roman" w:eastAsia="Times New Roman" w:hAnsi="Times New Roman"/>
          <w:sz w:val="18"/>
          <w:szCs w:val="18"/>
          <w:b w:val="1"/>
          <w:bCs w:val="1"/>
          <w:color w:val="auto"/>
        </w:rPr>
      </w:pPr>
    </w:p>
    <w:p>
      <w:pPr>
        <w:jc w:val="both"/>
        <w:ind w:right="400" w:firstLine="444"/>
        <w:spacing w:after="0" w:line="265" w:lineRule="auto"/>
        <w:tabs>
          <w:tab w:leader="none" w:pos="699"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Compliance with Registration Requirements; No Stop Order; No Objection from FINRA. </w:t>
      </w:r>
      <w:r>
        <w:rPr>
          <w:rFonts w:ascii="Times New Roman" w:cs="Times New Roman" w:eastAsia="Times New Roman" w:hAnsi="Times New Roman"/>
          <w:sz w:val="18"/>
          <w:szCs w:val="18"/>
          <w:color w:val="auto"/>
        </w:rPr>
        <w:t>For the period from and after the date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through and including the First Closing Date and, with respect to any Optional Shares purchased after the First Closing Date, each Option Closing Date:</w:t>
      </w:r>
    </w:p>
    <w:p>
      <w:pPr>
        <w:spacing w:after="0" w:line="67" w:lineRule="exact"/>
        <w:rPr>
          <w:rFonts w:ascii="Times New Roman" w:cs="Times New Roman" w:eastAsia="Times New Roman" w:hAnsi="Times New Roman"/>
          <w:sz w:val="18"/>
          <w:szCs w:val="18"/>
          <w:b w:val="1"/>
          <w:bCs w:val="1"/>
          <w:color w:val="auto"/>
        </w:rPr>
      </w:pPr>
    </w:p>
    <w:p>
      <w:pPr>
        <w:ind w:right="260" w:firstLine="990"/>
        <w:spacing w:after="0" w:line="258" w:lineRule="auto"/>
        <w:tabs>
          <w:tab w:leader="none" w:pos="119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72" w:lineRule="exact"/>
        <w:rPr>
          <w:rFonts w:ascii="Times New Roman" w:cs="Times New Roman" w:eastAsia="Times New Roman" w:hAnsi="Times New Roman"/>
          <w:sz w:val="18"/>
          <w:szCs w:val="18"/>
          <w:color w:val="auto"/>
        </w:rPr>
      </w:pPr>
    </w:p>
    <w:p>
      <w:pPr>
        <w:ind w:right="380" w:firstLine="990"/>
        <w:spacing w:after="0" w:line="263" w:lineRule="auto"/>
        <w:tabs>
          <w:tab w:leader="none" w:pos="124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post-effective amendment to the Registration Statement shall be in effect, and no proceedings for such purpose shall have been instituted or, to the knowledge of the Company, threatened by the Commission.</w:t>
      </w:r>
    </w:p>
    <w:p>
      <w:pPr>
        <w:sectPr>
          <w:pgSz w:w="11900" w:h="16838" w:orient="portrait"/>
          <w:cols w:equalWidth="0" w:num="1">
            <w:col w:w="10880"/>
          </w:cols>
          <w:pgMar w:left="480" w:top="268" w:right="539" w:bottom="1440" w:gutter="0" w:footer="0" w:header="0"/>
        </w:sectPr>
      </w:pPr>
    </w:p>
    <w:bookmarkStart w:id="261" w:name="page262"/>
    <w:bookmarkEnd w:id="261"/>
    <w:p>
      <w:pPr>
        <w:ind w:left="856" w:hanging="310"/>
        <w:spacing w:after="0"/>
        <w:tabs>
          <w:tab w:leader="none" w:pos="85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FINRA shall have raised no objection to the fairness and reasonableness of the underwriting terms and arrangements.</w:t>
      </w:r>
    </w:p>
    <w:p>
      <w:pPr>
        <w:spacing w:after="0" w:line="109" w:lineRule="exact"/>
        <w:rPr>
          <w:rFonts w:ascii="Times New Roman" w:cs="Times New Roman" w:eastAsia="Times New Roman" w:hAnsi="Times New Roman"/>
          <w:sz w:val="18"/>
          <w:szCs w:val="18"/>
          <w:color w:val="auto"/>
        </w:rPr>
      </w:pPr>
    </w:p>
    <w:p>
      <w:pPr>
        <w:ind w:left="-444" w:firstLine="444"/>
        <w:spacing w:after="0" w:line="282" w:lineRule="auto"/>
        <w:tabs>
          <w:tab w:leader="none" w:pos="235"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 or Ratings Agency Change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period from and after the date of this Agreement and through and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Closing Date and, with respect to any Optional Shares purchased after the First Closing Date, each Option Closing Date:</w:t>
      </w:r>
    </w:p>
    <w:p>
      <w:pPr>
        <w:spacing w:after="0" w:line="52" w:lineRule="exact"/>
        <w:rPr>
          <w:rFonts w:ascii="Times New Roman" w:cs="Times New Roman" w:eastAsia="Times New Roman" w:hAnsi="Times New Roman"/>
          <w:sz w:val="18"/>
          <w:szCs w:val="18"/>
          <w:b w:val="1"/>
          <w:bCs w:val="1"/>
          <w:color w:val="auto"/>
        </w:rPr>
      </w:pPr>
    </w:p>
    <w:p>
      <w:pPr>
        <w:ind w:left="756" w:hanging="210"/>
        <w:spacing w:after="0"/>
        <w:tabs>
          <w:tab w:leader="none" w:pos="75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judgment of the Representatives, there shall not have occurred any Material Adverse Change; and</w:t>
      </w:r>
    </w:p>
    <w:p>
      <w:pPr>
        <w:spacing w:after="0" w:line="114" w:lineRule="exact"/>
        <w:rPr>
          <w:sz w:val="20"/>
          <w:szCs w:val="20"/>
          <w:color w:val="auto"/>
        </w:rPr>
      </w:pPr>
    </w:p>
    <w:p>
      <w:pPr>
        <w:ind w:left="-444" w:right="20" w:firstLine="990"/>
        <w:spacing w:after="0" w:line="285" w:lineRule="auto"/>
        <w:tabs>
          <w:tab w:leader="none" w:pos="801"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48" w:lineRule="exact"/>
        <w:rPr>
          <w:rFonts w:ascii="Times New Roman" w:cs="Times New Roman" w:eastAsia="Times New Roman" w:hAnsi="Times New Roman"/>
          <w:sz w:val="17"/>
          <w:szCs w:val="17"/>
          <w:color w:val="auto"/>
        </w:rPr>
      </w:pPr>
    </w:p>
    <w:p>
      <w:pPr>
        <w:ind w:left="-444" w:right="40" w:firstLine="444"/>
        <w:spacing w:after="0" w:line="265" w:lineRule="auto"/>
        <w:tabs>
          <w:tab w:leader="none" w:pos="25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received the opinion and negative assurance letter of Goodwin Procter LLP, counsel for the Company, dated as of such date,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444" w:right="100" w:firstLine="444"/>
        <w:spacing w:after="0" w:line="265" w:lineRule="auto"/>
        <w:tabs>
          <w:tab w:leader="none" w:pos="23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Opinion of Intellectual Property Counsel for the Company. </w:t>
      </w:r>
      <w:r>
        <w:rPr>
          <w:rFonts w:ascii="Times New Roman" w:cs="Times New Roman" w:eastAsia="Times New Roman" w:hAnsi="Times New Roman"/>
          <w:sz w:val="18"/>
          <w:szCs w:val="18"/>
          <w:color w:val="auto"/>
        </w:rPr>
        <w:t>On each of the First Closing Date and each Option Closing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Representatives shall have received the opinion of Knowles Strategies, LLC, counsel for the Company with respect to intellectual property, dated as of such date,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jc w:val="both"/>
        <w:ind w:left="-444" w:right="320" w:firstLine="444"/>
        <w:spacing w:after="0" w:line="265" w:lineRule="auto"/>
        <w:tabs>
          <w:tab w:leader="none" w:pos="21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and negative assurance letter of Cooley LLP, counsel for the Underwriters in connection with the offer and sale of the Offered Shares, in form and substance satisfactory to the Representatives, dated as of such date.</w:t>
      </w:r>
    </w:p>
    <w:p>
      <w:pPr>
        <w:spacing w:after="0" w:line="63" w:lineRule="exact"/>
        <w:rPr>
          <w:rFonts w:ascii="Times New Roman" w:cs="Times New Roman" w:eastAsia="Times New Roman" w:hAnsi="Times New Roman"/>
          <w:sz w:val="18"/>
          <w:szCs w:val="18"/>
          <w:b w:val="1"/>
          <w:bCs w:val="1"/>
          <w:color w:val="auto"/>
        </w:rPr>
      </w:pPr>
    </w:p>
    <w:p>
      <w:pPr>
        <w:ind w:left="-444" w:right="140" w:firstLine="444"/>
        <w:spacing w:after="0" w:line="265" w:lineRule="auto"/>
        <w:tabs>
          <w:tab w:leader="none" w:pos="24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a certificate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by the Executive Chairman and the Chief Financial Officer of the Company, on behalf of the Company and not in their individual capacities, dated as of such date, to the effect set forth in Section 6(b)(ii) and further to the effect that:</w:t>
      </w:r>
    </w:p>
    <w:p>
      <w:pPr>
        <w:spacing w:after="0" w:line="67" w:lineRule="exact"/>
        <w:rPr>
          <w:rFonts w:ascii="Times New Roman" w:cs="Times New Roman" w:eastAsia="Times New Roman" w:hAnsi="Times New Roman"/>
          <w:sz w:val="18"/>
          <w:szCs w:val="18"/>
          <w:b w:val="1"/>
          <w:bCs w:val="1"/>
          <w:color w:val="auto"/>
        </w:rPr>
      </w:pPr>
    </w:p>
    <w:p>
      <w:pPr>
        <w:ind w:left="-444" w:right="400" w:firstLine="990"/>
        <w:spacing w:after="0" w:line="278" w:lineRule="auto"/>
        <w:tabs>
          <w:tab w:leader="none" w:pos="75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date of this Agreement through and including such date, there has not occurred any Material Adverse Change;</w:t>
      </w:r>
    </w:p>
    <w:p>
      <w:pPr>
        <w:spacing w:after="0" w:line="55" w:lineRule="exact"/>
        <w:rPr>
          <w:sz w:val="20"/>
          <w:szCs w:val="20"/>
          <w:color w:val="auto"/>
        </w:rPr>
      </w:pPr>
    </w:p>
    <w:p>
      <w:pPr>
        <w:ind w:left="-444" w:right="280" w:firstLine="990"/>
        <w:spacing w:after="0" w:line="278" w:lineRule="auto"/>
        <w:tabs>
          <w:tab w:leader="none" w:pos="80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55" w:lineRule="exact"/>
        <w:rPr>
          <w:rFonts w:ascii="Times New Roman" w:cs="Times New Roman" w:eastAsia="Times New Roman" w:hAnsi="Times New Roman"/>
          <w:sz w:val="18"/>
          <w:szCs w:val="18"/>
          <w:color w:val="auto"/>
        </w:rPr>
      </w:pPr>
    </w:p>
    <w:p>
      <w:pPr>
        <w:ind w:left="-444" w:right="160" w:firstLine="990"/>
        <w:spacing w:after="0" w:line="278" w:lineRule="auto"/>
        <w:tabs>
          <w:tab w:leader="none" w:pos="85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51" w:lineRule="exact"/>
        <w:rPr>
          <w:rFonts w:ascii="Times New Roman" w:cs="Times New Roman" w:eastAsia="Times New Roman" w:hAnsi="Times New Roman"/>
          <w:sz w:val="18"/>
          <w:szCs w:val="18"/>
          <w:color w:val="auto"/>
        </w:rPr>
      </w:pPr>
    </w:p>
    <w:p>
      <w:pPr>
        <w:ind w:left="-444" w:right="180" w:firstLine="444"/>
        <w:spacing w:after="0" w:line="256" w:lineRule="auto"/>
        <w:tabs>
          <w:tab w:leader="none" w:pos="255"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KPMG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ectPr>
          <w:pgSz w:w="11900" w:h="16838" w:orient="portrait"/>
          <w:cols w:equalWidth="0" w:num="1">
            <w:col w:w="10416"/>
          </w:cols>
          <w:pgMar w:left="924" w:top="268" w:right="559" w:bottom="1440" w:gutter="0" w:footer="0" w:header="0"/>
        </w:sectPr>
      </w:pPr>
    </w:p>
    <w:bookmarkStart w:id="262" w:name="page263"/>
    <w:bookmarkEnd w:id="262"/>
    <w:p>
      <w:pPr>
        <w:jc w:val="both"/>
        <w:ind w:right="320" w:firstLine="444"/>
        <w:spacing w:after="0" w:line="265" w:lineRule="auto"/>
        <w:tabs>
          <w:tab w:leader="none" w:pos="649"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Lock-Up Agreements. </w:t>
      </w:r>
      <w:r>
        <w:rPr>
          <w:rFonts w:ascii="Times New Roman" w:cs="Times New Roman" w:eastAsia="Times New Roman" w:hAnsi="Times New Roman"/>
          <w:sz w:val="18"/>
          <w:szCs w:val="18"/>
          <w:color w:val="auto"/>
        </w:rPr>
        <w:t>On or prior to the date hereof, the Company shall have furnished to the Representatives an agreement in the 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hereto from each director and officer of the Company and all of the securityholders of the Company except for those set forth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C-2</w:t>
      </w:r>
      <w:r>
        <w:rPr>
          <w:rFonts w:ascii="Times New Roman" w:cs="Times New Roman" w:eastAsia="Times New Roman" w:hAnsi="Times New Roman"/>
          <w:sz w:val="18"/>
          <w:szCs w:val="18"/>
          <w:color w:val="auto"/>
        </w:rPr>
        <w:t>, and each such agreement shall be in full force and effect on each of the First Closing Date and each Option Closing Date.</w:t>
      </w:r>
    </w:p>
    <w:p>
      <w:pPr>
        <w:spacing w:after="0" w:line="63" w:lineRule="exact"/>
        <w:rPr>
          <w:rFonts w:ascii="Times New Roman" w:cs="Times New Roman" w:eastAsia="Times New Roman" w:hAnsi="Times New Roman"/>
          <w:sz w:val="18"/>
          <w:szCs w:val="18"/>
          <w:b w:val="1"/>
          <w:bCs w:val="1"/>
          <w:color w:val="auto"/>
        </w:rPr>
      </w:pPr>
    </w:p>
    <w:p>
      <w:pPr>
        <w:ind w:right="40" w:firstLine="444"/>
        <w:spacing w:after="0" w:line="265" w:lineRule="auto"/>
        <w:tabs>
          <w:tab w:leader="none" w:pos="659"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that a Rule 462(b) Registration Statement is filed in connection with the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63" w:lineRule="exact"/>
        <w:rPr>
          <w:rFonts w:ascii="Times New Roman" w:cs="Times New Roman" w:eastAsia="Times New Roman" w:hAnsi="Times New Roman"/>
          <w:sz w:val="18"/>
          <w:szCs w:val="18"/>
          <w:b w:val="1"/>
          <w:bCs w:val="1"/>
          <w:color w:val="auto"/>
        </w:rPr>
      </w:pPr>
    </w:p>
    <w:p>
      <w:pPr>
        <w:ind w:right="380" w:firstLine="444"/>
        <w:spacing w:after="0" w:line="282" w:lineRule="auto"/>
        <w:tabs>
          <w:tab w:leader="none" w:pos="699"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Approval of Listing</w:t>
      </w:r>
      <w:r>
        <w:rPr>
          <w:rFonts w:ascii="Times New Roman" w:cs="Times New Roman" w:eastAsia="Times New Roman" w:hAnsi="Times New Roman"/>
          <w:sz w:val="18"/>
          <w:szCs w:val="18"/>
          <w:color w:val="auto"/>
        </w:rPr>
        <w:t>. At the First Closing Date, the Offered Shares shall have been approved for listing on Nasdaq, subject only to official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of issuance.</w:t>
      </w:r>
    </w:p>
    <w:p>
      <w:pPr>
        <w:spacing w:after="0" w:line="48" w:lineRule="exact"/>
        <w:rPr>
          <w:rFonts w:ascii="Times New Roman" w:cs="Times New Roman" w:eastAsia="Times New Roman" w:hAnsi="Times New Roman"/>
          <w:sz w:val="18"/>
          <w:szCs w:val="18"/>
          <w:b w:val="1"/>
          <w:bCs w:val="1"/>
          <w:color w:val="auto"/>
        </w:rPr>
      </w:pPr>
    </w:p>
    <w:p>
      <w:pPr>
        <w:ind w:firstLine="444"/>
        <w:spacing w:after="0" w:line="256" w:lineRule="auto"/>
        <w:tabs>
          <w:tab w:leader="none" w:pos="649"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CFO Certificate</w:t>
      </w:r>
      <w:r>
        <w:rPr>
          <w:rFonts w:ascii="Times New Roman" w:cs="Times New Roman" w:eastAsia="Times New Roman" w:hAnsi="Times New Roman"/>
          <w:sz w:val="18"/>
          <w:szCs w:val="18"/>
          <w:color w:val="auto"/>
        </w:rPr>
        <w:t>. On the date of this Agreement and on the First Closing Date or the applicable Option Closing Date, as the case may be,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have furnished to the Representatives a certificate, dated the respective dates of delivery thereof and addressed to the Representatives, of its chief financial officer, on behalf of the Company and not in his individual capacity, with respect to certain financial data contained in the Time of Sale Prospectus and the Prospectus, providing “management comfort” with respect to such information, in form and substance reasonably satisfactory to the Representatives.</w:t>
      </w:r>
    </w:p>
    <w:p>
      <w:pPr>
        <w:spacing w:after="0" w:line="72" w:lineRule="exact"/>
        <w:rPr>
          <w:rFonts w:ascii="Times New Roman" w:cs="Times New Roman" w:eastAsia="Times New Roman" w:hAnsi="Times New Roman"/>
          <w:sz w:val="18"/>
          <w:szCs w:val="18"/>
          <w:b w:val="1"/>
          <w:bCs w:val="1"/>
          <w:color w:val="auto"/>
        </w:rPr>
      </w:pPr>
    </w:p>
    <w:p>
      <w:pPr>
        <w:ind w:right="160" w:firstLine="444"/>
        <w:spacing w:after="0" w:line="255" w:lineRule="auto"/>
        <w:tabs>
          <w:tab w:leader="none" w:pos="748"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First Closing Date and each Option Closing Date, the Representatives and counsel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82" w:lineRule="exact"/>
        <w:rPr>
          <w:sz w:val="20"/>
          <w:szCs w:val="20"/>
          <w:color w:val="auto"/>
        </w:rPr>
      </w:pPr>
    </w:p>
    <w:p>
      <w:pPr>
        <w:ind w:right="200" w:firstLine="436"/>
        <w:spacing w:after="0" w:line="258"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69"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t>Section 7. Reimbursement of Underwriters’ Expenses</w:t>
      </w:r>
      <w:r>
        <w:rPr>
          <w:rFonts w:ascii="Times New Roman" w:cs="Times New Roman" w:eastAsia="Times New Roman" w:hAnsi="Times New Roman"/>
          <w:sz w:val="18"/>
          <w:szCs w:val="18"/>
          <w:color w:val="auto"/>
        </w:rPr>
        <w:t>. If this Agreement is terminated by the Representatives pursuant to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Offered Shares, including, but not limited to, reasonably incurred and documented fees and disbursements of counsel, printing expenses, travel expenses, postage, facsimile and telephone charges.</w:t>
      </w:r>
    </w:p>
    <w:p>
      <w:pPr>
        <w:sectPr>
          <w:pgSz w:w="11900" w:h="16838" w:orient="portrait"/>
          <w:cols w:equalWidth="0" w:num="1">
            <w:col w:w="10900"/>
          </w:cols>
          <w:pgMar w:left="480" w:top="264" w:right="519" w:bottom="1440" w:gutter="0" w:footer="0" w:header="0"/>
        </w:sectPr>
      </w:pPr>
    </w:p>
    <w:bookmarkStart w:id="263" w:name="page264"/>
    <w:bookmarkEnd w:id="263"/>
    <w:p>
      <w:pPr>
        <w:ind w:lef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8. Effectiveness of this Agreement</w:t>
      </w:r>
      <w:r>
        <w:rPr>
          <w:rFonts w:ascii="Times New Roman" w:cs="Times New Roman" w:eastAsia="Times New Roman" w:hAnsi="Times New Roman"/>
          <w:sz w:val="17"/>
          <w:szCs w:val="17"/>
          <w:color w:val="auto"/>
        </w:rPr>
        <w:t>. This Agreement shall become effective upon the execution and delivery hereof by the parties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9. Indemnification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44"/>
        <w:spacing w:after="0" w:line="249" w:lineRule="auto"/>
        <w:tabs>
          <w:tab w:leader="none" w:pos="689"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agrees to indemnify and hold harmless each Underwriter, its affiliates, directors,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any prospectus wrapper material distributed in connection with the reservation and sale of Directed Shares to the Participants,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or (B) the violation of any laws or regulations of foreign jurisdictions where Offered Shares have been offered or sold; and to reimburse each Underwriter and each such affiliate, director, officer, employee, agent and controlling person for any and all expenses (including, without limitation, the reasonably incurred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ectPr>
          <w:pgSz w:w="11900" w:h="16838" w:orient="portrait"/>
          <w:cols w:equalWidth="0" w:num="1">
            <w:col w:w="10880"/>
          </w:cols>
          <w:pgMar w:left="480" w:top="264" w:right="539" w:bottom="1440" w:gutter="0" w:footer="0" w:header="0"/>
        </w:sectPr>
      </w:pPr>
    </w:p>
    <w:bookmarkStart w:id="264" w:name="page265"/>
    <w:bookmarkEnd w:id="264"/>
    <w:p>
      <w:pPr>
        <w:ind w:left="-444" w:right="20" w:firstLine="444"/>
        <w:spacing w:after="0" w:line="249" w:lineRule="auto"/>
        <w:tabs>
          <w:tab w:leader="none" w:pos="255"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first sentence of the third paragraph, the third sentence of the fourth paragraph, the first two sentences under the first paragraph under the section titled “Commission and Expenses,” the first sentence of the first paragraph under the section titled “Stabilization,” and the first sentence of the first paragraph under the section titled “Electronic Distribution” under the caption “Underwriting” in the Preliminary Prospectus and the Prospectus. The indemnity agreement set forth in this Section 9(b) shall be in addition to any liabilities that each Underwriter may otherwise have.</w:t>
      </w:r>
    </w:p>
    <w:p>
      <w:pPr>
        <w:spacing w:after="0" w:line="87" w:lineRule="exact"/>
        <w:rPr>
          <w:rFonts w:ascii="Times New Roman" w:cs="Times New Roman" w:eastAsia="Times New Roman" w:hAnsi="Times New Roman"/>
          <w:sz w:val="18"/>
          <w:szCs w:val="18"/>
          <w:b w:val="1"/>
          <w:bCs w:val="1"/>
          <w:color w:val="auto"/>
        </w:rPr>
      </w:pPr>
    </w:p>
    <w:p>
      <w:pPr>
        <w:ind w:left="-444" w:firstLine="444"/>
        <w:spacing w:after="0" w:line="251" w:lineRule="auto"/>
        <w:tabs>
          <w:tab w:leader="none" w:pos="235"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Promptly after receipt by an indemnified party under this Section 9 of notice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w:t>
      </w:r>
    </w:p>
    <w:p>
      <w:pPr>
        <w:sectPr>
          <w:pgSz w:w="11900" w:h="16838" w:orient="portrait"/>
          <w:cols w:equalWidth="0" w:num="1">
            <w:col w:w="10456"/>
          </w:cols>
          <w:pgMar w:left="924" w:top="264" w:right="519" w:bottom="1440" w:gutter="0" w:footer="0" w:header="0"/>
        </w:sectPr>
      </w:pPr>
    </w:p>
    <w:bookmarkStart w:id="265" w:name="page266"/>
    <w:bookmarkEnd w:id="265"/>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82" w:lineRule="exact"/>
        <w:rPr>
          <w:sz w:val="20"/>
          <w:szCs w:val="20"/>
          <w:color w:val="auto"/>
        </w:rPr>
      </w:pPr>
    </w:p>
    <w:p>
      <w:pPr>
        <w:ind w:firstLine="444"/>
        <w:spacing w:after="0" w:line="251" w:lineRule="auto"/>
        <w:tabs>
          <w:tab w:leader="none" w:pos="699"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Settlements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indemnifying party under this Section 9 shall not be liable for any settlement of any proceeding effected without its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77" w:lineRule="exact"/>
        <w:rPr>
          <w:rFonts w:ascii="Times New Roman" w:cs="Times New Roman" w:eastAsia="Times New Roman" w:hAnsi="Times New Roman"/>
          <w:sz w:val="18"/>
          <w:szCs w:val="18"/>
          <w:b w:val="1"/>
          <w:bCs w:val="1"/>
          <w:color w:val="auto"/>
        </w:rPr>
      </w:pPr>
    </w:p>
    <w:p>
      <w:pPr>
        <w:ind w:right="80" w:firstLine="444"/>
        <w:spacing w:after="0" w:line="252" w:lineRule="auto"/>
        <w:tabs>
          <w:tab w:leader="none" w:pos="679"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for Directed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offer and sale of the Directed Shares, the Company agrees, promptly upon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in writing, to indemnify and hold harmless the Underwriters from and against any and all losses, liabilities, claims, damages and expenses incurred by any of them as a result of the failure of the Participants to pay for and accept delivery of Directed Shares which, by the end of the first business day following the date of this Agreement, were subject to a properly confirmed agreement to purchase. The Company agrees to indemnify and hold harmless the Underwriters and their respective affiliates, directors, officers, employees and agents, and each person, if any, who controls any of the Underwriters within the meaning of the Securities Act or the Exchange Act against any loss, claim, damage, liability or expense, as incurred, to which the Underwriters or such controlling person may become subject, which is (i) caused by any untrue statement or alleged untrue statement of a material fact contained in any material prepared by or with the consent of the Company for distribution to Participants in connection with the Directed Share Program (including any prospectus wrapper material distributed in connection with the reservation and sale of Directed Shares) or</w:t>
      </w:r>
    </w:p>
    <w:p>
      <w:pPr>
        <w:sectPr>
          <w:pgSz w:w="11900" w:h="16838" w:orient="portrait"/>
          <w:cols w:equalWidth="0" w:num="1">
            <w:col w:w="10920"/>
          </w:cols>
          <w:pgMar w:left="480" w:top="268" w:right="499" w:bottom="1440" w:gutter="0" w:footer="0" w:header="0"/>
        </w:sectPr>
      </w:pPr>
    </w:p>
    <w:bookmarkStart w:id="266" w:name="page267"/>
    <w:bookmarkEnd w:id="266"/>
    <w:p>
      <w:pPr>
        <w:ind w:right="1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caused by any omission or alleged omission to state therein a material fact required to be stated therein or necessary to make the statements therein not misleading; (ii) caused by the failure of any Participant to pay for and accept delivery of Directed Shares that such Participant agreed to purchase; or</w:t>
      </w:r>
    </w:p>
    <w:p>
      <w:pPr>
        <w:ind w:right="60" w:firstLine="7"/>
        <w:spacing w:after="0" w:line="256" w:lineRule="auto"/>
        <w:tabs>
          <w:tab w:leader="none" w:pos="3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arising out of, or in connection with the Directed Share Program. The indemnity agreement set forth in this paragraph shall be in addition to any liabilities that the Company may otherwise have.</w:t>
      </w:r>
    </w:p>
    <w:p>
      <w:pPr>
        <w:spacing w:after="0" w:line="71"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b w:val="1"/>
          <w:bCs w:val="1"/>
          <w:color w:val="auto"/>
        </w:rPr>
        <w:t>Section 10. Contribution</w:t>
      </w:r>
      <w:r>
        <w:rPr>
          <w:rFonts w:ascii="Times New Roman" w:cs="Times New Roman" w:eastAsia="Times New Roman" w:hAnsi="Times New Roman"/>
          <w:sz w:val="18"/>
          <w:szCs w:val="18"/>
          <w:color w:val="auto"/>
        </w:rPr>
        <w:t>. If the indemnification provided for in Section 9 is for any reason held to be unavailable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92" w:lineRule="exact"/>
        <w:rPr>
          <w:sz w:val="20"/>
          <w:szCs w:val="20"/>
          <w:color w:val="auto"/>
        </w:rPr>
      </w:pPr>
    </w:p>
    <w:p>
      <w:pPr>
        <w:ind w:right="1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9(c), any reasonably incurred and documented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Section 9(c) for purposes of indemnification.</w:t>
      </w:r>
    </w:p>
    <w:p>
      <w:pPr>
        <w:spacing w:after="0" w:line="184" w:lineRule="exact"/>
        <w:rPr>
          <w:sz w:val="20"/>
          <w:szCs w:val="20"/>
          <w:color w:val="auto"/>
        </w:rPr>
      </w:pPr>
    </w:p>
    <w:p>
      <w:pPr>
        <w:ind w:right="280" w:firstLine="436"/>
        <w:spacing w:after="0" w:line="263"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75"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10, each affiliate, director, officer, employee and agent of an Underwriter and</w:t>
      </w:r>
    </w:p>
    <w:p>
      <w:pPr>
        <w:sectPr>
          <w:pgSz w:w="11900" w:h="16838" w:orient="portrait"/>
          <w:cols w:equalWidth="0" w:num="1">
            <w:col w:w="10920"/>
          </w:cols>
          <w:pgMar w:left="480" w:top="268" w:right="499" w:bottom="1440" w:gutter="0" w:footer="0" w:header="0"/>
        </w:sectPr>
      </w:pPr>
    </w:p>
    <w:bookmarkStart w:id="267" w:name="page268"/>
    <w:bookmarkEnd w:id="267"/>
    <w:p>
      <w:pPr>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49"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b w:val="1"/>
          <w:bCs w:val="1"/>
          <w:color w:val="auto"/>
        </w:rPr>
        <w:t>Section 11. Default of One or More of the Several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the First Closing Date or any Option Closing Date any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88" w:lineRule="exact"/>
        <w:rPr>
          <w:sz w:val="20"/>
          <w:szCs w:val="20"/>
          <w:color w:val="auto"/>
        </w:rPr>
      </w:pPr>
    </w:p>
    <w:p>
      <w:pPr>
        <w:ind w:right="320" w:firstLine="436"/>
        <w:spacing w:after="0" w:line="265"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63" w:lineRule="exact"/>
        <w:rPr>
          <w:sz w:val="20"/>
          <w:szCs w:val="20"/>
          <w:color w:val="auto"/>
        </w:rPr>
      </w:pPr>
    </w:p>
    <w:p>
      <w:pPr>
        <w:ind w:right="20" w:firstLine="982"/>
        <w:spacing w:after="0" w:line="267" w:lineRule="auto"/>
        <w:rPr>
          <w:sz w:val="20"/>
          <w:szCs w:val="20"/>
          <w:color w:val="auto"/>
        </w:rPr>
      </w:pPr>
      <w:r>
        <w:rPr>
          <w:rFonts w:ascii="Times New Roman" w:cs="Times New Roman" w:eastAsia="Times New Roman" w:hAnsi="Times New Roman"/>
          <w:sz w:val="17"/>
          <w:szCs w:val="17"/>
          <w:b w:val="1"/>
          <w:bCs w:val="1"/>
          <w:color w:val="auto"/>
        </w:rPr>
        <w:t>Section 12. Termination of this 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the purchase of the Firm Shares by the Underwriters on the First Closing Date,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New York Stock Exchange shall have been suspended or limited, or minimum or maximum prices shall have been generally established on any of such stock exchanges; (ii) a general banking moratorium shall have been declared by any of federal, New York or Massachusetts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w:t>
      </w:r>
    </w:p>
    <w:p>
      <w:pPr>
        <w:sectPr>
          <w:pgSz w:w="11900" w:h="16838" w:orient="portrait"/>
          <w:cols w:equalWidth="0" w:num="1">
            <w:col w:w="10900"/>
          </w:cols>
          <w:pgMar w:left="480" w:top="268" w:right="519" w:bottom="1440" w:gutter="0" w:footer="0" w:header="0"/>
        </w:sectPr>
      </w:pPr>
    </w:p>
    <w:bookmarkStart w:id="268" w:name="page269"/>
    <w:bookmarkEnd w:id="26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provisions of Section 9 and Section 10 shall at all times be effective and shall survive such termination.</w:t>
      </w:r>
    </w:p>
    <w:p>
      <w:pPr>
        <w:spacing w:after="0" w:line="69"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13. No Advisory or Fiduciary Relationship. </w:t>
      </w:r>
      <w:r>
        <w:rPr>
          <w:rFonts w:ascii="Times New Roman" w:cs="Times New Roman" w:eastAsia="Times New Roman" w:hAnsi="Times New Roman"/>
          <w:sz w:val="18"/>
          <w:szCs w:val="18"/>
          <w:color w:val="auto"/>
        </w:rPr>
        <w:t>The Company acknowledges and agrees that (a) the purchase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80" w:lineRule="exact"/>
        <w:rPr>
          <w:sz w:val="20"/>
          <w:szCs w:val="20"/>
          <w:color w:val="auto"/>
        </w:rPr>
      </w:pPr>
    </w:p>
    <w:p>
      <w:pPr>
        <w:ind w:right="8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Section 14. Representations and Indemnities to Survive Delivery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indemnities, agreements,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73" w:lineRule="exact"/>
        <w:rPr>
          <w:sz w:val="20"/>
          <w:szCs w:val="20"/>
          <w:color w:val="auto"/>
        </w:rPr>
      </w:pPr>
    </w:p>
    <w:p>
      <w:pPr>
        <w:ind w:right="2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Section 15. Notices</w:t>
      </w:r>
      <w:r>
        <w:rPr>
          <w:rFonts w:ascii="Times New Roman" w:cs="Times New Roman" w:eastAsia="Times New Roman" w:hAnsi="Times New Roman"/>
          <w:sz w:val="18"/>
          <w:szCs w:val="18"/>
          <w:color w:val="auto"/>
        </w:rPr>
        <w:t>. All communications hereunder shall be in writing and shall be mailed, hand delivered or telecopied and confirmed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as follows:</w:t>
      </w:r>
    </w:p>
    <w:p>
      <w:pPr>
        <w:sectPr>
          <w:pgSz w:w="11900" w:h="16838" w:orient="portrait"/>
          <w:cols w:equalWidth="0" w:num="1">
            <w:col w:w="10860"/>
          </w:cols>
          <w:pgMar w:left="480" w:top="268" w:right="559" w:bottom="1440" w:gutter="0" w:footer="0" w:header="0"/>
        </w:sectPr>
      </w:pP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If to the Representatives: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Jefferies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ectPr>
          <w:pgSz w:w="11900" w:h="16838" w:orient="portrait"/>
          <w:cols w:equalWidth="0" w:num="2">
            <w:col w:w="2240" w:space="500"/>
            <w:col w:w="8120"/>
          </w:cols>
          <w:pgMar w:left="480" w:top="268" w:right="559" w:bottom="1440" w:gutter="0" w:footer="0" w:header="0"/>
          <w:type w:val="continuous"/>
        </w:sectPr>
      </w:pPr>
    </w:p>
    <w:p>
      <w:pPr>
        <w:spacing w:after="0" w:line="10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55 East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Street</w:t>
      </w:r>
    </w:p>
    <w:p>
      <w:pPr>
        <w:spacing w:after="0" w:line="2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Facsimile: (212) 857-3101</w:t>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Attention: Kenneth A. Masotti, Esq.</w:t>
      </w:r>
    </w:p>
    <w:p>
      <w:pPr>
        <w:sectPr>
          <w:pgSz w:w="11900" w:h="16838" w:orient="portrait"/>
          <w:cols w:equalWidth="0" w:num="1">
            <w:col w:w="10860"/>
          </w:cols>
          <w:pgMar w:left="480" w:top="268" w:right="559" w:bottom="1440" w:gutter="0" w:footer="0" w:header="0"/>
          <w:type w:val="continuous"/>
        </w:sectPr>
      </w:pPr>
    </w:p>
    <w:bookmarkStart w:id="269" w:name="page270"/>
    <w:bookmarkEnd w:id="269"/>
    <w:p>
      <w:pPr>
        <w:ind w:left="44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8"/>
          <w:szCs w:val="18"/>
          <w:color w:val="auto"/>
        </w:rPr>
        <w:t>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-212725</wp:posOffset>
            </wp:positionV>
            <wp:extent cx="715073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Hudson Yards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10011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479-6275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Divakar Gupta</w:t>
      </w:r>
    </w:p>
    <w:p>
      <w:pPr>
        <w:spacing w:after="0" w:line="95" w:lineRule="exact"/>
        <w:rPr>
          <w:sz w:val="20"/>
          <w:szCs w:val="20"/>
          <w:color w:val="auto"/>
        </w:rPr>
      </w:pPr>
    </w:p>
    <w:p>
      <w:pPr>
        <w:sectPr>
          <w:pgSz w:w="11900" w:h="16838" w:orient="portrait"/>
          <w:cols w:equalWidth="0" w:num="2">
            <w:col w:w="2020" w:space="720"/>
            <w:col w:w="8160"/>
          </w:cols>
          <w:pgMar w:left="480" w:top="268" w:right="51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 Arsenal Way, Suite 200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Jolie M. Siegel, Chief Legal Officer</w:t>
      </w:r>
    </w:p>
    <w:p>
      <w:pPr>
        <w:spacing w:after="0" w:line="107" w:lineRule="exact"/>
        <w:rPr>
          <w:sz w:val="20"/>
          <w:szCs w:val="20"/>
          <w:color w:val="auto"/>
        </w:rPr>
      </w:pPr>
    </w:p>
    <w:p>
      <w:pPr>
        <w:sectPr>
          <w:pgSz w:w="11900" w:h="16838" w:orient="portrait"/>
          <w:cols w:equalWidth="0" w:num="2">
            <w:col w:w="2020" w:space="720"/>
            <w:col w:w="8160"/>
          </w:cols>
          <w:pgMar w:left="480" w:top="268" w:right="5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(617) 523-1231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Lawrence Wittenberg and Edwin O’Connor</w:t>
      </w:r>
    </w:p>
    <w:p>
      <w:pPr>
        <w:spacing w:after="0" w:line="200" w:lineRule="exact"/>
        <w:rPr>
          <w:sz w:val="20"/>
          <w:szCs w:val="20"/>
          <w:color w:val="auto"/>
        </w:rPr>
      </w:pPr>
    </w:p>
    <w:p>
      <w:pPr>
        <w:sectPr>
          <w:pgSz w:w="11900" w:h="16838" w:orient="portrait"/>
          <w:cols w:equalWidth="0" w:num="2">
            <w:col w:w="2020" w:space="720"/>
            <w:col w:w="8160"/>
          </w:cols>
          <w:pgMar w:left="480" w:top="268" w:right="51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110" w:lineRule="exact"/>
        <w:rPr>
          <w:sz w:val="20"/>
          <w:szCs w:val="20"/>
          <w:color w:val="auto"/>
        </w:rPr>
      </w:pPr>
    </w:p>
    <w:p>
      <w:pPr>
        <w:ind w:right="1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Section 16. Successors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inure to the benefit of and be binding upon the parties hereto, including any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shall not include any purchaser of the Offered Shares as such from any of the Underwriters merely by reason of such purchase.</w:t>
      </w:r>
    </w:p>
    <w:p>
      <w:pPr>
        <w:spacing w:after="0" w:line="73" w:lineRule="exact"/>
        <w:rPr>
          <w:sz w:val="20"/>
          <w:szCs w:val="20"/>
          <w:color w:val="auto"/>
        </w:rPr>
      </w:pPr>
    </w:p>
    <w:p>
      <w:pPr>
        <w:jc w:val="both"/>
        <w:ind w:right="20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Section 17. Partial Unenforceability</w:t>
      </w:r>
      <w:r>
        <w:rPr>
          <w:rFonts w:ascii="Times New Roman" w:cs="Times New Roman" w:eastAsia="Times New Roman" w:hAnsi="Times New Roman"/>
          <w:sz w:val="18"/>
          <w:szCs w:val="18"/>
          <w:color w:val="auto"/>
        </w:rPr>
        <w:t>. The invalidity or unenforceability of any section, paragraph or provision of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18. Recognition of the U.S. Special Resolution Regimes.</w:t>
      </w:r>
    </w:p>
    <w:p>
      <w:pPr>
        <w:spacing w:after="0" w:line="118" w:lineRule="exact"/>
        <w:rPr>
          <w:sz w:val="20"/>
          <w:szCs w:val="20"/>
          <w:color w:val="auto"/>
        </w:rPr>
      </w:pPr>
    </w:p>
    <w:p>
      <w:pPr>
        <w:ind w:right="60" w:firstLine="444"/>
        <w:spacing w:after="0" w:line="258" w:lineRule="auto"/>
        <w:tabs>
          <w:tab w:leader="none" w:pos="67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2" w:lineRule="exact"/>
        <w:rPr>
          <w:rFonts w:ascii="Times New Roman" w:cs="Times New Roman" w:eastAsia="Times New Roman" w:hAnsi="Times New Roman"/>
          <w:sz w:val="18"/>
          <w:szCs w:val="18"/>
          <w:color w:val="auto"/>
        </w:rPr>
      </w:pPr>
    </w:p>
    <w:p>
      <w:pPr>
        <w:ind w:right="20" w:firstLine="444"/>
        <w:spacing w:after="0" w:line="258" w:lineRule="auto"/>
        <w:tabs>
          <w:tab w:leader="none" w:pos="68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Wall Street Reform and Consumer Protection Act and the regulations promulgated thereunder.</w:t>
      </w:r>
    </w:p>
    <w:p>
      <w:pPr>
        <w:sectPr>
          <w:pgSz w:w="11900" w:h="16838" w:orient="portrait"/>
          <w:cols w:equalWidth="0" w:num="1">
            <w:col w:w="10900"/>
          </w:cols>
          <w:pgMar w:left="480" w:top="268" w:right="519" w:bottom="1440" w:gutter="0" w:footer="0" w:header="0"/>
          <w:type w:val="continuous"/>
        </w:sectPr>
      </w:pPr>
    </w:p>
    <w:bookmarkStart w:id="270" w:name="page271"/>
    <w:bookmarkEnd w:id="270"/>
    <w:p>
      <w:pPr>
        <w:ind w:right="20" w:firstLine="982"/>
        <w:spacing w:after="0" w:line="26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19. Governing Law Provisions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governed by and construed in accordance with the internal laws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7"/>
          <w:szCs w:val="17"/>
          <w:b w:val="1"/>
          <w:bCs w:val="1"/>
          <w:color w:val="auto"/>
        </w:rPr>
        <w:t>Related Proceedings</w:t>
      </w:r>
      <w:r>
        <w:rPr>
          <w:rFonts w:ascii="Times New Roman" w:cs="Times New Roman" w:eastAsia="Times New Roman" w:hAnsi="Times New Roman"/>
          <w:sz w:val="17"/>
          <w:szCs w:val="17"/>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7"/>
          <w:szCs w:val="17"/>
          <w:b w:val="1"/>
          <w:bCs w:val="1"/>
          <w:color w:val="auto"/>
        </w:rPr>
        <w:t>Specified Courts</w:t>
      </w:r>
      <w:r>
        <w:rPr>
          <w:rFonts w:ascii="Times New Roman" w:cs="Times New Roman" w:eastAsia="Times New Roman" w:hAnsi="Times New Roman"/>
          <w:sz w:val="17"/>
          <w:szCs w:val="17"/>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7"/>
          <w:szCs w:val="17"/>
          <w:b w:val="1"/>
          <w:bCs w:val="1"/>
          <w:color w:val="auto"/>
        </w:rPr>
        <w:t>Related Judgment</w:t>
      </w:r>
      <w:r>
        <w:rPr>
          <w:rFonts w:ascii="Times New Roman" w:cs="Times New Roman" w:eastAsia="Times New Roman" w:hAnsi="Times New Roman"/>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5"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8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20. General Provisions. </w:t>
      </w:r>
      <w:r>
        <w:rPr>
          <w:rFonts w:ascii="Times New Roman" w:cs="Times New Roman" w:eastAsia="Times New Roman" w:hAnsi="Times New Roman"/>
          <w:sz w:val="18"/>
          <w:szCs w:val="18"/>
          <w:color w:val="auto"/>
        </w:rPr>
        <w:t>This Agreement constitutes the entire agreement of the parties to this Agreement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2" w:lineRule="exact"/>
        <w:rPr>
          <w:sz w:val="20"/>
          <w:szCs w:val="20"/>
          <w:color w:val="auto"/>
        </w:rPr>
      </w:pPr>
    </w:p>
    <w:p>
      <w:pPr>
        <w:ind w:right="60" w:firstLine="436"/>
        <w:spacing w:after="0" w:line="254"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ectPr>
          <w:pgSz w:w="11900" w:h="16838" w:orient="portrait"/>
          <w:cols w:equalWidth="0" w:num="1">
            <w:col w:w="10920"/>
          </w:cols>
          <w:pgMar w:left="480" w:top="264" w:right="499" w:bottom="1440" w:gutter="0" w:footer="0" w:header="0"/>
        </w:sectPr>
      </w:pPr>
    </w:p>
    <w:bookmarkStart w:id="271" w:name="page272"/>
    <w:bookmarkEnd w:id="271"/>
    <w:p>
      <w:pPr>
        <w:ind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 Marc Cohen</w:t>
      </w:r>
    </w:p>
    <w:p>
      <w:pPr>
        <w:spacing w:after="0" w:line="2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2"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Representatives in New York, New York as of the date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EVERCORE GROUP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Representatives of the several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Underwriters named in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EVERCORE GROUP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620"/>
          </w:cols>
          <w:pgMar w:left="480" w:top="268" w:right="79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37"/>
        </w:trPr>
        <w:tc>
          <w:tcPr>
            <w:tcW w:w="99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r>
      <w:tr>
        <w:trPr>
          <w:trHeight w:val="242"/>
        </w:trPr>
        <w:tc>
          <w:tcPr>
            <w:tcW w:w="9940" w:type="dxa"/>
            <w:vAlign w:val="bottom"/>
          </w:tcPr>
          <w:p>
            <w:pPr>
              <w:spacing w:after="0"/>
              <w:rPr>
                <w:sz w:val="21"/>
                <w:szCs w:val="21"/>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7"/>
        </w:trPr>
        <w:tc>
          <w:tcPr>
            <w:tcW w:w="9940" w:type="dxa"/>
            <w:vAlign w:val="bottom"/>
          </w:tcPr>
          <w:p>
            <w:pPr>
              <w:spacing w:after="0"/>
              <w:rPr>
                <w:sz w:val="12"/>
                <w:szCs w:val="12"/>
                <w:color w:val="auto"/>
              </w:rPr>
            </w:pPr>
          </w:p>
        </w:tc>
        <w:tc>
          <w:tcPr>
            <w:tcW w:w="10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Firm Shares</w:t>
            </w:r>
          </w:p>
        </w:tc>
      </w:tr>
      <w:tr>
        <w:trPr>
          <w:trHeight w:val="185"/>
        </w:trPr>
        <w:tc>
          <w:tcPr>
            <w:tcW w:w="9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 be Purchased</w:t>
            </w:r>
          </w:p>
        </w:tc>
      </w:tr>
      <w:tr>
        <w:trPr>
          <w:trHeight w:val="214"/>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8"/>
                <w:szCs w:val="18"/>
                <w:color w:val="auto"/>
              </w:rPr>
            </w:pPr>
          </w:p>
        </w:tc>
      </w:tr>
      <w:tr>
        <w:trPr>
          <w:trHeight w:val="214"/>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8"/>
                <w:szCs w:val="18"/>
                <w:color w:val="auto"/>
              </w:rPr>
            </w:pPr>
          </w:p>
        </w:tc>
      </w:tr>
      <w:tr>
        <w:trPr>
          <w:trHeight w:val="214"/>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8"/>
                <w:szCs w:val="18"/>
                <w:color w:val="auto"/>
              </w:rPr>
            </w:pPr>
          </w:p>
        </w:tc>
      </w:tr>
      <w:tr>
        <w:trPr>
          <w:trHeight w:val="221"/>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9"/>
                <w:szCs w:val="19"/>
                <w:color w:val="auto"/>
              </w:rPr>
            </w:pPr>
          </w:p>
        </w:tc>
      </w:tr>
      <w:tr>
        <w:trPr>
          <w:trHeight w:val="214"/>
        </w:trPr>
        <w:tc>
          <w:tcPr>
            <w:tcW w:w="9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 w:type="dxa"/>
            <w:vAlign w:val="bottom"/>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20"/>
          </w:cols>
          <w:pgMar w:left="480" w:top="264" w:right="499"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bookmarkStart w:id="273" w:name="page274"/>
    <w:bookmarkEnd w:id="273"/>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w w:val="98"/>
              </w:rPr>
              <w:t>Schedule B</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Free Writing Prospectuses Included in the Time of Sale Prospectus</w:t>
            </w: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8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8"/>
              </w:rPr>
              <w:t>[to be added]</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8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Pricing Information Included in the Time of Sale Prospectus</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vMerge w:val="restart"/>
          </w:tcPr>
          <w:p>
            <w:pPr>
              <w:spacing w:after="0"/>
              <w:rPr>
                <w:sz w:val="22"/>
                <w:szCs w:val="22"/>
                <w:color w:val="auto"/>
              </w:rPr>
            </w:pPr>
          </w:p>
        </w:tc>
        <w:tc>
          <w:tcPr>
            <w:tcW w:w="2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per share to the public:</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Number of shares being sold by the Company: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potentially issuable pursuant to the option to purchase additional shares: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80" w:top="264" w:right="499"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C</w:t>
      </w:r>
    </w:p>
    <w:p>
      <w:pPr>
        <w:spacing w:after="0" w:line="2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u w:val="single" w:color="auto"/>
          <w:color w:val="auto"/>
        </w:rPr>
        <w:t>Permitted Section 5(d) Communications</w:t>
      </w:r>
    </w:p>
    <w:p>
      <w:pPr>
        <w:sectPr>
          <w:pgSz w:w="11900" w:h="16838" w:orient="portrait"/>
          <w:cols w:equalWidth="0" w:num="1">
            <w:col w:w="9960"/>
          </w:cols>
          <w:pgMar w:left="1440" w:top="264" w:right="49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00" w:lineRule="exact"/>
        <w:rPr>
          <w:sz w:val="20"/>
          <w:szCs w:val="20"/>
          <w:color w:val="auto"/>
        </w:rPr>
      </w:pPr>
    </w:p>
    <w:p>
      <w:pPr>
        <w:spacing w:after="0" w:line="23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Company Counsel</w:t>
      </w:r>
    </w:p>
    <w:p>
      <w:pPr>
        <w:spacing w:after="0" w:line="17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960"/>
          </w:cols>
          <w:pgMar w:left="1440" w:top="264" w:right="49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00" w:lineRule="exact"/>
        <w:rPr>
          <w:sz w:val="20"/>
          <w:szCs w:val="20"/>
          <w:color w:val="auto"/>
        </w:rPr>
      </w:pPr>
    </w:p>
    <w:p>
      <w:pPr>
        <w:spacing w:after="0" w:line="23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Knowles Strategies, LLC</w:t>
      </w:r>
    </w:p>
    <w:p>
      <w:pPr>
        <w:spacing w:after="0" w:line="17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960"/>
          </w:cols>
          <w:pgMar w:left="1440" w:top="264" w:right="49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C-1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Evercore Group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East 52nd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19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C4 Therapeutics, Inc.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11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The undersigned is an owner of shares of common stock of the Company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or of securities convertible into or exchangeable or exercisable for Shares. The Company proposes to conduct a public offering of Shares (the “</w:t>
      </w:r>
      <w:r>
        <w:rPr>
          <w:rFonts w:ascii="Times New Roman" w:cs="Times New Roman" w:eastAsia="Times New Roman" w:hAnsi="Times New Roman"/>
          <w:sz w:val="17"/>
          <w:szCs w:val="17"/>
          <w:b w:val="1"/>
          <w:bCs w:val="1"/>
          <w:color w:val="auto"/>
        </w:rPr>
        <w:t>Offering</w:t>
      </w:r>
      <w:r>
        <w:rPr>
          <w:rFonts w:ascii="Times New Roman" w:cs="Times New Roman" w:eastAsia="Times New Roman" w:hAnsi="Times New Roman"/>
          <w:sz w:val="17"/>
          <w:szCs w:val="17"/>
          <w:color w:val="auto"/>
        </w:rPr>
        <w:t>”) for which Jefferies LLC and Evercore Group L.L.C. (together, the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will act as the Representatives of the underwriters (collectively,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and other underwriting arrangements with the Company with respect to the Offering.</w:t>
      </w:r>
    </w:p>
    <w:p>
      <w:pPr>
        <w:spacing w:after="0" w:line="173"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18"/>
          <w:szCs w:val="18"/>
          <w:color w:val="auto"/>
        </w:rPr>
        <w:t>Annex A sets forth definitions for capitalized terms used in this letter agreement that are not defined in the body of this letter agreement. Those definitions are a part of this letter agreement.</w:t>
      </w:r>
    </w:p>
    <w:p>
      <w:pPr>
        <w:spacing w:after="0" w:line="162" w:lineRule="exact"/>
        <w:rPr>
          <w:sz w:val="20"/>
          <w:szCs w:val="20"/>
          <w:color w:val="auto"/>
        </w:rPr>
      </w:pPr>
    </w:p>
    <w:p>
      <w:pPr>
        <w:jc w:val="both"/>
        <w:ind w:right="200" w:firstLine="436"/>
        <w:spacing w:after="0" w:line="263" w:lineRule="auto"/>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the Representatives, which may withhold their consent in their sole discretion:</w:t>
      </w:r>
    </w:p>
    <w:p>
      <w:pPr>
        <w:spacing w:after="0" w:line="82" w:lineRule="exact"/>
        <w:rPr>
          <w:sz w:val="20"/>
          <w:szCs w:val="20"/>
          <w:color w:val="auto"/>
        </w:rPr>
      </w:pPr>
    </w:p>
    <w:p>
      <w:pPr>
        <w:ind w:left="980" w:right="40" w:hanging="438"/>
        <w:spacing w:after="0" w:line="278" w:lineRule="auto"/>
        <w:tabs>
          <w:tab w:leader="none" w:pos="9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w:t>
      </w:r>
    </w:p>
    <w:p>
      <w:pPr>
        <w:spacing w:after="0" w:line="127" w:lineRule="exact"/>
        <w:rPr>
          <w:rFonts w:ascii="Times New Roman" w:cs="Times New Roman" w:eastAsia="Times New Roman" w:hAnsi="Times New Roman"/>
          <w:sz w:val="18"/>
          <w:szCs w:val="18"/>
          <w:color w:val="auto"/>
        </w:rPr>
      </w:pPr>
    </w:p>
    <w:p>
      <w:pPr>
        <w:ind w:left="980" w:right="160" w:hanging="438"/>
        <w:spacing w:after="0" w:line="263" w:lineRule="auto"/>
        <w:tabs>
          <w:tab w:leader="none" w:pos="9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81"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ectPr>
          <w:pgSz w:w="11900" w:h="16838" w:orient="portrait"/>
          <w:cols w:equalWidth="0" w:num="1">
            <w:col w:w="10920"/>
          </w:cols>
          <w:pgMar w:left="480" w:top="264" w:right="499" w:bottom="1440" w:gutter="0" w:footer="0" w:header="0"/>
        </w:sectPr>
      </w:pPr>
    </w:p>
    <w:bookmarkStart w:id="278" w:name="page279"/>
    <w:bookmarkEnd w:id="278"/>
    <w:p>
      <w:pPr>
        <w:ind w:right="20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foregoing will not apply to the registration of the offer and sale of the Shares, and the sale of the Shares to the Underwriters, in each case as contemplated by the Underwriting Agreement. In addition, the foregoing restrictions shall not apply to:</w:t>
      </w:r>
    </w:p>
    <w:p>
      <w:pPr>
        <w:spacing w:after="0" w:line="55" w:lineRule="exact"/>
        <w:rPr>
          <w:sz w:val="20"/>
          <w:szCs w:val="20"/>
          <w:color w:val="auto"/>
        </w:rPr>
      </w:pPr>
    </w:p>
    <w:p>
      <w:pPr>
        <w:ind w:left="660" w:hanging="216"/>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or Related Securities acquired in the Offering or in open market transactions after the completion of the</w:t>
      </w:r>
    </w:p>
    <w:p>
      <w:pPr>
        <w:spacing w:after="0" w:line="25" w:lineRule="exact"/>
        <w:rPr>
          <w:rFonts w:ascii="Times New Roman" w:cs="Times New Roman" w:eastAsia="Times New Roman" w:hAnsi="Times New Roman"/>
          <w:sz w:val="18"/>
          <w:szCs w:val="18"/>
          <w:color w:val="auto"/>
        </w:rPr>
      </w:pPr>
    </w:p>
    <w:p>
      <w:pPr>
        <w:ind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undersigned is an officer or director of the Company, the foregoing exception shall not apply to any Shares or Related Securities purchased or otherwise received pursuant to a directed share program in the Offering;</w:t>
      </w:r>
    </w:p>
    <w:p>
      <w:pPr>
        <w:spacing w:after="0" w:line="74" w:lineRule="exact"/>
        <w:rPr>
          <w:rFonts w:ascii="Times New Roman" w:cs="Times New Roman" w:eastAsia="Times New Roman" w:hAnsi="Times New Roman"/>
          <w:sz w:val="18"/>
          <w:szCs w:val="18"/>
          <w:color w:val="auto"/>
        </w:rPr>
      </w:pPr>
    </w:p>
    <w:p>
      <w:pPr>
        <w:jc w:val="both"/>
        <w:ind w:right="80" w:firstLine="444"/>
        <w:spacing w:after="0" w:line="263" w:lineRule="auto"/>
        <w:tabs>
          <w:tab w:leader="none" w:pos="69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or Related Securities by gift, including, without limitation, to a charitable organization, or by will or intestate succession to the legal representative, heir, beneficiary or any Family Member of the undersigned, or to a trust whose beneficiaries consist exclusively of one or more of the undersigned and/or a Family Member;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transfer is not for consideration;</w:t>
      </w:r>
    </w:p>
    <w:p>
      <w:pPr>
        <w:spacing w:after="0" w:line="68" w:lineRule="exact"/>
        <w:rPr>
          <w:rFonts w:ascii="Times New Roman" w:cs="Times New Roman" w:eastAsia="Times New Roman" w:hAnsi="Times New Roman"/>
          <w:sz w:val="18"/>
          <w:szCs w:val="18"/>
          <w:color w:val="auto"/>
        </w:rPr>
      </w:pPr>
    </w:p>
    <w:p>
      <w:pPr>
        <w:ind w:right="220" w:firstLine="444"/>
        <w:spacing w:after="0" w:line="263" w:lineRule="auto"/>
        <w:tabs>
          <w:tab w:leader="none" w:pos="7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or Related Securities to a Family Member, a trust formed for the direct or indirect benefit of the undersigned or an Immediate Family Member or any corporation, partnership, limited liability company or other entity all of the beneficial ownership interests of which, in each case, are held by the undersigned or any Family Member;</w:t>
      </w:r>
    </w:p>
    <w:p>
      <w:pPr>
        <w:spacing w:after="0" w:line="68" w:lineRule="exact"/>
        <w:rPr>
          <w:rFonts w:ascii="Times New Roman" w:cs="Times New Roman" w:eastAsia="Times New Roman" w:hAnsi="Times New Roman"/>
          <w:sz w:val="18"/>
          <w:szCs w:val="18"/>
          <w:color w:val="auto"/>
        </w:rPr>
      </w:pPr>
    </w:p>
    <w:p>
      <w:pPr>
        <w:ind w:firstLine="444"/>
        <w:spacing w:after="0" w:line="278" w:lineRule="auto"/>
        <w:tabs>
          <w:tab w:leader="none" w:pos="73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or Related Securities by operation of law pursuant to a qualified domestic order or other court order or in connection with a divorce settlement;</w:t>
      </w:r>
    </w:p>
    <w:p>
      <w:pPr>
        <w:spacing w:after="0" w:line="55" w:lineRule="exact"/>
        <w:rPr>
          <w:rFonts w:ascii="Times New Roman" w:cs="Times New Roman" w:eastAsia="Times New Roman" w:hAnsi="Times New Roman"/>
          <w:sz w:val="18"/>
          <w:szCs w:val="18"/>
          <w:color w:val="auto"/>
        </w:rPr>
      </w:pPr>
    </w:p>
    <w:p>
      <w:pPr>
        <w:ind w:right="20" w:firstLine="444"/>
        <w:spacing w:after="0" w:line="253" w:lineRule="auto"/>
        <w:tabs>
          <w:tab w:leader="none" w:pos="68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distributions or transfers of Shares or Related Securities to (x) another corporation, partnership, limited liability company, trust or other business entity that is a direct or indirect affiliate (as defined in Rule 405 promulgated under the Securities Act) of the undersigned, (y)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(z) limited partners, general partners, members, managers, managing members, stockholders or other equity holders of the undersigned or of the entities described in the preceding clauses (x) and (y);</w:t>
      </w:r>
    </w:p>
    <w:p>
      <w:pPr>
        <w:spacing w:after="0" w:line="77" w:lineRule="exact"/>
        <w:rPr>
          <w:rFonts w:ascii="Times New Roman" w:cs="Times New Roman" w:eastAsia="Times New Roman" w:hAnsi="Times New Roman"/>
          <w:sz w:val="18"/>
          <w:szCs w:val="18"/>
          <w:color w:val="auto"/>
        </w:rPr>
      </w:pPr>
    </w:p>
    <w:p>
      <w:pPr>
        <w:ind w:right="320" w:firstLine="444"/>
        <w:spacing w:after="0" w:line="258" w:lineRule="auto"/>
        <w:tabs>
          <w:tab w:leader="none" w:pos="73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as forfeitures (x) to satisfy tax withholding and remittance obligations of the undersigned in connection with the vesting or exercise of equity awards granted pursuant to the Company’s equity incentive plans or (y) pursuant to a net exercise or cashless exercise by the stockholder of outstanding equity awards pursuant to the Company’s equity incentive plans;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case, any such equity incentive plans exist as of the date of the Underwriting Agreement and are described in the Prospectus;</w:t>
      </w:r>
    </w:p>
    <w:p>
      <w:pPr>
        <w:spacing w:after="0" w:line="72" w:lineRule="exact"/>
        <w:rPr>
          <w:rFonts w:ascii="Times New Roman" w:cs="Times New Roman" w:eastAsia="Times New Roman" w:hAnsi="Times New Roman"/>
          <w:sz w:val="18"/>
          <w:szCs w:val="18"/>
          <w:color w:val="auto"/>
        </w:rPr>
      </w:pPr>
    </w:p>
    <w:p>
      <w:pPr>
        <w:ind w:right="40" w:firstLine="444"/>
        <w:spacing w:after="0" w:line="254" w:lineRule="auto"/>
        <w:tabs>
          <w:tab w:leader="none" w:pos="78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or Related Securities pursuant to a change of control of the Company (meaning the consummation of any bona fide third party tender offer, merger, consolidation or other similar transaction made to all holders of Shares the result of which is that any “person” (as defined in Section 13(d)(3) of the Exchange Act), or group of persons, becomes the beneficial owner (as defined in Rules 13d-3 and 13d-5 of the Exchange Act) of more than 50% of the voting capital stock of the Company) after the Offering that has been approved by the independent members of the Company’s board of directors, provided, that in the event that such change of control is not completed, the Shares or Related Securities owned by the undersigned shall remain subject to the restrictions herein; or</w:t>
      </w:r>
    </w:p>
    <w:p>
      <w:pPr>
        <w:spacing w:after="0" w:line="76" w:lineRule="exact"/>
        <w:rPr>
          <w:rFonts w:ascii="Times New Roman" w:cs="Times New Roman" w:eastAsia="Times New Roman" w:hAnsi="Times New Roman"/>
          <w:sz w:val="18"/>
          <w:szCs w:val="18"/>
          <w:color w:val="auto"/>
        </w:rPr>
      </w:pPr>
    </w:p>
    <w:p>
      <w:pPr>
        <w:ind w:right="80" w:firstLine="444"/>
        <w:spacing w:after="0" w:line="285" w:lineRule="auto"/>
        <w:tabs>
          <w:tab w:leader="none" w:pos="837"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Shares or Related Securities arising as a result of the termination of employment of the undersigned to the Company pursuant to agreements that are in effect as of the date of the Underwriting Agreement for the Offering and disclosed in the Prospectus, under which the Company has the option to repurchase such Shares or Related Securities or a right of first refusal with respect to transfers of such Shares or Related Securities.</w:t>
      </w:r>
    </w:p>
    <w:p>
      <w:pPr>
        <w:sectPr>
          <w:pgSz w:w="11900" w:h="16838" w:orient="portrait"/>
          <w:cols w:equalWidth="0" w:num="1">
            <w:col w:w="10920"/>
          </w:cols>
          <w:pgMar w:left="480" w:top="268" w:right="499" w:bottom="1440" w:gutter="0" w:footer="0" w:header="0"/>
        </w:sectPr>
      </w:pPr>
    </w:p>
    <w:bookmarkStart w:id="279" w:name="page280"/>
    <w:bookmarkEnd w:id="2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the foregoing, it shall be a condition to any such transfer or distribution provided in:</w:t>
      </w:r>
    </w:p>
    <w:p>
      <w:pPr>
        <w:spacing w:after="0" w:line="127" w:lineRule="exact"/>
        <w:rPr>
          <w:sz w:val="20"/>
          <w:szCs w:val="20"/>
          <w:color w:val="auto"/>
        </w:rPr>
      </w:pPr>
    </w:p>
    <w:p>
      <w:pPr>
        <w:ind w:left="980" w:hanging="438"/>
        <w:spacing w:after="0" w:line="255" w:lineRule="auto"/>
        <w:tabs>
          <w:tab w:leader="none" w:pos="9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(ii) through (vi), each transferee or distributee executes and delivers to the Representatives an agreement in form and substance satisfactory to the Representatives stating that such transferee or distributee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or distributee had been an original signatory hereto),</w:t>
      </w:r>
    </w:p>
    <w:p>
      <w:pPr>
        <w:spacing w:after="0" w:line="90" w:lineRule="exact"/>
        <w:rPr>
          <w:rFonts w:ascii="Times New Roman" w:cs="Times New Roman" w:eastAsia="Times New Roman" w:hAnsi="Times New Roman"/>
          <w:sz w:val="18"/>
          <w:szCs w:val="18"/>
          <w:color w:val="auto"/>
        </w:rPr>
      </w:pPr>
    </w:p>
    <w:p>
      <w:pPr>
        <w:ind w:left="980" w:right="40" w:hanging="438"/>
        <w:spacing w:after="0" w:line="251" w:lineRule="auto"/>
        <w:tabs>
          <w:tab w:leader="none" w:pos="9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(i) through (iii), (v), (vi), and (viii), 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 (other than, in connection with a repurchase of Shares or Related Securities by the Company pursuant to clause (viii), a Form 4 or Form 5 required to be filed under the Exchange Act if the undersigned is subject to Section 16 reporting with respect to the Company under the Exchange Act, provided, however, that if such Form 4 or Form 5 is filed during the Lock-up Period, such Form 4 or Form 5 shall indicate by footnote disclosure or otherwise that such Form 4 or Form 5 relates to a repurchase of Shares or Related Securities by the Company in connection with the termination of the undersigned’s employment with the Company, and that any Shares or Related Securities subject to this letter agreement that continue to be held by the undersigned remain subject to the terms of this letter agreement), and</w:t>
      </w:r>
    </w:p>
    <w:p>
      <w:pPr>
        <w:spacing w:after="0" w:line="97" w:lineRule="exact"/>
        <w:rPr>
          <w:rFonts w:ascii="Times New Roman" w:cs="Times New Roman" w:eastAsia="Times New Roman" w:hAnsi="Times New Roman"/>
          <w:sz w:val="18"/>
          <w:szCs w:val="18"/>
          <w:color w:val="auto"/>
        </w:rPr>
      </w:pPr>
    </w:p>
    <w:p>
      <w:pPr>
        <w:ind w:left="980" w:right="180" w:hanging="438"/>
        <w:spacing w:after="0" w:line="274" w:lineRule="auto"/>
        <w:tabs>
          <w:tab w:leader="none" w:pos="98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clauses (iv) and (v), and, prior to the expiration of the Lock-up Period, that if a Form 4, Form 5, Schedule 13D, Schedule 13G, Form 13F or Form 13H is required to be filed during the Lock-up Period, such Form 4, Form 5, Schedule 13D, Schedule 13G, Form 13F or Form</w:t>
      </w:r>
    </w:p>
    <w:p>
      <w:pPr>
        <w:ind w:left="9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13H shall clearly indicate in the footnotes thereto that (A) the filing relates to the circumstances described in such clause, (B) any securities still held by the undersigned pursuant to any transfer pursuant to clause (iv), remains subject to the terms and restrictions under this letter agreement, and (C) no securities were sold by the undersigned,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undersigned does not otherwise voluntarily effect any other public filing or report regarding such transfers during the Lock-up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notwithstanding the restrictions imposed by this letter agreement, the undersigned may (i) exercise an option to purchase Shares granted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equity incentive plan or stock purchase plan of the Company, provided that the Shares issued upon such exercise shall continue to be subject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restrictions on transfer set forth in this letter agreement, or (ii) establish a trading plan pursuant to Rule 10b5-1 under the Exchange Act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10b5-1 Plan</w:t>
      </w:r>
      <w:r>
        <w:rPr>
          <w:rFonts w:ascii="Times New Roman" w:cs="Times New Roman" w:eastAsia="Times New Roman" w:hAnsi="Times New Roman"/>
          <w:sz w:val="18"/>
          <w:szCs w:val="18"/>
          <w:color w:val="auto"/>
        </w:rPr>
        <w:t>”) for the transfer of Shares, provided that such 10b5-1 Plan shall not provide for or permit any transfers, sales or other dispositions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during the Lock-up Period and the entry into such 10b5-1 Plan is not publicly disclosed, including in any filing under the Exchange Act, during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Lock-up Period.</w:t>
      </w:r>
    </w:p>
    <w:p>
      <w:pPr>
        <w:spacing w:after="0" w:line="20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ectPr>
          <w:pgSz w:w="11900" w:h="16838" w:orient="portrait"/>
          <w:cols w:equalWidth="0" w:num="1">
            <w:col w:w="10920"/>
          </w:cols>
          <w:pgMar w:left="480" w:top="268" w:right="499" w:bottom="1440" w:gutter="0" w:footer="0" w:header="0"/>
        </w:sectPr>
      </w:pPr>
    </w:p>
    <w:bookmarkStart w:id="280" w:name="page281"/>
    <w:bookmarkEnd w:id="280"/>
    <w:p>
      <w:pPr>
        <w:ind w:right="26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4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if the undersigned is an officer or director of the Company, (i) the Representatives agree that, at least three business days before the effective date of any release or waiver (each, a “</w:t>
      </w: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the Representatives will notify the Company of the impending Release, and (ii) the Company (in accordance with the provisions of the Underwriting Agreement) will announce the impending Release by press release through a major news service at least two business days before the effective date of the Release. Any Release granted by the Representatives hereunder to any such officer or director shall only be effective two business days after the publication date of such press release. The provisions of this paragraph will not apply if both (a) the Release is effected solely to permit a transfer not for consideration and (b) the transferee has agreed in writing to be bound by the same terms described in this letter agreement that are applicable to the transferor to the extent and for the duration that such terms remain in effect at the time of the transfer.</w:t>
      </w:r>
    </w:p>
    <w:p>
      <w:pPr>
        <w:spacing w:after="0" w:line="17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75"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7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(i) prior to the execution of the Underwriting Agreement, the Company, on the one hand, or the Representatives, on the other hand, notifies the other in writing that it does not intend to proceed with the Offering, (ii) the Company files an application to withdraw the registration statement related to the Offering, (iii) the Underwriting Agreement is not executed on or before December 31, 2020, or (iv) the Underwriting Agreement (other than the provisions thereof that survive termination) terminates or is terminated prior to the closing date of the Offering, then in each case, this letter agreement shall automatically, and without any action on the part of any other party, terminate and be of no further force and effect, and the undersigned shall automatically be released from the obligations under this letter agreement.</w:t>
      </w:r>
    </w:p>
    <w:p>
      <w:pPr>
        <w:spacing w:after="0" w:line="184"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7"/>
          <w:szCs w:val="17"/>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00"/>
          </w:cols>
          <w:pgMar w:left="480" w:top="268" w:right="5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318135</wp:posOffset>
            </wp:positionV>
            <wp:extent cx="27686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2768600" cy="8255"/>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27686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Person Signing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signing as custodian or trustee, or on behalf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an entity)</w:t>
      </w:r>
    </w:p>
    <w:p>
      <w:pPr>
        <w:sectPr>
          <w:pgSz w:w="11900" w:h="16838" w:orient="portrait"/>
          <w:cols w:equalWidth="0" w:num="1">
            <w:col w:w="9979"/>
          </w:cols>
          <w:pgMar w:left="480" w:top="509" w:right="1440" w:bottom="1440" w:gutter="0" w:footer="0" w:header="0"/>
        </w:sectPr>
      </w:pPr>
    </w:p>
    <w:bookmarkStart w:id="282" w:name="page283"/>
    <w:bookmarkEnd w:id="282"/>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Certain Defined Terms</w:t>
      </w:r>
    </w:p>
    <w:p>
      <w:pPr>
        <w:spacing w:after="0" w:line="3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u w:val="single" w:color="auto"/>
          <w:color w:val="auto"/>
        </w:rPr>
        <w:t>Used in Lock-up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letter agreement to which this Annex A is attached and of which it is made a part:</w:t>
      </w:r>
    </w:p>
    <w:p>
      <w:pPr>
        <w:spacing w:after="0" w:line="123" w:lineRule="exact"/>
        <w:rPr>
          <w:sz w:val="20"/>
          <w:szCs w:val="20"/>
          <w:color w:val="auto"/>
        </w:rPr>
      </w:pPr>
    </w:p>
    <w:p>
      <w:pPr>
        <w:ind w:left="540" w:hanging="438"/>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Equivalent Position</w:t>
      </w:r>
      <w:r>
        <w:rPr>
          <w:rFonts w:ascii="Times New Roman" w:cs="Times New Roman" w:eastAsia="Times New Roman" w:hAnsi="Times New Roman"/>
          <w:sz w:val="18"/>
          <w:szCs w:val="18"/>
          <w:color w:val="auto"/>
        </w:rPr>
        <w:t>” shall have the meaning set forth in Rule 16a-1(b) under the Exchange Act.</w:t>
      </w:r>
    </w:p>
    <w:p>
      <w:pPr>
        <w:spacing w:after="0" w:line="127" w:lineRule="exact"/>
        <w:rPr>
          <w:rFonts w:ascii="Times New Roman" w:cs="Times New Roman" w:eastAsia="Times New Roman" w:hAnsi="Times New Roman"/>
          <w:sz w:val="18"/>
          <w:szCs w:val="18"/>
          <w:color w:val="auto"/>
        </w:rPr>
      </w:pPr>
    </w:p>
    <w:p>
      <w:pPr>
        <w:ind w:left="540" w:hanging="438"/>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127" w:lineRule="exact"/>
        <w:rPr>
          <w:rFonts w:ascii="Times New Roman" w:cs="Times New Roman" w:eastAsia="Times New Roman" w:hAnsi="Times New Roman"/>
          <w:sz w:val="18"/>
          <w:szCs w:val="18"/>
          <w:color w:val="auto"/>
        </w:rPr>
      </w:pPr>
    </w:p>
    <w:p>
      <w:pPr>
        <w:ind w:left="540" w:right="80" w:hanging="438"/>
        <w:spacing w:after="0" w:line="256"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as used above shall have the meaning set forth in Rule 16a-1(e) under the Exchange Act.</w:t>
      </w:r>
    </w:p>
    <w:p>
      <w:pPr>
        <w:spacing w:after="0" w:line="86" w:lineRule="exact"/>
        <w:rPr>
          <w:rFonts w:ascii="Times New Roman" w:cs="Times New Roman" w:eastAsia="Times New Roman" w:hAnsi="Times New Roman"/>
          <w:sz w:val="18"/>
          <w:szCs w:val="18"/>
          <w:color w:val="auto"/>
        </w:rPr>
      </w:pPr>
    </w:p>
    <w:p>
      <w:pPr>
        <w:ind w:left="540" w:right="160" w:hanging="438"/>
        <w:spacing w:after="0" w:line="282"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shall mean the period beginning on the date hereof and continuing through the close of trading on the date that is 180 days after the date of the Prospectus (as such term will be defined in the Underwriting Agreement).</w:t>
      </w:r>
    </w:p>
    <w:p>
      <w:pPr>
        <w:spacing w:after="0" w:line="61" w:lineRule="exact"/>
        <w:rPr>
          <w:rFonts w:ascii="Times New Roman" w:cs="Times New Roman" w:eastAsia="Times New Roman" w:hAnsi="Times New Roman"/>
          <w:sz w:val="18"/>
          <w:szCs w:val="18"/>
          <w:color w:val="auto"/>
        </w:rPr>
      </w:pPr>
    </w:p>
    <w:p>
      <w:pPr>
        <w:ind w:left="540" w:hanging="438"/>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Equivalent Position</w:t>
      </w:r>
      <w:r>
        <w:rPr>
          <w:rFonts w:ascii="Times New Roman" w:cs="Times New Roman" w:eastAsia="Times New Roman" w:hAnsi="Times New Roman"/>
          <w:sz w:val="18"/>
          <w:szCs w:val="18"/>
          <w:color w:val="auto"/>
        </w:rPr>
        <w:t>” shall have the meaning set forth in Rule 16a-1(h) under the Exchange Act.</w:t>
      </w:r>
    </w:p>
    <w:p>
      <w:pPr>
        <w:spacing w:after="0" w:line="127" w:lineRule="exact"/>
        <w:rPr>
          <w:rFonts w:ascii="Times New Roman" w:cs="Times New Roman" w:eastAsia="Times New Roman" w:hAnsi="Times New Roman"/>
          <w:sz w:val="18"/>
          <w:szCs w:val="18"/>
          <w:color w:val="auto"/>
        </w:rPr>
      </w:pPr>
    </w:p>
    <w:p>
      <w:pPr>
        <w:ind w:left="540" w:hanging="438"/>
        <w:spacing w:after="0" w:line="313" w:lineRule="auto"/>
        <w:tabs>
          <w:tab w:leader="none" w:pos="54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Securities</w:t>
      </w:r>
      <w:r>
        <w:rPr>
          <w:rFonts w:ascii="Times New Roman" w:cs="Times New Roman" w:eastAsia="Times New Roman" w:hAnsi="Times New Roman"/>
          <w:sz w:val="17"/>
          <w:szCs w:val="17"/>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38" w:lineRule="exact"/>
        <w:rPr>
          <w:rFonts w:ascii="Times New Roman" w:cs="Times New Roman" w:eastAsia="Times New Roman" w:hAnsi="Times New Roman"/>
          <w:sz w:val="17"/>
          <w:szCs w:val="17"/>
          <w:color w:val="auto"/>
        </w:rPr>
      </w:pPr>
    </w:p>
    <w:p>
      <w:pPr>
        <w:ind w:left="540" w:hanging="438"/>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27" w:lineRule="exact"/>
        <w:rPr>
          <w:rFonts w:ascii="Times New Roman" w:cs="Times New Roman" w:eastAsia="Times New Roman" w:hAnsi="Times New Roman"/>
          <w:sz w:val="18"/>
          <w:szCs w:val="18"/>
          <w:color w:val="auto"/>
        </w:rPr>
      </w:pPr>
    </w:p>
    <w:p>
      <w:pPr>
        <w:ind w:left="540" w:hanging="438"/>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 or Offer to Sell</w:t>
      </w:r>
      <w:r>
        <w:rPr>
          <w:rFonts w:ascii="Times New Roman" w:cs="Times New Roman" w:eastAsia="Times New Roman" w:hAnsi="Times New Roman"/>
          <w:sz w:val="18"/>
          <w:szCs w:val="18"/>
          <w:color w:val="auto"/>
        </w:rPr>
        <w:t>” shall mean to:</w:t>
      </w:r>
    </w:p>
    <w:p>
      <w:pPr>
        <w:spacing w:after="0" w:line="131" w:lineRule="exact"/>
        <w:rPr>
          <w:rFonts w:ascii="Times New Roman" w:cs="Times New Roman" w:eastAsia="Times New Roman" w:hAnsi="Times New Roman"/>
          <w:sz w:val="18"/>
          <w:szCs w:val="18"/>
          <w:color w:val="auto"/>
        </w:rPr>
      </w:pPr>
    </w:p>
    <w:p>
      <w:pPr>
        <w:ind w:left="1620" w:hanging="528"/>
        <w:spacing w:after="0"/>
        <w:tabs>
          <w:tab w:leader="none" w:pos="16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to sell or lend,</w:t>
      </w:r>
    </w:p>
    <w:p>
      <w:pPr>
        <w:spacing w:after="0" w:line="127" w:lineRule="exact"/>
        <w:rPr>
          <w:rFonts w:ascii="Times New Roman" w:cs="Times New Roman" w:eastAsia="Times New Roman" w:hAnsi="Times New Roman"/>
          <w:sz w:val="18"/>
          <w:szCs w:val="18"/>
          <w:color w:val="auto"/>
        </w:rPr>
      </w:pPr>
    </w:p>
    <w:p>
      <w:pPr>
        <w:ind w:left="1620" w:hanging="528"/>
        <w:spacing w:after="0"/>
        <w:tabs>
          <w:tab w:leader="none" w:pos="16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any short sale or establish or increase a Put Equivalent Position or liquidate or decrease any Call Equivalent Position,</w:t>
      </w:r>
    </w:p>
    <w:p>
      <w:pPr>
        <w:spacing w:after="0" w:line="138" w:lineRule="exact"/>
        <w:rPr>
          <w:rFonts w:ascii="Times New Roman" w:cs="Times New Roman" w:eastAsia="Times New Roman" w:hAnsi="Times New Roman"/>
          <w:sz w:val="17"/>
          <w:szCs w:val="17"/>
          <w:color w:val="auto"/>
        </w:rPr>
      </w:pPr>
    </w:p>
    <w:p>
      <w:pPr>
        <w:ind w:left="1620" w:hanging="528"/>
        <w:spacing w:after="0"/>
        <w:tabs>
          <w:tab w:leader="none" w:pos="16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hypothecate or grant any security interest in, or</w:t>
      </w:r>
    </w:p>
    <w:p>
      <w:pPr>
        <w:spacing w:after="0" w:line="127" w:lineRule="exact"/>
        <w:rPr>
          <w:rFonts w:ascii="Times New Roman" w:cs="Times New Roman" w:eastAsia="Times New Roman" w:hAnsi="Times New Roman"/>
          <w:sz w:val="18"/>
          <w:szCs w:val="18"/>
          <w:color w:val="auto"/>
        </w:rPr>
      </w:pPr>
    </w:p>
    <w:p>
      <w:pPr>
        <w:ind w:left="1620" w:hanging="528"/>
        <w:spacing w:after="0"/>
        <w:tabs>
          <w:tab w:leader="none" w:pos="16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way transfer or dispose of,</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each case whether effected directly or indirectly.</w:t>
      </w:r>
    </w:p>
    <w:p>
      <w:pPr>
        <w:spacing w:after="0" w:line="123" w:lineRule="exact"/>
        <w:rPr>
          <w:sz w:val="20"/>
          <w:szCs w:val="20"/>
          <w:color w:val="auto"/>
        </w:rPr>
      </w:pPr>
    </w:p>
    <w:p>
      <w:pPr>
        <w:ind w:left="540" w:right="260" w:hanging="438"/>
        <w:spacing w:after="0" w:line="313" w:lineRule="auto"/>
        <w:tabs>
          <w:tab w:leader="none" w:pos="5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Swap</w:t>
      </w:r>
      <w:r>
        <w:rPr>
          <w:rFonts w:ascii="Times New Roman" w:cs="Times New Roman" w:eastAsia="Times New Roman" w:hAnsi="Times New Roman"/>
          <w:sz w:val="17"/>
          <w:szCs w:val="17"/>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in this Annex A shall have the meanings given to them in the body of this letter agreement.</w:t>
      </w:r>
    </w:p>
    <w:p>
      <w:pPr>
        <w:sectPr>
          <w:pgSz w:w="11900" w:h="16838" w:orient="portrait"/>
          <w:cols w:equalWidth="0" w:num="1">
            <w:col w:w="10440"/>
          </w:cols>
          <w:pgMar w:left="920" w:top="264" w:right="539" w:bottom="1440" w:gutter="0" w:footer="0" w:header="0"/>
        </w:sectPr>
      </w:pPr>
    </w:p>
    <w:bookmarkStart w:id="283" w:name="page284"/>
    <w:bookmarkEnd w:id="283"/>
    <w:p>
      <w:pPr>
        <w:ind w:left="90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C-2</w:t>
      </w:r>
    </w:p>
    <w:p>
      <w:pPr>
        <w:sectPr>
          <w:pgSz w:w="11900" w:h="16838" w:orient="portrait"/>
          <w:cols w:equalWidth="0" w:num="1">
            <w:col w:w="9960"/>
          </w:cols>
          <w:pgMar w:left="1440" w:top="264" w:right="49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98"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color w:val="auto"/>
        </w:rPr>
        <w:t>C4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18" w:lineRule="exact"/>
        <w:rPr>
          <w:sz w:val="20"/>
          <w:szCs w:val="20"/>
          <w:color w:val="auto"/>
        </w:rPr>
      </w:pPr>
    </w:p>
    <w:p>
      <w:pPr>
        <w:ind w:right="100" w:firstLine="444"/>
        <w:spacing w:after="0" w:line="263" w:lineRule="auto"/>
        <w:tabs>
          <w:tab w:leader="none" w:pos="614"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name of this corporation is C4 Therapeutics, Inc. and that this corporation was originally incorporated pursuant to the General Corporation Law on October 7, 2015 under the name C4 Therapeutics, Inc. A Fourth Amended and Restated Certificate of Incorporation was filed with the Secretary of State of the State of Delaware on June 3, 2020.</w:t>
      </w:r>
    </w:p>
    <w:p>
      <w:pPr>
        <w:spacing w:after="0" w:line="68" w:lineRule="exact"/>
        <w:rPr>
          <w:rFonts w:ascii="Times New Roman" w:cs="Times New Roman" w:eastAsia="Times New Roman" w:hAnsi="Times New Roman"/>
          <w:sz w:val="18"/>
          <w:szCs w:val="18"/>
          <w:b w:val="1"/>
          <w:bCs w:val="1"/>
          <w:color w:val="auto"/>
        </w:rPr>
      </w:pPr>
    </w:p>
    <w:p>
      <w:pPr>
        <w:ind w:right="240" w:firstLine="444"/>
        <w:spacing w:after="0" w:line="258" w:lineRule="auto"/>
        <w:tabs>
          <w:tab w:leader="none" w:pos="614"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Board of Directors of the Corporation duly adopted resolutions proposing to amend the Fourth Amended and Restated Certificate of Incorporation of the Corporation, declaring said amendment to be advisable and in the best interests of the Corporation and its stockholders, and authorizing the appropriate officers of the Corporation to solicit the consent of the stockholders therefor, which resolutions setting forth the proposed amendments are as follows: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following is hereby inserted into Article FOURTH immediately before the first sentence therein:</w:t>
      </w:r>
    </w:p>
    <w:p>
      <w:pPr>
        <w:spacing w:after="0" w:line="118" w:lineRule="exact"/>
        <w:rPr>
          <w:sz w:val="20"/>
          <w:szCs w:val="20"/>
          <w:color w:val="auto"/>
        </w:rPr>
      </w:pPr>
    </w:p>
    <w:p>
      <w:pPr>
        <w:ind w:left="440" w:right="40" w:firstLine="419"/>
        <w:spacing w:after="0" w:line="251" w:lineRule="auto"/>
        <w:rPr>
          <w:sz w:val="20"/>
          <w:szCs w:val="20"/>
          <w:color w:val="auto"/>
        </w:rPr>
      </w:pPr>
      <w:r>
        <w:rPr>
          <w:rFonts w:ascii="Times New Roman" w:cs="Times New Roman" w:eastAsia="Times New Roman" w:hAnsi="Times New Roman"/>
          <w:sz w:val="18"/>
          <w:szCs w:val="18"/>
          <w:color w:val="auto"/>
        </w:rPr>
        <w:t>“Effective upon the filing of this Certificate of Amendment to the Fourth Amended and Restated Certificate of Incorporation with the Secretary of State of the State of Delaware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every 8.4335 shares of Common Stock then issued and outstanding or held in the treasury of the Corporation immediately prior to the Effective Time shall automatically be combined into one (1) share of Common Stock, without any further action by the holders of such shares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The Reverse Stock Split will be effected on a certificate-by-certificate basis, and any fractional shares resulting from such combination shall be rounded down to the nearest whole share on a certificate-by-certificate basis. No fractional shares shall be issued in connection with the Reverse Stock Split. In lieu of any fractional shares to which a holder would otherwise be entitled, the Corporation shall pay cash equal to such fraction multiplied by the fair market value of a share of Common Stock as determined in good faith by the Corporation’s Board of Directors. The Reverse Stock Split shall occur automatically without any further action by the holders of the shares of Common Stock and Preferred Stock affected thereby. All rights, preferences and privileges of the Common Stock and the Preferred Stock shall be appropriately adjusted to reflect the Reverse Stock Split in accordance with this Fourth Amended and Restated Certificate of Incorporation.”</w:t>
      </w:r>
    </w:p>
    <w:p>
      <w:pPr>
        <w:sectPr>
          <w:pgSz w:w="11900" w:h="16838" w:orient="portrait"/>
          <w:cols w:equalWidth="0" w:num="1">
            <w:col w:w="10920"/>
          </w:cols>
          <w:pgMar w:left="480" w:top="117" w:right="499" w:bottom="1440" w:gutter="0" w:footer="0" w:header="0"/>
        </w:sectPr>
      </w:pPr>
    </w:p>
    <w:bookmarkStart w:id="285" w:name="page286"/>
    <w:bookmarkEnd w:id="285"/>
    <w:p>
      <w:pPr>
        <w:ind w:right="800" w:firstLine="444"/>
        <w:spacing w:after="0" w:line="278" w:lineRule="auto"/>
        <w:tabs>
          <w:tab w:leader="none" w:pos="61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That the foregoing amendment was approved by the holders of the requisite number of shares of the Corporation in accordance with Section 228 of the General Corporation Law.</w:t>
      </w:r>
    </w:p>
    <w:p>
      <w:pPr>
        <w:spacing w:after="0" w:line="55" w:lineRule="exact"/>
        <w:rPr>
          <w:rFonts w:ascii="Times New Roman" w:cs="Times New Roman" w:eastAsia="Times New Roman" w:hAnsi="Times New Roman"/>
          <w:sz w:val="18"/>
          <w:szCs w:val="18"/>
          <w:b w:val="1"/>
          <w:bCs w:val="1"/>
          <w:color w:val="auto"/>
        </w:rPr>
      </w:pPr>
    </w:p>
    <w:p>
      <w:pPr>
        <w:ind w:left="620" w:hanging="176"/>
        <w:spacing w:after="0"/>
        <w:tabs>
          <w:tab w:leader="none" w:pos="6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said amendment has been duly adopted in accordance with Section 242 of the General Corporation Law.</w:t>
      </w:r>
    </w:p>
    <w:p>
      <w:pPr>
        <w:spacing w:after="0" w:line="217"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Certificate of Amendment has been executed by a duly authorized officer of the Corporation on this 25th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2020.</w:t>
      </w:r>
    </w:p>
    <w:p>
      <w:pPr>
        <w:spacing w:after="0" w:line="18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/s/ Marc A.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Marc A. Cohen</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840"/>
          </w:cols>
          <w:pgMar w:left="480" w:top="268" w:right="579" w:bottom="1440" w:gutter="0" w:footer="0" w:header="0"/>
        </w:sectPr>
      </w:pPr>
    </w:p>
    <w:bookmarkStart w:id="286" w:name="page287"/>
    <w:bookmarkEnd w:id="286"/>
    <w:p>
      <w:pPr>
        <w:ind w:left="912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179070</wp:posOffset>
            </wp:positionV>
            <wp:extent cx="7094855" cy="43313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5">
                      <a:extLst>
                        <a:ext uri="{28A0092B-C50C-407E-A947-70E740481C1C}"/>
                      </a:extLst>
                    </a:blip>
                    <a:srcRect/>
                    <a:stretch>
                      <a:fillRect/>
                    </a:stretch>
                  </pic:blipFill>
                  <pic:spPr bwMode="auto">
                    <a:xfrm>
                      <a:off x="0" y="0"/>
                      <a:ext cx="7094855" cy="4331335"/>
                    </a:xfrm>
                    <a:prstGeom prst="rect">
                      <a:avLst/>
                    </a:prstGeom>
                    <a:noFill/>
                  </pic:spPr>
                </pic:pic>
              </a:graphicData>
            </a:graphic>
          </wp:anchor>
        </w:drawing>
      </w:r>
    </w:p>
    <w:p>
      <w:pPr>
        <w:sectPr>
          <w:pgSz w:w="11900" w:h="16838" w:orient="portrait"/>
          <w:cols w:equalWidth="0" w:num="1">
            <w:col w:w="9960"/>
          </w:cols>
          <w:pgMar w:left="1440" w:top="117" w:right="499" w:bottom="1440"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72269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6">
                      <a:extLst>
                        <a:ext uri="{28A0092B-C50C-407E-A947-70E740481C1C}"/>
                      </a:extLst>
                    </a:blip>
                    <a:srcRect/>
                    <a:stretch>
                      <a:fillRect/>
                    </a:stretch>
                  </pic:blipFill>
                  <pic:spPr bwMode="auto">
                    <a:xfrm>
                      <a:off x="0" y="0"/>
                      <a:ext cx="7150735" cy="7226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 Arsenal Way, Suite 200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Registered under Registration Statement on Form S-1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80" w:firstLine="436"/>
        <w:spacing w:after="0" w:line="254"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S-1 (File No. 333-248719) (as amended or supplemented, the “Registration Statement”) pursuant to the Securities Act of 1933, as amended (the “Securities Act”), relating to the registration of the offering by C4 Therapeutics, Inc., a Delaware corporation (the “Company”) of up to 10,147,600 shares (the “Shares”) of the Company’s Common Stock, $0.0001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184" w:lineRule="exact"/>
        <w:rPr>
          <w:sz w:val="20"/>
          <w:szCs w:val="20"/>
          <w:color w:val="auto"/>
        </w:rPr>
      </w:pPr>
    </w:p>
    <w:p>
      <w:pPr>
        <w:ind w:right="300" w:firstLine="436"/>
        <w:spacing w:after="0" w:line="263"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1"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62" w:lineRule="exact"/>
        <w:rPr>
          <w:sz w:val="20"/>
          <w:szCs w:val="20"/>
          <w:color w:val="auto"/>
        </w:rPr>
      </w:pPr>
    </w:p>
    <w:p>
      <w:pPr>
        <w:jc w:val="both"/>
        <w:ind w:right="120" w:firstLine="436"/>
        <w:spacing w:after="0" w:line="263"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20"/>
          </w:cols>
          <w:pgMar w:left="480" w:top="117" w:right="49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2020 STOCK OPTION AND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110"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The name of the plan is the C4 Therapeutics, Inc. 2020 Stock Option and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purpose of the Plan is to encourage and enable the officers, employees, Non-Employee Directors and Consultants of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1" w:lineRule="exact"/>
        <w:rPr>
          <w:sz w:val="20"/>
          <w:szCs w:val="20"/>
          <w:color w:val="auto"/>
        </w:rPr>
      </w:pPr>
    </w:p>
    <w:p>
      <w:pPr>
        <w:ind w:right="3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either the Board or the compensation committee of the Board or a similar committee performing the functions of the compensation committee and which is comprised of not less than two Non-Employee Directors who are independent.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will have the authority to determine the time or times at which “parent” or “subsidiary” status is determined within the foregoing definition.</w:t>
      </w:r>
    </w:p>
    <w:p>
      <w:pPr>
        <w:spacing w:after="0" w:line="198" w:lineRule="exact"/>
        <w:rPr>
          <w:sz w:val="20"/>
          <w:szCs w:val="20"/>
          <w:color w:val="auto"/>
        </w:rPr>
      </w:pPr>
    </w:p>
    <w:p>
      <w:pPr>
        <w:ind w:right="3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Certificate</w:t>
      </w:r>
      <w:r>
        <w:rPr>
          <w:rFonts w:ascii="Times New Roman" w:cs="Times New Roman" w:eastAsia="Times New Roman" w:hAnsi="Times New Roman"/>
          <w:sz w:val="17"/>
          <w:szCs w:val="17"/>
          <w:color w:val="auto"/>
        </w:rPr>
        <w:t>” means a written or electronic document setting forth the terms and provisions applicable to an Award granted under the Plan.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Certificate is subject to the terms and conditions of the Plan.</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Cash-Based Award</w:t>
      </w:r>
      <w:r>
        <w:rPr>
          <w:rFonts w:ascii="Times New Roman" w:cs="Times New Roman" w:eastAsia="Times New Roman" w:hAnsi="Times New Roman"/>
          <w:sz w:val="18"/>
          <w:szCs w:val="18"/>
          <w:color w:val="auto"/>
        </w:rPr>
        <w:t>” means an Award entitling the recipient to receive a cash-denominated payment.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and any successor Code, and related rules, regulations and interpretations.</w:t>
      </w:r>
    </w:p>
    <w:p>
      <w:pPr>
        <w:sectPr>
          <w:pgSz w:w="11900" w:h="16838" w:orient="portrait"/>
          <w:cols w:equalWidth="0" w:num="1">
            <w:col w:w="10920"/>
          </w:cols>
          <w:pgMar w:left="480" w:top="117" w:right="499" w:bottom="1440" w:gutter="0" w:footer="0" w:header="0"/>
        </w:sectPr>
      </w:pPr>
    </w:p>
    <w:bookmarkStart w:id="290" w:name="page291"/>
    <w:bookmarkEnd w:id="290"/>
    <w:p>
      <w:pPr>
        <w:ind w:firstLine="43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means a consultant or adviser who provides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services to the Company or an Affiliate as an independent contractor and who qualifies as a consultant or advisor under Instruction A.1.(a)(1) of Form S-8 under the Act.</w:t>
      </w:r>
    </w:p>
    <w:p>
      <w:pPr>
        <w:spacing w:after="0" w:line="156" w:lineRule="exact"/>
        <w:rPr>
          <w:sz w:val="20"/>
          <w:szCs w:val="20"/>
          <w:color w:val="auto"/>
        </w:rPr>
      </w:pPr>
    </w:p>
    <w:p>
      <w:pPr>
        <w:ind w:right="80" w:firstLine="436"/>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Equivalent Right</w:t>
      </w:r>
      <w:r>
        <w:rPr>
          <w:rFonts w:ascii="Times New Roman" w:cs="Times New Roman" w:eastAsia="Times New Roman" w:hAnsi="Times New Roman"/>
          <w:sz w:val="17"/>
          <w:szCs w:val="17"/>
          <w:color w:val="auto"/>
        </w:rPr>
        <w:t>” 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Plan becomes effective as set forth in Section 19.</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1"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xml:space="preserve">” of the Stock on any given date means the fair market value of the Stock determined in good faith by the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Stock is listed on the Nasdaq Stock Market, The New York Stock Exchange or another national securities exchange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traded on any established market, the determination shall be made by reference to market quotations. If there are no market quotations for such date, the determination shall be made by reference to the last date preceding such date for which there are market quotations;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 Stock Option</w:t>
      </w:r>
      <w:r>
        <w:rPr>
          <w:rFonts w:ascii="Times New Roman" w:cs="Times New Roman" w:eastAsia="Times New Roman" w:hAnsi="Times New Roman"/>
          <w:sz w:val="17"/>
          <w:szCs w:val="17"/>
          <w:color w:val="auto"/>
        </w:rPr>
        <w:t>” means any Stock Option designated and qualified as an “incentive stock option” as defined in Section 422 of the Code.</w:t>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member of the Board who is not also an employee of the Company or any Subsidiary.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any Stock Option that is not an Incentive Stock Option.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means any option to purchase shares of Stock granted pursuant to Section 5.</w:t>
      </w:r>
    </w:p>
    <w:p>
      <w:pPr>
        <w:spacing w:after="0" w:line="221" w:lineRule="exact"/>
        <w:rPr>
          <w:sz w:val="20"/>
          <w:szCs w:val="20"/>
          <w:color w:val="auto"/>
        </w:rPr>
      </w:pPr>
    </w:p>
    <w:p>
      <w:pPr>
        <w:ind w:right="3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Date</w:t>
      </w:r>
      <w:r>
        <w:rPr>
          <w:rFonts w:ascii="Times New Roman" w:cs="Times New Roman" w:eastAsia="Times New Roman" w:hAnsi="Times New Roman"/>
          <w:sz w:val="18"/>
          <w:szCs w:val="18"/>
          <w:color w:val="auto"/>
        </w:rPr>
        <w:t>” means the date upon which the registration statement on Form S-1 that is filed by the Company with respect to its initial public offering is declared effective by the Securities and Exchange Commission.</w:t>
      </w:r>
    </w:p>
    <w:p>
      <w:pPr>
        <w:spacing w:after="0" w:line="156"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means the shares of Stock underlying a Restricted Stock Award that remain subject to a risk of forfeiture or the Company’s right of repurchase.</w:t>
      </w:r>
    </w:p>
    <w:p>
      <w:pPr>
        <w:spacing w:after="0" w:line="156" w:lineRule="exact"/>
        <w:rPr>
          <w:sz w:val="20"/>
          <w:szCs w:val="20"/>
          <w:color w:val="auto"/>
        </w:rPr>
      </w:pPr>
    </w:p>
    <w:p>
      <w:pPr>
        <w:ind w:right="1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Award</w:t>
      </w:r>
      <w:r>
        <w:rPr>
          <w:rFonts w:ascii="Times New Roman" w:cs="Times New Roman" w:eastAsia="Times New Roman" w:hAnsi="Times New Roman"/>
          <w:sz w:val="18"/>
          <w:szCs w:val="18"/>
          <w:color w:val="auto"/>
        </w:rPr>
        <w:t>” means an Award of Restricted Shares subject to such restrictions and conditions as the Administrator may determine at the time of grant.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4" w:right="499" w:bottom="1440" w:gutter="0" w:footer="0" w:header="0"/>
        </w:sectPr>
      </w:pPr>
    </w:p>
    <w:bookmarkStart w:id="291" w:name="page292"/>
    <w:bookmarkEnd w:id="291"/>
    <w:p>
      <w:pPr>
        <w:ind w:right="320" w:firstLine="43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means an Award of stock units subject to such restrictions and conditions as the Administrator may determine at the time of grant.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Sale Event</w:t>
      </w:r>
      <w:r>
        <w:rPr>
          <w:rFonts w:ascii="Times New Roman" w:cs="Times New Roman" w:eastAsia="Times New Roman" w:hAnsi="Times New Roman"/>
          <w:sz w:val="17"/>
          <w:szCs w:val="17"/>
          <w:color w:val="auto"/>
        </w:rPr>
        <w:t>” shall mean (i) the sale of all or substantially all of the assets of the Company on a consolidated basis to an unrelated person or entity,</w:t>
      </w:r>
    </w:p>
    <w:p>
      <w:pPr>
        <w:spacing w:after="0" w:line="41" w:lineRule="exact"/>
        <w:rPr>
          <w:sz w:val="20"/>
          <w:szCs w:val="20"/>
          <w:color w:val="auto"/>
        </w:rPr>
      </w:pPr>
    </w:p>
    <w:p>
      <w:pPr>
        <w:ind w:left="260" w:hanging="253"/>
        <w:spacing w:after="0"/>
        <w:tabs>
          <w:tab w:leader="none" w:pos="2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w:t>
      </w:r>
    </w:p>
    <w:p>
      <w:pPr>
        <w:spacing w:after="0" w:line="6"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3"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regulations and other guidance promulgated thereunder.</w:t>
      </w:r>
    </w:p>
    <w:p>
      <w:pPr>
        <w:spacing w:after="0" w:line="221"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Relationship</w:t>
      </w:r>
      <w:r>
        <w:rPr>
          <w:rFonts w:ascii="Times New Roman" w:cs="Times New Roman" w:eastAsia="Times New Roman" w:hAnsi="Times New Roman"/>
          <w:sz w:val="18"/>
          <w:szCs w:val="18"/>
          <w:color w:val="auto"/>
        </w:rPr>
        <w:t>” means any relationship as an employee, director or Consultant of the Company or any Affiliate (e.g., a Service Relationship shall be deemed to continue without interruption in the event an individual’s status changes from full-time employee to part-time employee or Consultant or vice versa).</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means the Common Stock, par value $0.0001 per share, of the Company, subject to adjustments pursuant to Section 3.</w:t>
      </w:r>
    </w:p>
    <w:p>
      <w:pPr>
        <w:spacing w:after="0" w:line="221" w:lineRule="exact"/>
        <w:rPr>
          <w:sz w:val="20"/>
          <w:szCs w:val="20"/>
          <w:color w:val="auto"/>
        </w:rPr>
      </w:pPr>
    </w:p>
    <w:p>
      <w:pPr>
        <w:ind w:right="40" w:firstLine="436"/>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Appreciation Right</w:t>
      </w:r>
      <w:r>
        <w:rPr>
          <w:rFonts w:ascii="Times New Roman" w:cs="Times New Roman" w:eastAsia="Times New Roman" w:hAnsi="Times New Roman"/>
          <w:sz w:val="17"/>
          <w:szCs w:val="17"/>
          <w:color w:val="auto"/>
        </w:rPr>
        <w:t>” means an Award entitling the recipient to receive shares of 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52" w:lineRule="exact"/>
        <w:rPr>
          <w:sz w:val="20"/>
          <w:szCs w:val="20"/>
          <w:color w:val="auto"/>
        </w:rPr>
      </w:pPr>
    </w:p>
    <w:p>
      <w:pPr>
        <w:ind w:right="4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(other than the Company) in which the Company has at least a 50 percent interest, either directly or indirectly.</w:t>
      </w:r>
    </w:p>
    <w:p>
      <w:pPr>
        <w:spacing w:after="0" w:line="156"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 Percent Owner</w:t>
      </w:r>
      <w:r>
        <w:rPr>
          <w:rFonts w:ascii="Times New Roman" w:cs="Times New Roman" w:eastAsia="Times New Roman" w:hAnsi="Times New Roman"/>
          <w:sz w:val="18"/>
          <w:szCs w:val="18"/>
          <w:color w:val="auto"/>
        </w:rPr>
        <w:t>” means an employee who owns or is deemed to own (by reason of the attribution rules of Section 424(d) of the Code) more than 10 percent of the combined voting power of all classes of stock of the Company or any parent or subsidiary corporation.</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Stock Award</w:t>
      </w:r>
      <w:r>
        <w:rPr>
          <w:rFonts w:ascii="Times New Roman" w:cs="Times New Roman" w:eastAsia="Times New Roman" w:hAnsi="Times New Roman"/>
          <w:sz w:val="18"/>
          <w:szCs w:val="18"/>
          <w:color w:val="auto"/>
        </w:rPr>
        <w:t>” means an Award of shares of Stock free of any restrictions.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4" w:right="499" w:bottom="1440" w:gutter="0" w:footer="0" w:header="0"/>
        </w:sectPr>
      </w:pPr>
    </w:p>
    <w:bookmarkStart w:id="292" w:name="page293"/>
    <w:bookmarkEnd w:id="292"/>
    <w:p>
      <w:pPr>
        <w:spacing w:after="0"/>
        <w:tabs>
          <w:tab w:leader="none" w:pos="1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w:t>
      </w:r>
      <w:r>
        <w:rPr>
          <w:sz w:val="20"/>
          <w:szCs w:val="20"/>
          <w:color w:val="auto"/>
        </w:rPr>
        <w:tab/>
      </w: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114" w:lineRule="exact"/>
        <w:rPr>
          <w:sz w:val="20"/>
          <w:szCs w:val="20"/>
          <w:color w:val="auto"/>
        </w:rPr>
      </w:pPr>
    </w:p>
    <w:p>
      <w:pPr>
        <w:ind w:left="680" w:hanging="236"/>
        <w:spacing w:after="0"/>
        <w:tabs>
          <w:tab w:leader="none" w:pos="6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13" w:lineRule="exact"/>
        <w:rPr>
          <w:rFonts w:ascii="Times New Roman" w:cs="Times New Roman" w:eastAsia="Times New Roman" w:hAnsi="Times New Roman"/>
          <w:sz w:val="18"/>
          <w:szCs w:val="18"/>
          <w:color w:val="auto"/>
        </w:rPr>
      </w:pPr>
    </w:p>
    <w:p>
      <w:pPr>
        <w:ind w:right="680" w:firstLine="444"/>
        <w:spacing w:after="0" w:line="278" w:lineRule="auto"/>
        <w:tabs>
          <w:tab w:leader="none" w:pos="68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55"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13" w:lineRule="exact"/>
        <w:rPr>
          <w:rFonts w:ascii="Times New Roman" w:cs="Times New Roman" w:eastAsia="Times New Roman" w:hAnsi="Times New Roman"/>
          <w:sz w:val="18"/>
          <w:szCs w:val="18"/>
          <w:color w:val="auto"/>
        </w:rPr>
      </w:pPr>
    </w:p>
    <w:p>
      <w:pPr>
        <w:ind w:right="20" w:firstLine="990"/>
        <w:spacing w:after="0" w:line="263" w:lineRule="auto"/>
        <w:tabs>
          <w:tab w:leader="none" w:pos="1245"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68" w:lineRule="exact"/>
        <w:rPr>
          <w:rFonts w:ascii="Times New Roman" w:cs="Times New Roman" w:eastAsia="Times New Roman" w:hAnsi="Times New Roman"/>
          <w:sz w:val="18"/>
          <w:szCs w:val="18"/>
          <w:color w:val="auto"/>
        </w:rPr>
      </w:pPr>
    </w:p>
    <w:p>
      <w:pPr>
        <w:ind w:left="1300" w:hanging="310"/>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13" w:lineRule="exact"/>
        <w:rPr>
          <w:rFonts w:ascii="Times New Roman" w:cs="Times New Roman" w:eastAsia="Times New Roman" w:hAnsi="Times New Roman"/>
          <w:sz w:val="18"/>
          <w:szCs w:val="18"/>
          <w:color w:val="auto"/>
        </w:rPr>
      </w:pPr>
    </w:p>
    <w:p>
      <w:pPr>
        <w:ind w:right="40" w:firstLine="990"/>
        <w:spacing w:after="0" w:line="278" w:lineRule="auto"/>
        <w:tabs>
          <w:tab w:leader="none" w:pos="128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13" w:lineRule="exact"/>
        <w:rPr>
          <w:rFonts w:ascii="Times New Roman" w:cs="Times New Roman" w:eastAsia="Times New Roman" w:hAnsi="Times New Roman"/>
          <w:sz w:val="18"/>
          <w:szCs w:val="18"/>
          <w:color w:val="auto"/>
        </w:rPr>
      </w:pPr>
    </w:p>
    <w:p>
      <w:pPr>
        <w:ind w:left="1300" w:hanging="310"/>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113" w:lineRule="exact"/>
        <w:rPr>
          <w:rFonts w:ascii="Times New Roman" w:cs="Times New Roman" w:eastAsia="Times New Roman" w:hAnsi="Times New Roman"/>
          <w:sz w:val="18"/>
          <w:szCs w:val="18"/>
          <w:color w:val="auto"/>
        </w:rPr>
      </w:pPr>
    </w:p>
    <w:p>
      <w:pPr>
        <w:ind w:right="120" w:firstLine="990"/>
        <w:spacing w:after="0" w:line="258" w:lineRule="auto"/>
        <w:tabs>
          <w:tab w:leader="none" w:pos="133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114" w:lineRule="exact"/>
        <w:rPr>
          <w:sz w:val="20"/>
          <w:szCs w:val="20"/>
          <w:color w:val="auto"/>
        </w:rPr>
      </w:pPr>
    </w:p>
    <w:p>
      <w:pPr>
        <w:ind w:firstLine="444"/>
        <w:spacing w:after="0" w:line="253" w:lineRule="auto"/>
        <w:tabs>
          <w:tab w:leader="none" w:pos="67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8" w:right="499" w:bottom="1440" w:gutter="0" w:footer="0" w:header="0"/>
        </w:sectPr>
      </w:pPr>
    </w:p>
    <w:bookmarkStart w:id="293" w:name="page294"/>
    <w:bookmarkEnd w:id="293"/>
    <w:p>
      <w:pPr>
        <w:ind w:right="20" w:firstLine="444"/>
        <w:spacing w:after="0" w:line="308" w:lineRule="auto"/>
        <w:tabs>
          <w:tab w:leader="none" w:pos="689"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Award Certificate</w:t>
      </w:r>
      <w:r>
        <w:rPr>
          <w:rFonts w:ascii="Times New Roman" w:cs="Times New Roman" w:eastAsia="Times New Roman" w:hAnsi="Times New Roman"/>
          <w:sz w:val="17"/>
          <w:szCs w:val="17"/>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33" w:lineRule="exact"/>
        <w:rPr>
          <w:rFonts w:ascii="Times New Roman" w:cs="Times New Roman" w:eastAsia="Times New Roman" w:hAnsi="Times New Roman"/>
          <w:sz w:val="17"/>
          <w:szCs w:val="17"/>
          <w:color w:val="auto"/>
        </w:rPr>
      </w:pPr>
    </w:p>
    <w:p>
      <w:pPr>
        <w:ind w:right="160" w:firstLine="444"/>
        <w:spacing w:after="0" w:line="254" w:lineRule="auto"/>
        <w:tabs>
          <w:tab w:leader="none" w:pos="67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certificate of incorporation or bylaws or any directors’ and officers’ liability insurance coverage which may be in effect from time to time and/or any indemnification agreement between such individual and the Company.</w:t>
      </w:r>
    </w:p>
    <w:p>
      <w:pPr>
        <w:spacing w:after="0" w:line="76" w:lineRule="exact"/>
        <w:rPr>
          <w:rFonts w:ascii="Times New Roman" w:cs="Times New Roman" w:eastAsia="Times New Roman" w:hAnsi="Times New Roman"/>
          <w:sz w:val="18"/>
          <w:szCs w:val="18"/>
          <w:color w:val="auto"/>
        </w:rPr>
      </w:pPr>
    </w:p>
    <w:p>
      <w:pPr>
        <w:ind w:firstLine="444"/>
        <w:spacing w:after="0" w:line="251" w:lineRule="auto"/>
        <w:tabs>
          <w:tab w:leader="none" w:pos="65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xml:space="preserve">.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subplans and/or modifications shall increase the share limitations contained in Section 3(a) hereof; and</w:t>
      </w:r>
    </w:p>
    <w:p>
      <w:pPr>
        <w:spacing w:after="0" w:line="1" w:lineRule="exact"/>
        <w:rPr>
          <w:rFonts w:ascii="Times New Roman" w:cs="Times New Roman" w:eastAsia="Times New Roman" w:hAnsi="Times New Roman"/>
          <w:sz w:val="18"/>
          <w:szCs w:val="18"/>
          <w:color w:val="auto"/>
        </w:rPr>
      </w:pPr>
    </w:p>
    <w:p>
      <w:pPr>
        <w:jc w:val="both"/>
        <w:ind w:right="60" w:firstLine="7"/>
        <w:spacing w:after="0" w:line="250" w:lineRule="auto"/>
        <w:tabs>
          <w:tab w:leader="none" w:pos="25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110" w:lineRule="exact"/>
        <w:rPr>
          <w:sz w:val="20"/>
          <w:szCs w:val="20"/>
          <w:color w:val="auto"/>
        </w:rPr>
      </w:pPr>
    </w:p>
    <w:p>
      <w:pPr>
        <w:ind w:firstLine="444"/>
        <w:spacing w:after="0" w:line="255" w:lineRule="auto"/>
        <w:tabs>
          <w:tab w:leader="none" w:pos="67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6,567,144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w:t>
      </w:r>
      <w:r>
        <w:rPr>
          <w:rFonts w:ascii="Times New Roman" w:cs="Times New Roman" w:eastAsia="Times New Roman" w:hAnsi="Times New Roman"/>
          <w:sz w:val="18"/>
          <w:szCs w:val="18"/>
          <w:color w:val="auto"/>
        </w:rPr>
        <w:t>”), subject to adjustment as provided in Section 3(c), plus on January 1, 2021 and each January 1 thereafter, the number of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and available for issuance under the Plan shall be cumulatively increased by the lesser of (i) five percent (5%) of the number of shares of Stock issued and outstanding on the immediately preceding December 31 or (ii) such lesser number of shares as determined by the Administrator (the “</w:t>
      </w:r>
      <w:r>
        <w:rPr>
          <w:rFonts w:ascii="Times New Roman" w:cs="Times New Roman" w:eastAsia="Times New Roman" w:hAnsi="Times New Roman"/>
          <w:sz w:val="18"/>
          <w:szCs w:val="18"/>
          <w:b w:val="1"/>
          <w:bCs w:val="1"/>
          <w:color w:val="auto"/>
        </w:rPr>
        <w:t>Annual Increase</w:t>
      </w:r>
      <w:r>
        <w:rPr>
          <w:rFonts w:ascii="Times New Roman" w:cs="Times New Roman" w:eastAsia="Times New Roman" w:hAnsi="Times New Roman"/>
          <w:sz w:val="18"/>
          <w:szCs w:val="18"/>
          <w:color w:val="auto"/>
        </w:rPr>
        <w:t>”). Subject to such overall limitation, the maximum aggregate number of shares of Stock that may be issued in the form of Incentive Stock Options under this Plan shall not exceed the Initial Limit cumulatively increased on</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80" w:top="268" w:right="559" w:bottom="1440" w:gutter="0" w:footer="0" w:header="0"/>
        </w:sectPr>
      </w:pPr>
    </w:p>
    <w:bookmarkStart w:id="294" w:name="page295"/>
    <w:bookmarkEnd w:id="294"/>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January 1, 2021 and on each January 1 thereafter by the lesser of the Annual Increase for such year or 6,567,144 shares of Stock, subject in all cases to adjustment as provided in Section 3(c). For purposes of this limitation, the shares of Stock underlying any awards under the Plan and under the Company’s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If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85" w:lineRule="exact"/>
        <w:rPr>
          <w:sz w:val="20"/>
          <w:szCs w:val="20"/>
          <w:color w:val="auto"/>
        </w:rPr>
      </w:pPr>
    </w:p>
    <w:p>
      <w:pPr>
        <w:ind w:right="160" w:firstLine="444"/>
        <w:spacing w:after="0" w:line="255" w:lineRule="auto"/>
        <w:tabs>
          <w:tab w:leader="none" w:pos="68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shall not exceed $750,000; provided, however, that such amount shall be $1,500,000 for the calendar year in which the applicable Non-Employee Director is initially elected or appointed to the Board.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77" w:lineRule="exact"/>
        <w:rPr>
          <w:rFonts w:ascii="Times New Roman" w:cs="Times New Roman" w:eastAsia="Times New Roman" w:hAnsi="Times New Roman"/>
          <w:sz w:val="18"/>
          <w:szCs w:val="18"/>
          <w:color w:val="auto"/>
        </w:rPr>
      </w:pPr>
    </w:p>
    <w:p>
      <w:pPr>
        <w:ind w:right="100" w:firstLine="444"/>
        <w:spacing w:after="0" w:line="266" w:lineRule="auto"/>
        <w:tabs>
          <w:tab w:leader="none" w:pos="679"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Stock</w:t>
      </w:r>
      <w:r>
        <w:rPr>
          <w:rFonts w:ascii="Times New Roman" w:cs="Times New Roman" w:eastAsia="Times New Roman" w:hAnsi="Times New Roman"/>
          <w:sz w:val="17"/>
          <w:szCs w:val="17"/>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w:t>
      </w:r>
    </w:p>
    <w:p>
      <w:pPr>
        <w:spacing w:after="0" w:line="2" w:lineRule="exact"/>
        <w:rPr>
          <w:rFonts w:ascii="Times New Roman" w:cs="Times New Roman" w:eastAsia="Times New Roman" w:hAnsi="Times New Roman"/>
          <w:sz w:val="17"/>
          <w:szCs w:val="17"/>
          <w:color w:val="auto"/>
        </w:rPr>
      </w:pPr>
    </w:p>
    <w:p>
      <w:pPr>
        <w:ind w:firstLine="7"/>
        <w:spacing w:after="0" w:line="265" w:lineRule="auto"/>
        <w:tabs>
          <w:tab w:leader="none" w:pos="213"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295" w:name="page296"/>
    <w:bookmarkEnd w:id="295"/>
    <w:p>
      <w:pPr>
        <w:ind w:firstLine="444"/>
        <w:spacing w:after="0" w:line="264" w:lineRule="auto"/>
        <w:tabs>
          <w:tab w:leader="none" w:pos="689"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Mergers and Other Transactions</w:t>
      </w:r>
      <w:r>
        <w:rPr>
          <w:rFonts w:ascii="Times New Roman" w:cs="Times New Roman" w:eastAsia="Times New Roman" w:hAnsi="Times New Roman"/>
          <w:sz w:val="17"/>
          <w:szCs w:val="17"/>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 Option or Stock Appreciation Right with an exercise price equal to or less than the Sale Price, such Option or Stock Appreciation Right shall be cancelled for no consideration); or</w:t>
      </w:r>
    </w:p>
    <w:p>
      <w:pPr>
        <w:spacing w:after="0" w:line="3" w:lineRule="exact"/>
        <w:rPr>
          <w:rFonts w:ascii="Times New Roman" w:cs="Times New Roman" w:eastAsia="Times New Roman" w:hAnsi="Times New Roman"/>
          <w:sz w:val="17"/>
          <w:szCs w:val="17"/>
          <w:color w:val="auto"/>
        </w:rPr>
      </w:pPr>
    </w:p>
    <w:p>
      <w:pPr>
        <w:ind w:right="20" w:firstLine="7"/>
        <w:spacing w:after="0" w:line="250" w:lineRule="auto"/>
        <w:tabs>
          <w:tab w:leader="none" w:pos="26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11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Grantees under the Plan will be such employees, Non-Employee Directors and Consultants of the Company and its Affiliates as are selected from time to time by the Administrator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8" w:right="5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STOCK OPTIONS</w:t>
      </w:r>
    </w:p>
    <w:p>
      <w:pPr>
        <w:spacing w:after="0" w:line="114" w:lineRule="exact"/>
        <w:rPr>
          <w:sz w:val="20"/>
          <w:szCs w:val="20"/>
          <w:color w:val="auto"/>
        </w:rPr>
      </w:pPr>
    </w:p>
    <w:p>
      <w:pPr>
        <w:ind w:right="20" w:firstLine="444"/>
        <w:spacing w:after="0" w:line="278" w:lineRule="auto"/>
        <w:tabs>
          <w:tab w:leader="none" w:pos="67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2" w:lineRule="exact"/>
        <w:rPr>
          <w:sz w:val="20"/>
          <w:szCs w:val="20"/>
          <w:color w:val="auto"/>
        </w:rPr>
      </w:pPr>
    </w:p>
    <w:p>
      <w:pPr>
        <w:ind w:right="40" w:firstLine="436"/>
        <w:spacing w:after="0" w:line="263"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or any portion thereof, does not qualify as an Incentive Stock Option, it shall be deemed a Non-Qualified Stock Option.</w:t>
      </w:r>
    </w:p>
    <w:p>
      <w:pPr>
        <w:spacing w:after="0" w:line="175" w:lineRule="exact"/>
        <w:rPr>
          <w:sz w:val="20"/>
          <w:szCs w:val="20"/>
          <w:color w:val="auto"/>
        </w:rPr>
      </w:pPr>
    </w:p>
    <w:p>
      <w:pPr>
        <w:jc w:val="both"/>
        <w:ind w:right="40" w:firstLine="436"/>
        <w:spacing w:after="0" w:line="285" w:lineRule="auto"/>
        <w:rPr>
          <w:sz w:val="20"/>
          <w:szCs w:val="20"/>
          <w:color w:val="auto"/>
        </w:rPr>
      </w:pPr>
      <w:r>
        <w:rPr>
          <w:rFonts w:ascii="Times New Roman" w:cs="Times New Roman" w:eastAsia="Times New Roman" w:hAnsi="Times New Roman"/>
          <w:sz w:val="17"/>
          <w:szCs w:val="17"/>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53" w:lineRule="exact"/>
        <w:rPr>
          <w:sz w:val="20"/>
          <w:szCs w:val="20"/>
          <w:color w:val="auto"/>
        </w:rPr>
      </w:pPr>
    </w:p>
    <w:p>
      <w:pPr>
        <w:ind w:right="80" w:firstLine="444"/>
        <w:spacing w:after="0" w:line="253" w:lineRule="auto"/>
        <w:tabs>
          <w:tab w:leader="none" w:pos="68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one hundred percent (100%) of the Fair Market Value on the date of grant. In the case of an Incentive Stock Option that is granted to a Ten Percent Owner, the exercise price of such Incentive Stock Option shall be not less than one hundred and ten percent (110%) of the Fair Market Value on the grant date. Notwithstanding the foregoing, Stock Options may be granted with an exercise price per share that is less than one hundred percent (100%)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77" w:lineRule="exact"/>
        <w:rPr>
          <w:rFonts w:ascii="Times New Roman" w:cs="Times New Roman" w:eastAsia="Times New Roman" w:hAnsi="Times New Roman"/>
          <w:sz w:val="18"/>
          <w:szCs w:val="18"/>
          <w:color w:val="auto"/>
        </w:rPr>
      </w:pPr>
    </w:p>
    <w:p>
      <w:pPr>
        <w:jc w:val="both"/>
        <w:ind w:right="20" w:firstLine="444"/>
        <w:spacing w:after="0" w:line="263" w:lineRule="auto"/>
        <w:tabs>
          <w:tab w:leader="none" w:pos="67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68" w:lineRule="exact"/>
        <w:rPr>
          <w:rFonts w:ascii="Times New Roman" w:cs="Times New Roman" w:eastAsia="Times New Roman" w:hAnsi="Times New Roman"/>
          <w:sz w:val="18"/>
          <w:szCs w:val="18"/>
          <w:color w:val="auto"/>
        </w:rPr>
      </w:pPr>
    </w:p>
    <w:p>
      <w:pPr>
        <w:ind w:firstLine="444"/>
        <w:spacing w:after="0" w:line="258" w:lineRule="auto"/>
        <w:tabs>
          <w:tab w:leader="none" w:pos="68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72" w:lineRule="exact"/>
        <w:rPr>
          <w:rFonts w:ascii="Times New Roman" w:cs="Times New Roman" w:eastAsia="Times New Roman" w:hAnsi="Times New Roman"/>
          <w:sz w:val="18"/>
          <w:szCs w:val="18"/>
          <w:color w:val="auto"/>
        </w:rPr>
      </w:pPr>
    </w:p>
    <w:p>
      <w:pPr>
        <w:jc w:val="both"/>
        <w:ind w:right="300" w:firstLine="444"/>
        <w:spacing w:after="0" w:line="263" w:lineRule="auto"/>
        <w:tabs>
          <w:tab w:leader="none" w:pos="67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68"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297" w:name="page298"/>
    <w:bookmarkEnd w:id="297"/>
    <w:p>
      <w:pPr>
        <w:ind w:firstLine="990"/>
        <w:spacing w:after="0" w:line="278" w:lineRule="auto"/>
        <w:tabs>
          <w:tab w:leader="none" w:pos="12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55" w:lineRule="exact"/>
        <w:rPr>
          <w:rFonts w:ascii="Times New Roman" w:cs="Times New Roman" w:eastAsia="Times New Roman" w:hAnsi="Times New Roman"/>
          <w:sz w:val="18"/>
          <w:szCs w:val="18"/>
          <w:color w:val="auto"/>
        </w:rPr>
      </w:pPr>
    </w:p>
    <w:p>
      <w:pPr>
        <w:ind w:right="80" w:firstLine="990"/>
        <w:spacing w:after="0" w:line="258" w:lineRule="auto"/>
        <w:tabs>
          <w:tab w:leader="none" w:pos="129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72" w:lineRule="exact"/>
        <w:rPr>
          <w:rFonts w:ascii="Times New Roman" w:cs="Times New Roman" w:eastAsia="Times New Roman" w:hAnsi="Times New Roman"/>
          <w:sz w:val="18"/>
          <w:szCs w:val="18"/>
          <w:color w:val="auto"/>
        </w:rPr>
      </w:pPr>
    </w:p>
    <w:p>
      <w:pPr>
        <w:jc w:val="both"/>
        <w:ind w:right="160" w:firstLine="990"/>
        <w:spacing w:after="0" w:line="263" w:lineRule="auto"/>
        <w:tabs>
          <w:tab w:leader="none" w:pos="128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85" w:lineRule="exact"/>
        <w:rPr>
          <w:sz w:val="20"/>
          <w:szCs w:val="20"/>
          <w:color w:val="auto"/>
        </w:rPr>
      </w:pPr>
    </w:p>
    <w:p>
      <w:pPr>
        <w:ind w:right="20" w:firstLine="444"/>
        <w:spacing w:after="0" w:line="258" w:lineRule="auto"/>
        <w:tabs>
          <w:tab w:leader="none" w:pos="65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114" w:lineRule="exact"/>
        <w:rPr>
          <w:sz w:val="20"/>
          <w:szCs w:val="20"/>
          <w:color w:val="auto"/>
        </w:rPr>
      </w:pPr>
    </w:p>
    <w:p>
      <w:pPr>
        <w:ind w:right="180" w:firstLine="444"/>
        <w:spacing w:after="0" w:line="258" w:lineRule="auto"/>
        <w:tabs>
          <w:tab w:leader="none" w:pos="67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298" w:name="page299"/>
    <w:bookmarkEnd w:id="298"/>
    <w:p>
      <w:pPr>
        <w:ind w:right="440" w:firstLine="444"/>
        <w:spacing w:after="0" w:line="278" w:lineRule="auto"/>
        <w:tabs>
          <w:tab w:leader="none" w:pos="68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Exercise Price of Stock Appreciation Rights</w:t>
      </w:r>
      <w:r>
        <w:rPr>
          <w:rFonts w:ascii="Times New Roman" w:cs="Times New Roman" w:eastAsia="Times New Roman" w:hAnsi="Times New Roman"/>
          <w:sz w:val="18"/>
          <w:szCs w:val="18"/>
          <w:color w:val="auto"/>
        </w:rPr>
        <w:t>. The exercise price of a Stock Appreciation Right shall not be less than one hundred percent (100%) of the Fair Market Value of the Stock on the date of grant.</w:t>
      </w:r>
    </w:p>
    <w:p>
      <w:pPr>
        <w:spacing w:after="0" w:line="55" w:lineRule="exact"/>
        <w:rPr>
          <w:rFonts w:ascii="Times New Roman" w:cs="Times New Roman" w:eastAsia="Times New Roman" w:hAnsi="Times New Roman"/>
          <w:sz w:val="18"/>
          <w:szCs w:val="18"/>
          <w:color w:val="auto"/>
        </w:rPr>
      </w:pPr>
    </w:p>
    <w:p>
      <w:pPr>
        <w:ind w:right="40" w:firstLine="444"/>
        <w:spacing w:after="0" w:line="278" w:lineRule="auto"/>
        <w:tabs>
          <w:tab w:leader="none" w:pos="67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55" w:lineRule="exact"/>
        <w:rPr>
          <w:rFonts w:ascii="Times New Roman" w:cs="Times New Roman" w:eastAsia="Times New Roman" w:hAnsi="Times New Roman"/>
          <w:sz w:val="18"/>
          <w:szCs w:val="18"/>
          <w:color w:val="auto"/>
        </w:rPr>
      </w:pPr>
    </w:p>
    <w:p>
      <w:pPr>
        <w:ind w:right="260" w:firstLine="444"/>
        <w:spacing w:after="0" w:line="263" w:lineRule="auto"/>
        <w:tabs>
          <w:tab w:leader="none" w:pos="68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114" w:lineRule="exact"/>
        <w:rPr>
          <w:sz w:val="20"/>
          <w:szCs w:val="20"/>
          <w:color w:val="auto"/>
        </w:rPr>
      </w:pPr>
    </w:p>
    <w:p>
      <w:pPr>
        <w:ind w:firstLine="444"/>
        <w:spacing w:after="0" w:line="263" w:lineRule="auto"/>
        <w:tabs>
          <w:tab w:leader="none" w:pos="67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68" w:lineRule="exact"/>
        <w:rPr>
          <w:rFonts w:ascii="Times New Roman" w:cs="Times New Roman" w:eastAsia="Times New Roman" w:hAnsi="Times New Roman"/>
          <w:sz w:val="18"/>
          <w:szCs w:val="18"/>
          <w:color w:val="auto"/>
        </w:rPr>
      </w:pPr>
    </w:p>
    <w:p>
      <w:pPr>
        <w:jc w:val="both"/>
        <w:ind w:right="80" w:firstLine="444"/>
        <w:spacing w:after="0" w:line="266" w:lineRule="auto"/>
        <w:tabs>
          <w:tab w:leader="none" w:pos="689"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xml:space="preserve">. Upon the grant of the Restricted Stock Award and payment of any applicable purchase price, a grantee shall have the rights of a stockholder with respect to the voting of the Restricted Shares and receipt of dividends;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2" w:lineRule="exact"/>
        <w:rPr>
          <w:rFonts w:ascii="Times New Roman" w:cs="Times New Roman" w:eastAsia="Times New Roman" w:hAnsi="Times New Roman"/>
          <w:sz w:val="17"/>
          <w:szCs w:val="17"/>
          <w:color w:val="auto"/>
        </w:rPr>
      </w:pPr>
    </w:p>
    <w:p>
      <w:pPr>
        <w:ind w:right="260" w:firstLine="7"/>
        <w:spacing w:after="0" w:line="252" w:lineRule="auto"/>
        <w:tabs>
          <w:tab w:leader="none" w:pos="26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78" w:lineRule="exact"/>
        <w:rPr>
          <w:rFonts w:ascii="Times New Roman" w:cs="Times New Roman" w:eastAsia="Times New Roman" w:hAnsi="Times New Roman"/>
          <w:sz w:val="18"/>
          <w:szCs w:val="18"/>
          <w:color w:val="auto"/>
        </w:rPr>
      </w:pPr>
    </w:p>
    <w:p>
      <w:pPr>
        <w:ind w:right="20" w:firstLine="444"/>
        <w:spacing w:after="0" w:line="254" w:lineRule="auto"/>
        <w:tabs>
          <w:tab w:leader="none" w:pos="67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8" w:right="539" w:bottom="1440" w:gutter="0" w:footer="0" w:header="0"/>
        </w:sectPr>
      </w:pPr>
    </w:p>
    <w:bookmarkStart w:id="299" w:name="page300"/>
    <w:bookmarkEnd w:id="299"/>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73" w:lineRule="exact"/>
        <w:rPr>
          <w:sz w:val="20"/>
          <w:szCs w:val="20"/>
          <w:color w:val="auto"/>
        </w:rPr>
      </w:pPr>
    </w:p>
    <w:p>
      <w:pPr>
        <w:ind w:right="40" w:firstLine="444"/>
        <w:spacing w:after="0" w:line="258" w:lineRule="auto"/>
        <w:tabs>
          <w:tab w:leader="none" w:pos="68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114" w:lineRule="exact"/>
        <w:rPr>
          <w:sz w:val="20"/>
          <w:szCs w:val="20"/>
          <w:color w:val="auto"/>
        </w:rPr>
      </w:pPr>
    </w:p>
    <w:p>
      <w:pPr>
        <w:ind w:right="20" w:firstLine="444"/>
        <w:spacing w:after="0" w:line="252" w:lineRule="auto"/>
        <w:tabs>
          <w:tab w:leader="none" w:pos="67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80" w:lineRule="exact"/>
        <w:rPr>
          <w:rFonts w:ascii="Times New Roman" w:cs="Times New Roman" w:eastAsia="Times New Roman" w:hAnsi="Times New Roman"/>
          <w:sz w:val="18"/>
          <w:szCs w:val="18"/>
          <w:color w:val="auto"/>
        </w:rPr>
      </w:pPr>
    </w:p>
    <w:p>
      <w:pPr>
        <w:ind w:firstLine="444"/>
        <w:spacing w:after="0" w:line="251" w:lineRule="auto"/>
        <w:tabs>
          <w:tab w:leader="none" w:pos="68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84" w:lineRule="exact"/>
        <w:rPr>
          <w:rFonts w:ascii="Times New Roman" w:cs="Times New Roman" w:eastAsia="Times New Roman" w:hAnsi="Times New Roman"/>
          <w:sz w:val="18"/>
          <w:szCs w:val="18"/>
          <w:color w:val="auto"/>
        </w:rPr>
      </w:pPr>
    </w:p>
    <w:p>
      <w:pPr>
        <w:jc w:val="both"/>
        <w:ind w:right="120" w:firstLine="444"/>
        <w:spacing w:after="0" w:line="263" w:lineRule="auto"/>
        <w:tabs>
          <w:tab w:leader="none" w:pos="67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A grantee shall have the rights as a stockholder only as to shares of Stock acquired by the grantee upon settlement of Restricted Stock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300" w:name="page301"/>
    <w:bookmarkEnd w:id="300"/>
    <w:p>
      <w:pPr>
        <w:jc w:val="both"/>
        <w:ind w:right="360" w:firstLine="444"/>
        <w:spacing w:after="0" w:line="263" w:lineRule="auto"/>
        <w:tabs>
          <w:tab w:leader="none" w:pos="68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UNRESTRICTED STOCK AWARDS</w:t>
      </w:r>
    </w:p>
    <w:p>
      <w:pPr>
        <w:spacing w:after="0" w:line="114"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114"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114" w:lineRule="exact"/>
        <w:rPr>
          <w:sz w:val="20"/>
          <w:szCs w:val="20"/>
          <w:color w:val="auto"/>
        </w:rPr>
      </w:pPr>
    </w:p>
    <w:p>
      <w:pPr>
        <w:ind w:right="100" w:firstLine="444"/>
        <w:spacing w:after="0" w:line="251" w:lineRule="auto"/>
        <w:tabs>
          <w:tab w:leader="none" w:pos="67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9" w:right="519" w:bottom="1440" w:gutter="0" w:footer="0" w:header="0"/>
        </w:sectPr>
      </w:pPr>
    </w:p>
    <w:bookmarkStart w:id="301" w:name="page302"/>
    <w:bookmarkEnd w:id="301"/>
    <w:p>
      <w:pPr>
        <w:ind w:right="300" w:firstLine="444"/>
        <w:spacing w:after="0" w:line="263" w:lineRule="auto"/>
        <w:tabs>
          <w:tab w:leader="none" w:pos="68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14" w:lineRule="exact"/>
        <w:rPr>
          <w:sz w:val="20"/>
          <w:szCs w:val="20"/>
          <w:color w:val="auto"/>
        </w:rPr>
      </w:pPr>
    </w:p>
    <w:p>
      <w:pPr>
        <w:ind w:firstLine="444"/>
        <w:spacing w:after="0" w:line="255" w:lineRule="auto"/>
        <w:tabs>
          <w:tab w:leader="none" w:pos="67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77" w:lineRule="exact"/>
        <w:rPr>
          <w:rFonts w:ascii="Times New Roman" w:cs="Times New Roman" w:eastAsia="Times New Roman" w:hAnsi="Times New Roman"/>
          <w:sz w:val="18"/>
          <w:szCs w:val="18"/>
          <w:color w:val="auto"/>
        </w:rPr>
      </w:pPr>
    </w:p>
    <w:p>
      <w:pPr>
        <w:ind w:right="280" w:firstLine="444"/>
        <w:spacing w:after="0" w:line="255" w:lineRule="auto"/>
        <w:tabs>
          <w:tab w:leader="none" w:pos="68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xml:space="preserve">.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transferee agrees in writing with the Company to be bound by all of the terms and conditions of this Plan and the applicable Award. In no event may an Award be transferred by a grantee for value.</w:t>
      </w:r>
    </w:p>
    <w:p>
      <w:pPr>
        <w:spacing w:after="0" w:line="73" w:lineRule="exact"/>
        <w:rPr>
          <w:rFonts w:ascii="Times New Roman" w:cs="Times New Roman" w:eastAsia="Times New Roman" w:hAnsi="Times New Roman"/>
          <w:sz w:val="18"/>
          <w:szCs w:val="18"/>
          <w:color w:val="auto"/>
        </w:rPr>
      </w:pPr>
    </w:p>
    <w:p>
      <w:pPr>
        <w:ind w:right="40" w:firstLine="444"/>
        <w:spacing w:after="0" w:line="256" w:lineRule="auto"/>
        <w:tabs>
          <w:tab w:leader="none" w:pos="67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76" w:lineRule="exact"/>
        <w:rPr>
          <w:rFonts w:ascii="Times New Roman" w:cs="Times New Roman" w:eastAsia="Times New Roman" w:hAnsi="Times New Roman"/>
          <w:sz w:val="18"/>
          <w:szCs w:val="18"/>
          <w:color w:val="auto"/>
        </w:rPr>
      </w:pPr>
    </w:p>
    <w:p>
      <w:pPr>
        <w:ind w:right="200" w:firstLine="444"/>
        <w:spacing w:after="0" w:line="255" w:lineRule="auto"/>
        <w:tabs>
          <w:tab w:leader="none" w:pos="68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9" w:right="51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TAX WITHHOLDING</w:t>
      </w:r>
    </w:p>
    <w:p>
      <w:pPr>
        <w:spacing w:after="0" w:line="114" w:lineRule="exact"/>
        <w:rPr>
          <w:sz w:val="20"/>
          <w:szCs w:val="20"/>
          <w:color w:val="auto"/>
        </w:rPr>
      </w:pPr>
    </w:p>
    <w:p>
      <w:pPr>
        <w:ind w:right="60" w:firstLine="444"/>
        <w:spacing w:after="0" w:line="254" w:lineRule="auto"/>
        <w:tabs>
          <w:tab w:leader="none" w:pos="67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3" w:lineRule="exact"/>
        <w:rPr>
          <w:rFonts w:ascii="Times New Roman" w:cs="Times New Roman" w:eastAsia="Times New Roman" w:hAnsi="Times New Roman"/>
          <w:sz w:val="18"/>
          <w:szCs w:val="18"/>
          <w:color w:val="auto"/>
        </w:rPr>
      </w:pPr>
    </w:p>
    <w:p>
      <w:pPr>
        <w:ind w:firstLine="444"/>
        <w:spacing w:after="0" w:line="252" w:lineRule="auto"/>
        <w:tabs>
          <w:tab w:leader="none" w:pos="68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xml:space="preserve">.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14"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cs="Times New Roman" w:eastAsia="Times New Roman" w:hAnsi="Times New Roman"/>
          <w:sz w:val="18"/>
          <w:szCs w:val="18"/>
          <w:b w:val="1"/>
          <w:bCs w:val="1"/>
          <w:color w:val="auto"/>
        </w:rPr>
        <w:t>409A Award</w:t>
      </w:r>
      <w:r>
        <w:rPr>
          <w:rFonts w:ascii="Times New Roman" w:cs="Times New Roman" w:eastAsia="Times New Roman" w:hAnsi="Times New Roman"/>
          <w:sz w:val="18"/>
          <w:szCs w:val="18"/>
          <w:color w:val="auto"/>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14" w:lineRule="exact"/>
        <w:rPr>
          <w:sz w:val="20"/>
          <w:szCs w:val="20"/>
          <w:color w:val="auto"/>
        </w:rPr>
      </w:pPr>
    </w:p>
    <w:p>
      <w:pPr>
        <w:ind w:right="180" w:firstLine="444"/>
        <w:spacing w:after="0" w:line="278" w:lineRule="auto"/>
        <w:tabs>
          <w:tab w:leader="none" w:pos="67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9" w:right="519" w:bottom="1440" w:gutter="0" w:footer="0" w:header="0"/>
        </w:sectPr>
      </w:pPr>
    </w:p>
    <w:bookmarkStart w:id="303" w:name="page304"/>
    <w:bookmarkEnd w:id="303"/>
    <w:p>
      <w:pPr>
        <w:ind w:left="700" w:hanging="256"/>
        <w:spacing w:after="0"/>
        <w:tabs>
          <w:tab w:leader="none" w:pos="7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purposes of the Plan, the following events shall not be deemed a termination of a Service Relationship:</w:t>
      </w:r>
    </w:p>
    <w:p>
      <w:pPr>
        <w:spacing w:after="0" w:line="113"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transfer to the employment of the Company from an Affiliate or from the Company to an Affiliate, or from one Affiliate to another; or</w:t>
      </w:r>
    </w:p>
    <w:p>
      <w:pPr>
        <w:spacing w:after="0" w:line="125" w:lineRule="exact"/>
        <w:rPr>
          <w:rFonts w:ascii="Times New Roman" w:cs="Times New Roman" w:eastAsia="Times New Roman" w:hAnsi="Times New Roman"/>
          <w:sz w:val="17"/>
          <w:szCs w:val="17"/>
          <w:color w:val="auto"/>
        </w:rPr>
      </w:pPr>
    </w:p>
    <w:p>
      <w:pPr>
        <w:ind w:right="220" w:firstLine="990"/>
        <w:spacing w:after="0" w:line="263" w:lineRule="auto"/>
        <w:tabs>
          <w:tab w:leader="none" w:pos="124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14"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1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existence of such trusts or other arrangements is consistent with the foregoing sentence.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14" w:lineRule="exact"/>
        <w:rPr>
          <w:sz w:val="20"/>
          <w:szCs w:val="20"/>
          <w:color w:val="auto"/>
        </w:rPr>
      </w:pPr>
    </w:p>
    <w:p>
      <w:pPr>
        <w:ind w:right="20" w:firstLine="444"/>
        <w:spacing w:after="0" w:line="278" w:lineRule="auto"/>
        <w:tabs>
          <w:tab w:leader="none" w:pos="67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55" w:lineRule="exact"/>
        <w:rPr>
          <w:rFonts w:ascii="Times New Roman" w:cs="Times New Roman" w:eastAsia="Times New Roman" w:hAnsi="Times New Roman"/>
          <w:sz w:val="18"/>
          <w:szCs w:val="18"/>
          <w:color w:val="auto"/>
        </w:rPr>
      </w:pPr>
    </w:p>
    <w:p>
      <w:pPr>
        <w:ind w:right="120" w:firstLine="444"/>
        <w:spacing w:after="0" w:line="258" w:lineRule="auto"/>
        <w:tabs>
          <w:tab w:leader="none" w:pos="68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304" w:name="page305"/>
    <w:bookmarkEnd w:id="304"/>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86" w:lineRule="exact"/>
        <w:rPr>
          <w:sz w:val="20"/>
          <w:szCs w:val="20"/>
          <w:color w:val="auto"/>
        </w:rPr>
      </w:pPr>
    </w:p>
    <w:p>
      <w:pPr>
        <w:ind w:right="40" w:firstLine="444"/>
        <w:spacing w:after="0" w:line="263" w:lineRule="auto"/>
        <w:tabs>
          <w:tab w:leader="none" w:pos="67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68" w:lineRule="exact"/>
        <w:rPr>
          <w:rFonts w:ascii="Times New Roman" w:cs="Times New Roman" w:eastAsia="Times New Roman" w:hAnsi="Times New Roman"/>
          <w:sz w:val="18"/>
          <w:szCs w:val="18"/>
          <w:color w:val="auto"/>
        </w:rPr>
      </w:pPr>
    </w:p>
    <w:p>
      <w:pPr>
        <w:ind w:right="140" w:firstLine="444"/>
        <w:spacing w:after="0" w:line="258" w:lineRule="auto"/>
        <w:tabs>
          <w:tab w:leader="none" w:pos="68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72" w:lineRule="exact"/>
        <w:rPr>
          <w:rFonts w:ascii="Times New Roman" w:cs="Times New Roman" w:eastAsia="Times New Roman" w:hAnsi="Times New Roman"/>
          <w:sz w:val="18"/>
          <w:szCs w:val="18"/>
          <w:color w:val="auto"/>
        </w:rPr>
      </w:pPr>
    </w:p>
    <w:p>
      <w:pPr>
        <w:ind w:right="180" w:firstLine="444"/>
        <w:spacing w:after="0" w:line="278" w:lineRule="auto"/>
        <w:tabs>
          <w:tab w:leader="none" w:pos="67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55" w:lineRule="exact"/>
        <w:rPr>
          <w:rFonts w:ascii="Times New Roman" w:cs="Times New Roman" w:eastAsia="Times New Roman" w:hAnsi="Times New Roman"/>
          <w:sz w:val="18"/>
          <w:szCs w:val="18"/>
          <w:color w:val="auto"/>
        </w:rPr>
      </w:pPr>
    </w:p>
    <w:p>
      <w:pPr>
        <w:ind w:left="660" w:hanging="216"/>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221"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Registration Date subject to prior stockholder approval in accordance with applicable state law, the Company’s bylaws and certificate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8" w:right="5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SECTION 20. </w:t>
      </w:r>
      <w:r>
        <w:rPr>
          <w:rFonts w:ascii="Times New Roman" w:cs="Times New Roman" w:eastAsia="Times New Roman" w:hAnsi="Times New Roman"/>
          <w:sz w:val="18"/>
          <w:szCs w:val="18"/>
          <w:u w:val="single" w:color="auto"/>
          <w:color w:val="auto"/>
        </w:rPr>
        <w:t>GOVERNING LAW</w:t>
      </w:r>
    </w:p>
    <w:p>
      <w:pPr>
        <w:spacing w:after="0" w:line="114"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ectPr>
          <w:pgSz w:w="11900" w:h="16838" w:orient="portrait"/>
          <w:cols w:equalWidth="0" w:num="1">
            <w:col w:w="10680"/>
          </w:cols>
          <w:pgMar w:left="480" w:top="268" w:right="7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APPROVED BY BOARD OF DIRECTORS: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8, 2020</w:t>
      </w:r>
    </w:p>
    <w:p>
      <w:pPr>
        <w:spacing w:after="0" w:line="125" w:lineRule="exact"/>
        <w:rPr>
          <w:sz w:val="20"/>
          <w:szCs w:val="20"/>
          <w:color w:val="auto"/>
        </w:rPr>
      </w:pPr>
    </w:p>
    <w:p>
      <w:pPr>
        <w:sectPr>
          <w:pgSz w:w="11900" w:h="16838" w:orient="portrait"/>
          <w:cols w:equalWidth="0" w:num="2">
            <w:col w:w="4980" w:space="720"/>
            <w:col w:w="4980"/>
          </w:cols>
          <w:pgMar w:left="480" w:top="268" w:right="7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APPROVED BY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23, 2020</w:t>
      </w:r>
    </w:p>
    <w:p>
      <w:pPr>
        <w:spacing w:after="0" w:line="200" w:lineRule="exact"/>
        <w:rPr>
          <w:sz w:val="20"/>
          <w:szCs w:val="20"/>
          <w:color w:val="auto"/>
        </w:rPr>
      </w:pPr>
    </w:p>
    <w:p>
      <w:pPr>
        <w:sectPr>
          <w:pgSz w:w="11900" w:h="16838" w:orient="portrait"/>
          <w:cols w:equalWidth="0" w:num="2">
            <w:col w:w="4980" w:space="720"/>
            <w:col w:w="4980"/>
          </w:cols>
          <w:pgMar w:left="480" w:top="268" w:right="739" w:bottom="1440" w:gutter="0" w:footer="0" w:header="0"/>
          <w:type w:val="continuous"/>
        </w:sectPr>
      </w:pPr>
    </w:p>
    <w:p>
      <w:pPr>
        <w:spacing w:after="0" w:line="59" w:lineRule="exact"/>
        <w:rPr>
          <w:sz w:val="20"/>
          <w:szCs w:val="20"/>
          <w:color w:val="auto"/>
        </w:rPr>
      </w:pPr>
    </w:p>
    <w:p>
      <w:pPr>
        <w:ind w:left="5380" w:right="4020" w:hanging="5373"/>
        <w:spacing w:after="0" w:line="448" w:lineRule="auto"/>
        <w:tabs>
          <w:tab w:leader="none" w:pos="22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numbers in this Plan reflect the reverse stock split effected September 25, 2020. 17</w:t>
      </w:r>
    </w:p>
    <w:p>
      <w:pPr>
        <w:sectPr>
          <w:pgSz w:w="11900" w:h="16838" w:orient="portrait"/>
          <w:cols w:equalWidth="0" w:num="1">
            <w:col w:w="10680"/>
          </w:cols>
          <w:pgMar w:left="480" w:top="268" w:right="739" w:bottom="1440" w:gutter="0" w:footer="0" w:header="0"/>
          <w:type w:val="continuous"/>
        </w:sectPr>
      </w:pPr>
    </w:p>
    <w:bookmarkStart w:id="306" w:name="page307"/>
    <w:bookmarkEnd w:id="306"/>
    <w:tbl>
      <w:tblPr>
        <w:tblLayout w:type="fixed"/>
        <w:tblInd w:w="0" w:type="dxa"/>
        <w:tblCellMar>
          <w:top w:w="0" w:type="dxa"/>
          <w:left w:w="0" w:type="dxa"/>
          <w:bottom w:w="0" w:type="dxa"/>
          <w:right w:w="0" w:type="dxa"/>
        </w:tblCellMar>
      </w:tblPr>
      <w:tr>
        <w:trPr>
          <w:trHeight w:val="214"/>
        </w:trPr>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INCENTIVE STOCK OPTION AGREEMENT</w:t>
            </w:r>
          </w:p>
        </w:tc>
      </w:tr>
      <w:tr>
        <w:trPr>
          <w:trHeight w:val="214"/>
        </w:trPr>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UNDER THE C4 THERAPEUTICS, INC.</w:t>
            </w:r>
          </w:p>
        </w:tc>
      </w:tr>
      <w:tr>
        <w:trPr>
          <w:trHeight w:val="237"/>
        </w:trPr>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gridSpan w:val="3"/>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2020 STOCK OPTION AND INCENTIVE PLAN</w:t>
            </w: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40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40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35"/>
        </w:trPr>
        <w:tc>
          <w:tcPr>
            <w:tcW w:w="2660" w:type="dxa"/>
            <w:vAlign w:val="bottom"/>
          </w:tcPr>
          <w:p>
            <w:pPr>
              <w:spacing w:after="0"/>
              <w:rPr>
                <w:sz w:val="20"/>
                <w:szCs w:val="20"/>
                <w:color w:val="auto"/>
              </w:rPr>
            </w:pPr>
          </w:p>
        </w:tc>
        <w:tc>
          <w:tcPr>
            <w:tcW w:w="50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[FMV on Grant Date (110% of FMV if a 10% owner)]</w:t>
            </w:r>
          </w:p>
        </w:tc>
      </w:tr>
      <w:tr>
        <w:trPr>
          <w:trHeight w:val="38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40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235"/>
        </w:trPr>
        <w:tc>
          <w:tcPr>
            <w:tcW w:w="2660" w:type="dxa"/>
            <w:vAlign w:val="bottom"/>
          </w:tcPr>
          <w:p>
            <w:pPr>
              <w:spacing w:after="0"/>
              <w:rPr>
                <w:sz w:val="20"/>
                <w:szCs w:val="20"/>
                <w:color w:val="auto"/>
              </w:rPr>
            </w:pPr>
          </w:p>
        </w:tc>
        <w:tc>
          <w:tcPr>
            <w:tcW w:w="50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[up to 10 years (5 if a 10% owner)]</w:t>
            </w: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Pursuant to the C4 Therapeutics, Inc. 2020 Stock Option and Incentive Plan as amended through the date hereof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to the Optionee named above an option (the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to purchase on or prior to the Expiration Date specified above all or part of the number of shares of Common Stock, par value $0.0001 per share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 specified above at the Option Exercise Price per Share specified above subject to the terms and conditions set forth herein and in the Plan.</w:t>
      </w:r>
    </w:p>
    <w:p>
      <w:pPr>
        <w:spacing w:after="0" w:line="180" w:lineRule="exact"/>
        <w:rPr>
          <w:sz w:val="20"/>
          <w:szCs w:val="20"/>
          <w:color w:val="auto"/>
        </w:rPr>
      </w:pPr>
    </w:p>
    <w:p>
      <w:pPr>
        <w:ind w:firstLine="444"/>
        <w:spacing w:after="0" w:line="258" w:lineRule="auto"/>
        <w:tabs>
          <w:tab w:leader="none" w:pos="61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Service Relationship with the Company or a Subsidiary on each such date:</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Number of</w:t>
            </w:r>
          </w:p>
        </w:tc>
        <w:tc>
          <w:tcPr>
            <w:tcW w:w="1080" w:type="dxa"/>
            <w:vAlign w:val="bottom"/>
          </w:tcPr>
          <w:p>
            <w:pPr>
              <w:spacing w:after="0"/>
              <w:rPr>
                <w:sz w:val="13"/>
                <w:szCs w:val="13"/>
                <w:color w:val="auto"/>
              </w:rPr>
            </w:pPr>
          </w:p>
        </w:tc>
      </w:tr>
      <w:tr>
        <w:trPr>
          <w:trHeight w:val="170"/>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 Shares Exercisable*</w:t>
            </w: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w w:val="98"/>
              </w:rPr>
              <w:t>Exercisability Date</w:t>
            </w:r>
          </w:p>
        </w:tc>
      </w:tr>
      <w:tr>
        <w:trPr>
          <w:trHeight w:val="20"/>
        </w:trPr>
        <w:tc>
          <w:tcPr>
            <w:tcW w:w="15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1"/>
        </w:trPr>
        <w:tc>
          <w:tcPr>
            <w:tcW w:w="72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_____________ (___%)</w:t>
            </w:r>
          </w:p>
        </w:tc>
        <w:tc>
          <w:tcPr>
            <w:tcW w:w="1080" w:type="dxa"/>
            <w:vAlign w:val="bottom"/>
            <w:tcBorders>
              <w:bottom w:val="single" w:sz="8" w:color="auto"/>
            </w:tcBorders>
          </w:tcPr>
          <w:p>
            <w:pPr>
              <w:spacing w:after="0"/>
              <w:rPr>
                <w:sz w:val="17"/>
                <w:szCs w:val="17"/>
                <w:color w:val="auto"/>
              </w:rPr>
            </w:pPr>
          </w:p>
        </w:tc>
      </w:tr>
      <w:tr>
        <w:trPr>
          <w:trHeight w:val="207"/>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_____________ (___%)</w:t>
            </w:r>
          </w:p>
        </w:tc>
        <w:tc>
          <w:tcPr>
            <w:tcW w:w="1080" w:type="dxa"/>
            <w:vAlign w:val="bottom"/>
            <w:tcBorders>
              <w:bottom w:val="single" w:sz="8" w:color="auto"/>
            </w:tcBorders>
          </w:tcPr>
          <w:p>
            <w:pPr>
              <w:spacing w:after="0"/>
              <w:rPr>
                <w:sz w:val="18"/>
                <w:szCs w:val="18"/>
                <w:color w:val="auto"/>
              </w:rPr>
            </w:pPr>
          </w:p>
        </w:tc>
      </w:tr>
      <w:tr>
        <w:trPr>
          <w:trHeight w:val="207"/>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_____________ (___%)</w:t>
            </w:r>
          </w:p>
        </w:tc>
        <w:tc>
          <w:tcPr>
            <w:tcW w:w="1080" w:type="dxa"/>
            <w:vAlign w:val="bottom"/>
            <w:tcBorders>
              <w:bottom w:val="single" w:sz="8" w:color="auto"/>
            </w:tcBorders>
          </w:tcPr>
          <w:p>
            <w:pPr>
              <w:spacing w:after="0"/>
              <w:rPr>
                <w:sz w:val="18"/>
                <w:szCs w:val="18"/>
                <w:color w:val="auto"/>
              </w:rPr>
            </w:pPr>
          </w:p>
        </w:tc>
      </w:tr>
      <w:tr>
        <w:trPr>
          <w:trHeight w:val="207"/>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_____________ (___%)</w:t>
            </w:r>
          </w:p>
        </w:tc>
        <w:tc>
          <w:tcPr>
            <w:tcW w:w="1080" w:type="dxa"/>
            <w:vAlign w:val="bottom"/>
            <w:tcBorders>
              <w:bottom w:val="single" w:sz="8" w:color="auto"/>
            </w:tcBorders>
          </w:tcPr>
          <w:p>
            <w:pPr>
              <w:spacing w:after="0"/>
              <w:rPr>
                <w:sz w:val="18"/>
                <w:szCs w:val="18"/>
                <w:color w:val="auto"/>
              </w:rPr>
            </w:pPr>
          </w:p>
        </w:tc>
      </w:tr>
      <w:tr>
        <w:trPr>
          <w:trHeight w:val="207"/>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_____________ (___%)</w:t>
            </w:r>
          </w:p>
        </w:tc>
        <w:tc>
          <w:tcPr>
            <w:tcW w:w="1080" w:type="dxa"/>
            <w:vAlign w:val="bottom"/>
            <w:tcBorders>
              <w:bottom w:val="single" w:sz="8" w:color="auto"/>
            </w:tcBorders>
          </w:tcPr>
          <w:p>
            <w:pPr>
              <w:spacing w:after="0"/>
              <w:rPr>
                <w:sz w:val="18"/>
                <w:szCs w:val="18"/>
                <w:color w:val="auto"/>
              </w:rPr>
            </w:pPr>
          </w:p>
        </w:tc>
      </w:tr>
    </w:tbl>
    <w:p>
      <w:pPr>
        <w:spacing w:after="0" w:line="222" w:lineRule="exact"/>
        <w:rPr>
          <w:sz w:val="20"/>
          <w:szCs w:val="20"/>
          <w:color w:val="auto"/>
        </w:rPr>
      </w:pPr>
    </w:p>
    <w:p>
      <w:pPr>
        <w:ind w:left="440" w:hanging="433"/>
        <w:spacing w:after="0"/>
        <w:tabs>
          <w:tab w:leader="none" w:pos="4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 of $100,000 per yr.</w:t>
      </w:r>
    </w:p>
    <w:p>
      <w:pPr>
        <w:spacing w:after="0" w:line="221" w:lineRule="exact"/>
        <w:rPr>
          <w:sz w:val="20"/>
          <w:szCs w:val="20"/>
          <w:color w:val="auto"/>
        </w:rPr>
      </w:pPr>
    </w:p>
    <w:p>
      <w:pPr>
        <w:ind w:right="320" w:firstLine="436"/>
        <w:spacing w:after="0" w:line="278"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0860"/>
          </w:cols>
          <w:pgMar w:left="480" w:top="264" w:right="559" w:bottom="1440" w:gutter="0" w:footer="0" w:header="0"/>
        </w:sectPr>
      </w:pPr>
    </w:p>
    <w:bookmarkStart w:id="307" w:name="page308"/>
    <w:bookmarkEnd w:id="307"/>
    <w:p>
      <w:pPr>
        <w:ind w:left="620" w:hanging="176"/>
        <w:spacing w:after="0"/>
        <w:tabs>
          <w:tab w:leader="none" w:pos="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Manner of Exercise</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20" w:firstLine="990"/>
        <w:spacing w:after="0" w:line="263" w:lineRule="auto"/>
        <w:tabs>
          <w:tab w:leader="none" w:pos="122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5"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92"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77" w:lineRule="exact"/>
        <w:rPr>
          <w:sz w:val="20"/>
          <w:szCs w:val="20"/>
          <w:color w:val="auto"/>
        </w:rPr>
      </w:pPr>
    </w:p>
    <w:p>
      <w:pPr>
        <w:ind w:firstLine="990"/>
        <w:spacing w:after="0" w:line="253" w:lineRule="auto"/>
        <w:tabs>
          <w:tab w:leader="none" w:pos="123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308" w:name="page309"/>
    <w:bookmarkEnd w:id="308"/>
    <w:p>
      <w:pPr>
        <w:ind w:right="20" w:firstLine="990"/>
        <w:spacing w:after="0" w:line="263" w:lineRule="auto"/>
        <w:tabs>
          <w:tab w:leader="none" w:pos="1225"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202" w:lineRule="exact"/>
        <w:rPr>
          <w:rFonts w:ascii="Times New Roman" w:cs="Times New Roman" w:eastAsia="Times New Roman" w:hAnsi="Times New Roman"/>
          <w:sz w:val="18"/>
          <w:szCs w:val="18"/>
          <w:color w:val="auto"/>
        </w:rPr>
      </w:pPr>
    </w:p>
    <w:p>
      <w:pPr>
        <w:ind w:right="420" w:firstLine="444"/>
        <w:spacing w:after="0" w:line="278" w:lineRule="auto"/>
        <w:tabs>
          <w:tab w:leader="none" w:pos="61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Optionee’s employment by or other Service Relationship with the Company or a Subsidiary is terminated, the period within which to exercise the Stock Option may be subject to earlier termination as set forth below.</w:t>
      </w:r>
    </w:p>
    <w:p>
      <w:pPr>
        <w:spacing w:after="0" w:line="55" w:lineRule="exact"/>
        <w:rPr>
          <w:rFonts w:ascii="Times New Roman" w:cs="Times New Roman" w:eastAsia="Times New Roman" w:hAnsi="Times New Roman"/>
          <w:sz w:val="18"/>
          <w:szCs w:val="18"/>
          <w:color w:val="auto"/>
        </w:rPr>
      </w:pPr>
    </w:p>
    <w:p>
      <w:pPr>
        <w:ind w:right="80" w:firstLine="990"/>
        <w:spacing w:after="0" w:line="277" w:lineRule="auto"/>
        <w:tabs>
          <w:tab w:leader="none" w:pos="1224"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Death</w:t>
      </w:r>
      <w:r>
        <w:rPr>
          <w:rFonts w:ascii="Times New Roman" w:cs="Times New Roman" w:eastAsia="Times New Roman" w:hAnsi="Times New Roman"/>
          <w:sz w:val="17"/>
          <w:szCs w:val="17"/>
          <w:color w:val="auto"/>
        </w:rPr>
        <w:t>. If the Optionee’s employment or other Service Relationship with the Company or a Subsidiary terminates by reason of the Optionee’s death, any portion of this Stock Option outstanding on the date of death, to the extent exercisable on such date,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60" w:lineRule="exact"/>
        <w:rPr>
          <w:rFonts w:ascii="Times New Roman" w:cs="Times New Roman" w:eastAsia="Times New Roman" w:hAnsi="Times New Roman"/>
          <w:sz w:val="17"/>
          <w:szCs w:val="17"/>
          <w:color w:val="auto"/>
        </w:rPr>
      </w:pPr>
    </w:p>
    <w:p>
      <w:pPr>
        <w:ind w:firstLine="990"/>
        <w:spacing w:after="0" w:line="255" w:lineRule="auto"/>
        <w:tabs>
          <w:tab w:leader="none" w:pos="123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employment or other Service Relationship with the Company or a Subsidiary terminates by reason of the Optionee’s disability (as determined by the Administrator), any portion of this Stock Option outstanding on the date on which the Optionee is determined to have a disability, to the extent exercisable on such date, may thereafter be exercised by the Optionee for a period of 12 months from such date of disability or until the Expiration Date, if earlier. Any portion of this Stock Option that is not exercisable on the date of disability shall terminate immediately and be of no further force or effect.</w:t>
      </w:r>
    </w:p>
    <w:p>
      <w:pPr>
        <w:spacing w:after="0" w:line="77" w:lineRule="exact"/>
        <w:rPr>
          <w:rFonts w:ascii="Times New Roman" w:cs="Times New Roman" w:eastAsia="Times New Roman" w:hAnsi="Times New Roman"/>
          <w:sz w:val="18"/>
          <w:szCs w:val="18"/>
          <w:color w:val="auto"/>
        </w:rPr>
      </w:pPr>
    </w:p>
    <w:p>
      <w:pPr>
        <w:ind w:firstLine="990"/>
        <w:spacing w:after="0" w:line="253" w:lineRule="auto"/>
        <w:tabs>
          <w:tab w:leader="none" w:pos="122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employment or other Service Relationship with the Company or a Subsidiary terminates for Cause, any portion of this Stock Option outstanding on such date shall terminate immediately and be of no further force and effect. For purposes hereof,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unless otherwise provided in an employment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77" w:lineRule="exact"/>
        <w:rPr>
          <w:rFonts w:ascii="Times New Roman" w:cs="Times New Roman" w:eastAsia="Times New Roman" w:hAnsi="Times New Roman"/>
          <w:sz w:val="18"/>
          <w:szCs w:val="18"/>
          <w:color w:val="auto"/>
        </w:rPr>
      </w:pPr>
    </w:p>
    <w:p>
      <w:pPr>
        <w:ind w:right="100" w:firstLine="990"/>
        <w:spacing w:after="0" w:line="274" w:lineRule="auto"/>
        <w:tabs>
          <w:tab w:leader="none" w:pos="1234"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Termination</w:t>
      </w:r>
      <w:r>
        <w:rPr>
          <w:rFonts w:ascii="Times New Roman" w:cs="Times New Roman" w:eastAsia="Times New Roman" w:hAnsi="Times New Roman"/>
          <w:sz w:val="17"/>
          <w:szCs w:val="17"/>
          <w:color w:val="auto"/>
        </w:rPr>
        <w:t>. If the Optionee’s employment or other Service Relationship with the Company or a Subsidiary terminates for any reason other than the Optionee’s death, disability, or Cause, and unless otherwise determined by the Administrator, any portion of this Stock Option outstanding on the date on which the Optionee’s employment or other Service Relationship with the Company or a Subsidiary terminated may be exercised, to the extent exercisable on such date, for a period of three months from such date of termination or until the Expiration Date, if earlier. Any portion of this Stock Option that is not exercisable on the date of termination shall terminate immediately and be of no further force or effect.</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480" w:top="268" w:right="559" w:bottom="1440" w:gutter="0" w:footer="0" w:header="0"/>
        </w:sectPr>
      </w:pPr>
    </w:p>
    <w:bookmarkStart w:id="309" w:name="page310"/>
    <w:bookmarkEnd w:id="309"/>
    <w:p>
      <w:pPr>
        <w:ind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Administrator’s determination of the reason for termination of the Optionee’s employment or other Service Relationship with the Company or a Subsidiary shall be conclusive and binding on the Optionee and his or her representatives or legatees.</w:t>
      </w:r>
    </w:p>
    <w:p>
      <w:pPr>
        <w:spacing w:after="0" w:line="162" w:lineRule="exact"/>
        <w:rPr>
          <w:sz w:val="20"/>
          <w:szCs w:val="20"/>
          <w:color w:val="auto"/>
        </w:rPr>
      </w:pPr>
    </w:p>
    <w:p>
      <w:pPr>
        <w:ind w:firstLine="444"/>
        <w:spacing w:after="0" w:line="263" w:lineRule="auto"/>
        <w:tabs>
          <w:tab w:leader="none" w:pos="61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360" w:firstLine="444"/>
        <w:spacing w:after="0" w:line="263" w:lineRule="auto"/>
        <w:tabs>
          <w:tab w:leader="none" w:pos="61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firstLine="444"/>
        <w:spacing w:after="0" w:line="252" w:lineRule="auto"/>
        <w:tabs>
          <w:tab w:leader="none" w:pos="61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the Stock Option</w:t>
      </w:r>
      <w:r>
        <w:rPr>
          <w:rFonts w:ascii="Times New Roman" w:cs="Times New Roman" w:eastAsia="Times New Roman" w:hAnsi="Times New Roman"/>
          <w:sz w:val="18"/>
          <w:szCs w:val="18"/>
          <w:color w:val="auto"/>
        </w:rPr>
        <w:t>. This Stock Option is intended to qualify as an “incentive stock option” under Section 422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87" w:lineRule="exact"/>
        <w:rPr>
          <w:rFonts w:ascii="Times New Roman" w:cs="Times New Roman" w:eastAsia="Times New Roman" w:hAnsi="Times New Roman"/>
          <w:sz w:val="18"/>
          <w:szCs w:val="18"/>
          <w:color w:val="auto"/>
        </w:rPr>
      </w:pPr>
    </w:p>
    <w:p>
      <w:pPr>
        <w:ind w:right="60" w:firstLine="444"/>
        <w:spacing w:after="0" w:line="255" w:lineRule="auto"/>
        <w:tabs>
          <w:tab w:leader="none" w:pos="61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w:t>
      </w:r>
    </w:p>
    <w:p>
      <w:pPr>
        <w:spacing w:after="0" w:line="184" w:lineRule="exact"/>
        <w:rPr>
          <w:rFonts w:ascii="Times New Roman" w:cs="Times New Roman" w:eastAsia="Times New Roman" w:hAnsi="Times New Roman"/>
          <w:sz w:val="18"/>
          <w:szCs w:val="18"/>
          <w:color w:val="auto"/>
        </w:rPr>
      </w:pPr>
    </w:p>
    <w:p>
      <w:pPr>
        <w:jc w:val="both"/>
        <w:ind w:right="480" w:firstLine="444"/>
        <w:spacing w:after="0" w:line="258" w:lineRule="auto"/>
        <w:tabs>
          <w:tab w:leader="none" w:pos="61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employment or other Service Relationship with the Company or a Subsidiary and neither the Plan nor this Agreement shall interfere in any way with the right of the Company or any Subsidiary to terminate the Optionee’s employment or other Service Relationship with the Company or a Subsidiary at any time.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310" w:name="page311"/>
    <w:bookmarkEnd w:id="310"/>
    <w:p>
      <w:pPr>
        <w:ind w:left="-80" w:right="360" w:firstLine="444"/>
        <w:spacing w:after="0" w:line="278" w:lineRule="auto"/>
        <w:tabs>
          <w:tab w:leader="none" w:pos="53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2" w:lineRule="exact"/>
        <w:rPr>
          <w:rFonts w:ascii="Times New Roman" w:cs="Times New Roman" w:eastAsia="Times New Roman" w:hAnsi="Times New Roman"/>
          <w:sz w:val="18"/>
          <w:szCs w:val="18"/>
          <w:color w:val="auto"/>
        </w:rPr>
      </w:pPr>
    </w:p>
    <w:p>
      <w:pPr>
        <w:ind w:left="-80" w:firstLine="444"/>
        <w:spacing w:after="0" w:line="251" w:lineRule="auto"/>
        <w:tabs>
          <w:tab w:leader="none" w:pos="6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18"/>
          <w:szCs w:val="18"/>
          <w:b w:val="1"/>
          <w:bCs w:val="1"/>
          <w:color w:val="auto"/>
        </w:rPr>
        <w:t>Relevant Companies</w:t>
      </w:r>
      <w:r>
        <w:rPr>
          <w:rFonts w:ascii="Times New Roman" w:cs="Times New Roman" w:eastAsia="Times New Roman" w:hAnsi="Times New Roman"/>
          <w:sz w:val="18"/>
          <w:szCs w:val="18"/>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18"/>
          <w:szCs w:val="18"/>
          <w:b w:val="1"/>
          <w:bCs w:val="1"/>
          <w:color w:val="auto"/>
        </w:rPr>
        <w:t>Relevant Information</w:t>
      </w:r>
      <w:r>
        <w:rPr>
          <w:rFonts w:ascii="Times New Roman" w:cs="Times New Roman" w:eastAsia="Times New Roman" w:hAnsi="Times New Roman"/>
          <w:sz w:val="18"/>
          <w:szCs w:val="18"/>
          <w:color w:val="auto"/>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91" w:lineRule="exact"/>
        <w:rPr>
          <w:rFonts w:ascii="Times New Roman" w:cs="Times New Roman" w:eastAsia="Times New Roman" w:hAnsi="Times New Roman"/>
          <w:sz w:val="18"/>
          <w:szCs w:val="18"/>
          <w:color w:val="auto"/>
        </w:rPr>
      </w:pPr>
    </w:p>
    <w:p>
      <w:pPr>
        <w:ind w:left="-80" w:right="20" w:firstLine="444"/>
        <w:spacing w:after="0" w:line="263" w:lineRule="auto"/>
        <w:tabs>
          <w:tab w:leader="none" w:pos="61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0"/>
          </w:cols>
          <w:pgMar w:left="560" w:top="268" w:right="559" w:bottom="1440" w:gutter="0" w:footer="0" w:header="0"/>
        </w:sectPr>
      </w:pPr>
    </w:p>
    <w:bookmarkStart w:id="311" w:name="page312"/>
    <w:bookmarkEnd w:id="311"/>
    <w:p>
      <w:pPr>
        <w:ind w:left="6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C4 THERAPEUTICS,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15875</wp:posOffset>
            </wp:positionV>
            <wp:extent cx="639445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1">
                      <a:extLst>
                        <a:ext uri="{28A0092B-C50C-407E-A947-70E740481C1C}"/>
                      </a:extLst>
                    </a:blip>
                    <a:srcRect/>
                    <a:stretch>
                      <a:fillRect/>
                    </a:stretch>
                  </pic:blipFill>
                  <pic:spPr bwMode="auto">
                    <a:xfrm>
                      <a:off x="0" y="0"/>
                      <a:ext cx="6394450" cy="8255"/>
                    </a:xfrm>
                    <a:prstGeom prst="rect">
                      <a:avLst/>
                    </a:prstGeom>
                    <a:noFill/>
                  </pic:spPr>
                </pic:pic>
              </a:graphicData>
            </a:graphic>
          </wp:anchor>
        </w:drawing>
      </w:r>
    </w:p>
    <w:p>
      <w:pPr>
        <w:spacing w:after="0" w:line="1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219710</wp:posOffset>
            </wp:positionV>
            <wp:extent cx="286194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2">
                      <a:extLst>
                        <a:ext uri="{28A0092B-C50C-407E-A947-70E740481C1C}"/>
                      </a:extLst>
                    </a:blip>
                    <a:srcRect/>
                    <a:stretch>
                      <a:fillRect/>
                    </a:stretch>
                  </pic:blipFill>
                  <pic:spPr bwMode="auto">
                    <a:xfrm>
                      <a:off x="0" y="0"/>
                      <a:ext cx="2861945" cy="8255"/>
                    </a:xfrm>
                    <a:prstGeom prst="rect">
                      <a:avLst/>
                    </a:prstGeom>
                    <a:noFill/>
                  </pic:spPr>
                </pic:pic>
              </a:graphicData>
            </a:graphic>
          </wp:anchor>
        </w:drawing>
        <w:drawing>
          <wp:anchor simplePos="0" relativeHeight="251657728" behindDoc="1" locked="0" layoutInCell="0" allowOverlap="1">
            <wp:simplePos x="0" y="0"/>
            <wp:positionH relativeFrom="column">
              <wp:posOffset>4072890</wp:posOffset>
            </wp:positionH>
            <wp:positionV relativeFrom="paragraph">
              <wp:posOffset>440690</wp:posOffset>
            </wp:positionV>
            <wp:extent cx="286194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3">
                      <a:extLst>
                        <a:ext uri="{28A0092B-C50C-407E-A947-70E740481C1C}"/>
                      </a:extLst>
                    </a:blip>
                    <a:srcRect/>
                    <a:stretch>
                      <a:fillRect/>
                    </a:stretch>
                  </pic:blipFill>
                  <pic:spPr bwMode="auto">
                    <a:xfrm>
                      <a:off x="0" y="0"/>
                      <a:ext cx="2861945" cy="8255"/>
                    </a:xfrm>
                    <a:prstGeom prst="rect">
                      <a:avLst/>
                    </a:prstGeom>
                    <a:noFill/>
                  </pic:spPr>
                </pic:pic>
              </a:graphicData>
            </a:graphic>
          </wp:anchor>
        </w:drawing>
        <w:drawing>
          <wp:anchor simplePos="0" relativeHeight="251657728" behindDoc="1" locked="0" layoutInCell="0" allowOverlap="1">
            <wp:simplePos x="0" y="0"/>
            <wp:positionH relativeFrom="column">
              <wp:posOffset>4072890</wp:posOffset>
            </wp:positionH>
            <wp:positionV relativeFrom="paragraph">
              <wp:posOffset>661670</wp:posOffset>
            </wp:positionV>
            <wp:extent cx="286194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4">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40"/>
          </w:cols>
          <w:pgMar w:left="480" w:top="264" w:right="779" w:bottom="1440" w:gutter="0" w:footer="0" w:header="0"/>
        </w:sectPr>
      </w:pPr>
    </w:p>
    <w:bookmarkStart w:id="312" w:name="page313"/>
    <w:bookmarkEnd w:id="3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NON-QUALIFIED STOCK OPTION AGREEMENT</w:t>
      </w:r>
    </w:p>
    <w:p>
      <w:pPr>
        <w:spacing w:after="0" w:line="3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NON-EMPLOYEE CONSULTANTS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UNDER THE C4 THERAPEUTICS, INC.</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2020 STOCK OPTION AND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-8890</wp:posOffset>
            </wp:positionV>
            <wp:extent cx="254635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6">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-8890</wp:posOffset>
            </wp:positionV>
            <wp:extent cx="155638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7">
                      <a:extLst>
                        <a:ext uri="{28A0092B-C50C-407E-A947-70E740481C1C}"/>
                      </a:extLst>
                    </a:blip>
                    <a:srcRect/>
                    <a:stretch>
                      <a:fillRect/>
                    </a:stretch>
                  </pic:blipFill>
                  <pic:spPr bwMode="auto">
                    <a:xfrm>
                      <a:off x="0" y="0"/>
                      <a:ext cx="1556385" cy="8255"/>
                    </a:xfrm>
                    <a:prstGeom prst="rect">
                      <a:avLst/>
                    </a:prstGeom>
                    <a:noFill/>
                  </pic:spPr>
                </pic:pic>
              </a:graphicData>
            </a:graphic>
          </wp:anchor>
        </w:drawing>
      </w:r>
    </w:p>
    <w:p>
      <w:pPr>
        <w:spacing w:after="0" w:line="201"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Option Exercise Price per Share: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2209800</wp:posOffset>
            </wp:positionH>
            <wp:positionV relativeFrom="paragraph">
              <wp:posOffset>-8890</wp:posOffset>
            </wp:positionV>
            <wp:extent cx="14998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9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FMV on Grant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-8890</wp:posOffset>
            </wp:positionV>
            <wp:extent cx="155638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9">
                      <a:extLst>
                        <a:ext uri="{28A0092B-C50C-407E-A947-70E740481C1C}"/>
                      </a:extLst>
                    </a:blip>
                    <a:srcRect/>
                    <a:stretch>
                      <a:fillRect/>
                    </a:stretch>
                  </pic:blipFill>
                  <pic:spPr bwMode="auto">
                    <a:xfrm>
                      <a:off x="0" y="0"/>
                      <a:ext cx="155638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-8890</wp:posOffset>
            </wp:positionV>
            <wp:extent cx="155638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0">
                      <a:extLst>
                        <a:ext uri="{28A0092B-C50C-407E-A947-70E740481C1C}"/>
                      </a:extLst>
                    </a:blip>
                    <a:srcRect/>
                    <a:stretch>
                      <a:fillRect/>
                    </a:stretch>
                  </pic:blipFill>
                  <pic:spPr bwMode="auto">
                    <a:xfrm>
                      <a:off x="0" y="0"/>
                      <a:ext cx="1556385" cy="8255"/>
                    </a:xfrm>
                    <a:prstGeom prst="rect">
                      <a:avLst/>
                    </a:prstGeom>
                    <a:noFill/>
                  </pic:spPr>
                </pic:pic>
              </a:graphicData>
            </a:graphic>
          </wp:anchor>
        </w:drawing>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 more than 10 years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Pursuant to the C4 Therapeutics, Inc. 2020 Stock Option and Incentive Plan as amended through the date hereof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to the Optionee named above, who is a Consultant of the Company, an option (the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to purchase on or prior to the Expiration Date specified above all or part of the number of shares of Common Stock, par value $0.0001 per share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84" w:lineRule="exact"/>
        <w:rPr>
          <w:sz w:val="20"/>
          <w:szCs w:val="20"/>
          <w:color w:val="auto"/>
        </w:rPr>
      </w:pPr>
    </w:p>
    <w:p>
      <w:pPr>
        <w:ind w:firstLine="444"/>
        <w:spacing w:after="0" w:line="258" w:lineRule="auto"/>
        <w:tabs>
          <w:tab w:leader="none" w:pos="61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Service Relationship with the Company or a Subsidiary on each such date:</w:t>
      </w:r>
    </w:p>
    <w:p>
      <w:pPr>
        <w:spacing w:after="0" w:line="188"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38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rPr>
              <w:t>Incremental Number of</w:t>
            </w:r>
          </w:p>
        </w:tc>
        <w:tc>
          <w:tcPr>
            <w:tcW w:w="18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color w:val="auto"/>
              </w:rPr>
              <w:t>Exercisability Date</w:t>
            </w: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 Shares Exercisable</w:t>
            </w:r>
          </w:p>
        </w:tc>
        <w:tc>
          <w:tcPr>
            <w:tcW w:w="86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0" w:type="dxa"/>
            <w:vAlign w:val="bottom"/>
            <w:vMerge w:val="continue"/>
          </w:tcPr>
          <w:p>
            <w:pPr>
              <w:spacing w:after="0"/>
              <w:rPr>
                <w:sz w:val="14"/>
                <w:szCs w:val="14"/>
                <w:color w:val="auto"/>
              </w:rPr>
            </w:pPr>
          </w:p>
        </w:tc>
        <w:tc>
          <w:tcPr>
            <w:tcW w:w="2380" w:type="dxa"/>
            <w:vAlign w:val="bottom"/>
            <w:gridSpan w:val="2"/>
          </w:tcPr>
          <w:p>
            <w:pPr>
              <w:jc w:val="right"/>
              <w:ind w:right="760"/>
              <w:spacing w:after="0" w:line="167" w:lineRule="exact"/>
              <w:rPr>
                <w:sz w:val="20"/>
                <w:szCs w:val="20"/>
                <w:color w:val="auto"/>
              </w:rPr>
            </w:pPr>
            <w:r>
              <w:rPr>
                <w:rFonts w:ascii="Times New Roman" w:cs="Times New Roman" w:eastAsia="Times New Roman" w:hAnsi="Times New Roman"/>
                <w:sz w:val="18"/>
                <w:szCs w:val="18"/>
                <w:color w:val="auto"/>
                <w:w w:val="91"/>
              </w:rPr>
              <w:t>_____________ (___%)</w:t>
            </w:r>
          </w:p>
        </w:tc>
        <w:tc>
          <w:tcPr>
            <w:tcW w:w="7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00" w:type="dxa"/>
            <w:vAlign w:val="bottom"/>
            <w:gridSpan w:val="3"/>
          </w:tcPr>
          <w:p>
            <w:pPr>
              <w:jc w:val="right"/>
              <w:ind w:right="760"/>
              <w:spacing w:after="0" w:line="194" w:lineRule="exact"/>
              <w:rPr>
                <w:sz w:val="20"/>
                <w:szCs w:val="20"/>
                <w:color w:val="auto"/>
              </w:rPr>
            </w:pPr>
            <w:r>
              <w:rPr>
                <w:rFonts w:ascii="Times New Roman" w:cs="Times New Roman" w:eastAsia="Times New Roman" w:hAnsi="Times New Roman"/>
                <w:sz w:val="18"/>
                <w:szCs w:val="18"/>
                <w:color w:val="auto"/>
                <w:w w:val="97"/>
              </w:rPr>
              <w:t>_____________ (___%)</w:t>
            </w:r>
          </w:p>
        </w:tc>
        <w:tc>
          <w:tcPr>
            <w:tcW w:w="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00" w:type="dxa"/>
            <w:vAlign w:val="bottom"/>
            <w:gridSpan w:val="3"/>
          </w:tcPr>
          <w:p>
            <w:pPr>
              <w:jc w:val="right"/>
              <w:ind w:right="760"/>
              <w:spacing w:after="0" w:line="194" w:lineRule="exact"/>
              <w:rPr>
                <w:sz w:val="20"/>
                <w:szCs w:val="20"/>
                <w:color w:val="auto"/>
              </w:rPr>
            </w:pPr>
            <w:r>
              <w:rPr>
                <w:rFonts w:ascii="Times New Roman" w:cs="Times New Roman" w:eastAsia="Times New Roman" w:hAnsi="Times New Roman"/>
                <w:sz w:val="18"/>
                <w:szCs w:val="18"/>
                <w:color w:val="auto"/>
                <w:w w:val="97"/>
              </w:rPr>
              <w:t>_____________ (___%)</w:t>
            </w:r>
          </w:p>
        </w:tc>
        <w:tc>
          <w:tcPr>
            <w:tcW w:w="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00" w:type="dxa"/>
            <w:vAlign w:val="bottom"/>
            <w:gridSpan w:val="3"/>
          </w:tcPr>
          <w:p>
            <w:pPr>
              <w:jc w:val="right"/>
              <w:ind w:right="760"/>
              <w:spacing w:after="0" w:line="194" w:lineRule="exact"/>
              <w:rPr>
                <w:sz w:val="20"/>
                <w:szCs w:val="20"/>
                <w:color w:val="auto"/>
              </w:rPr>
            </w:pPr>
            <w:r>
              <w:rPr>
                <w:rFonts w:ascii="Times New Roman" w:cs="Times New Roman" w:eastAsia="Times New Roman" w:hAnsi="Times New Roman"/>
                <w:sz w:val="18"/>
                <w:szCs w:val="18"/>
                <w:color w:val="auto"/>
                <w:w w:val="97"/>
              </w:rPr>
              <w:t>_____________ (___%)</w:t>
            </w:r>
          </w:p>
        </w:tc>
        <w:tc>
          <w:tcPr>
            <w:tcW w:w="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00" w:type="dxa"/>
            <w:vAlign w:val="bottom"/>
            <w:gridSpan w:val="3"/>
          </w:tcPr>
          <w:p>
            <w:pPr>
              <w:jc w:val="right"/>
              <w:ind w:right="760"/>
              <w:spacing w:after="0" w:line="194" w:lineRule="exact"/>
              <w:rPr>
                <w:sz w:val="20"/>
                <w:szCs w:val="20"/>
                <w:color w:val="auto"/>
              </w:rPr>
            </w:pPr>
            <w:r>
              <w:rPr>
                <w:rFonts w:ascii="Times New Roman" w:cs="Times New Roman" w:eastAsia="Times New Roman" w:hAnsi="Times New Roman"/>
                <w:sz w:val="18"/>
                <w:szCs w:val="18"/>
                <w:color w:val="auto"/>
                <w:w w:val="97"/>
              </w:rPr>
              <w:t>_____________ (___%)</w:t>
            </w:r>
          </w:p>
        </w:tc>
        <w:tc>
          <w:tcPr>
            <w:tcW w:w="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80" w:top="264" w:right="559" w:bottom="1440" w:gutter="0" w:footer="0" w:header="0"/>
        </w:sectPr>
      </w:pPr>
    </w:p>
    <w:bookmarkStart w:id="313" w:name="page314"/>
    <w:bookmarkEnd w:id="313"/>
    <w:p>
      <w:pPr>
        <w:ind w:right="38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Once exercisable, this Stock Option shall continue to be exercisable at any time or times prior to the close of business on the Expiration Date, subject to the provisions hereof and of the Plan.</w:t>
      </w:r>
    </w:p>
    <w:p>
      <w:pPr>
        <w:spacing w:after="0" w:line="55" w:lineRule="exact"/>
        <w:rPr>
          <w:sz w:val="20"/>
          <w:szCs w:val="20"/>
          <w:color w:val="auto"/>
        </w:rPr>
      </w:pPr>
    </w:p>
    <w:p>
      <w:pPr>
        <w:ind w:left="620" w:hanging="176"/>
        <w:spacing w:after="0"/>
        <w:tabs>
          <w:tab w:leader="none" w:pos="6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40" w:firstLine="990"/>
        <w:spacing w:after="0" w:line="263" w:lineRule="auto"/>
        <w:tabs>
          <w:tab w:leader="none" w:pos="1225"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5"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89"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77" w:lineRule="exact"/>
        <w:rPr>
          <w:sz w:val="20"/>
          <w:szCs w:val="20"/>
          <w:color w:val="auto"/>
        </w:rPr>
      </w:pPr>
    </w:p>
    <w:p>
      <w:pPr>
        <w:ind w:right="20" w:firstLine="990"/>
        <w:spacing w:after="0" w:line="258" w:lineRule="auto"/>
        <w:tabs>
          <w:tab w:leader="none" w:pos="123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314" w:name="page315"/>
    <w:bookmarkEnd w:id="314"/>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3" w:lineRule="exact"/>
        <w:rPr>
          <w:sz w:val="20"/>
          <w:szCs w:val="20"/>
          <w:color w:val="auto"/>
        </w:rPr>
      </w:pPr>
    </w:p>
    <w:p>
      <w:pPr>
        <w:ind w:right="80" w:firstLine="990"/>
        <w:spacing w:after="0" w:line="263" w:lineRule="auto"/>
        <w:tabs>
          <w:tab w:leader="none" w:pos="1225"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95" w:lineRule="exact"/>
        <w:rPr>
          <w:rFonts w:ascii="Times New Roman" w:cs="Times New Roman" w:eastAsia="Times New Roman" w:hAnsi="Times New Roman"/>
          <w:sz w:val="18"/>
          <w:szCs w:val="18"/>
          <w:color w:val="auto"/>
        </w:rPr>
      </w:pPr>
    </w:p>
    <w:p>
      <w:pPr>
        <w:ind w:right="40" w:firstLine="444"/>
        <w:spacing w:after="0" w:line="255" w:lineRule="auto"/>
        <w:tabs>
          <w:tab w:leader="none" w:pos="6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 ceases to have a Service Relationship with the Company or a Subsidiary for any reason, any portion of this Stock Option outstanding on the date on which the Optionee’s Service Relationship with the Company or a Subsidiary ceased may be exercised, to the extent exercisable on such date, for a period of three months from such date or until the Expiration Date, if earlier. Any portion of this Stock Option that is not exercisable on the date the Optionee’s Service Relationship with the Company or a Subsidiary ceased shall terminate immediately and be of no further force or effect.</w:t>
      </w:r>
    </w:p>
    <w:p>
      <w:pPr>
        <w:spacing w:after="0" w:line="77" w:lineRule="exact"/>
        <w:rPr>
          <w:rFonts w:ascii="Times New Roman" w:cs="Times New Roman" w:eastAsia="Times New Roman" w:hAnsi="Times New Roman"/>
          <w:sz w:val="18"/>
          <w:szCs w:val="18"/>
          <w:color w:val="auto"/>
        </w:rPr>
      </w:pPr>
    </w:p>
    <w:p>
      <w:pPr>
        <w:ind w:right="20" w:firstLine="444"/>
        <w:spacing w:after="0" w:line="263" w:lineRule="auto"/>
        <w:tabs>
          <w:tab w:leader="none" w:pos="6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68" w:lineRule="exact"/>
        <w:rPr>
          <w:rFonts w:ascii="Times New Roman" w:cs="Times New Roman" w:eastAsia="Times New Roman" w:hAnsi="Times New Roman"/>
          <w:sz w:val="18"/>
          <w:szCs w:val="18"/>
          <w:color w:val="auto"/>
        </w:rPr>
      </w:pPr>
    </w:p>
    <w:p>
      <w:pPr>
        <w:ind w:right="380" w:firstLine="444"/>
        <w:spacing w:after="0" w:line="263" w:lineRule="auto"/>
        <w:tabs>
          <w:tab w:leader="none" w:pos="6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68" w:lineRule="exact"/>
        <w:rPr>
          <w:rFonts w:ascii="Times New Roman" w:cs="Times New Roman" w:eastAsia="Times New Roman" w:hAnsi="Times New Roman"/>
          <w:sz w:val="18"/>
          <w:szCs w:val="18"/>
          <w:color w:val="auto"/>
        </w:rPr>
      </w:pPr>
    </w:p>
    <w:p>
      <w:pPr>
        <w:ind w:firstLine="444"/>
        <w:spacing w:after="0" w:line="278" w:lineRule="auto"/>
        <w:tabs>
          <w:tab w:leader="none" w:pos="6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Plan nor this Stock Option confers upon the Optionee any rights with respect to the continuation of Optionee’s service as a Consultant or other Service Relationship with the Company or a Subsidiary.</w:t>
      </w:r>
    </w:p>
    <w:p>
      <w:pPr>
        <w:spacing w:after="0" w:line="55" w:lineRule="exact"/>
        <w:rPr>
          <w:rFonts w:ascii="Times New Roman" w:cs="Times New Roman" w:eastAsia="Times New Roman" w:hAnsi="Times New Roman"/>
          <w:sz w:val="18"/>
          <w:szCs w:val="18"/>
          <w:color w:val="auto"/>
        </w:rPr>
      </w:pPr>
    </w:p>
    <w:p>
      <w:pPr>
        <w:ind w:right="420" w:firstLine="444"/>
        <w:spacing w:after="0" w:line="278" w:lineRule="auto"/>
        <w:tabs>
          <w:tab w:leader="none" w:pos="6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55" w:lineRule="exact"/>
        <w:rPr>
          <w:rFonts w:ascii="Times New Roman" w:cs="Times New Roman" w:eastAsia="Times New Roman" w:hAnsi="Times New Roman"/>
          <w:sz w:val="18"/>
          <w:szCs w:val="18"/>
          <w:color w:val="auto"/>
        </w:rPr>
      </w:pPr>
    </w:p>
    <w:p>
      <w:pPr>
        <w:ind w:right="100" w:firstLine="444"/>
        <w:spacing w:after="0" w:line="258" w:lineRule="auto"/>
        <w:tabs>
          <w:tab w:leader="none" w:pos="6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18"/>
          <w:szCs w:val="18"/>
          <w:b w:val="1"/>
          <w:bCs w:val="1"/>
          <w:color w:val="auto"/>
        </w:rPr>
        <w:t>Relevant Companies</w:t>
      </w:r>
      <w:r>
        <w:rPr>
          <w:rFonts w:ascii="Times New Roman" w:cs="Times New Roman" w:eastAsia="Times New Roman" w:hAnsi="Times New Roman"/>
          <w:sz w:val="18"/>
          <w:szCs w:val="18"/>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18"/>
          <w:szCs w:val="18"/>
          <w:b w:val="1"/>
          <w:bCs w:val="1"/>
          <w:color w:val="auto"/>
        </w:rPr>
        <w:t>Relevant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315" w:name="page316"/>
    <w:bookmarkEnd w:id="315"/>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Information</w:t>
      </w:r>
      <w:r>
        <w:rPr>
          <w:rFonts w:ascii="Times New Roman" w:cs="Times New Roman" w:eastAsia="Times New Roman" w:hAnsi="Times New Roman"/>
          <w:sz w:val="18"/>
          <w:szCs w:val="18"/>
          <w:color w:val="auto"/>
        </w:rPr>
        <w:t>”). By entering into this Agreement, the Optionee (i) authorizes the Company to collect, process, register and transfer to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77" w:lineRule="exact"/>
        <w:rPr>
          <w:sz w:val="20"/>
          <w:szCs w:val="20"/>
          <w:color w:val="auto"/>
        </w:rPr>
      </w:pPr>
    </w:p>
    <w:p>
      <w:pPr>
        <w:ind w:firstLine="444"/>
        <w:spacing w:after="0" w:line="263" w:lineRule="auto"/>
        <w:tabs>
          <w:tab w:leader="none" w:pos="61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15875</wp:posOffset>
            </wp:positionV>
            <wp:extent cx="332041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5">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-8890</wp:posOffset>
            </wp:positionV>
            <wp:extent cx="16129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6">
                      <a:extLst>
                        <a:ext uri="{28A0092B-C50C-407E-A947-70E740481C1C}"/>
                      </a:extLst>
                    </a:blip>
                    <a:srcRect/>
                    <a:stretch>
                      <a:fillRect/>
                    </a:stretch>
                  </pic:blipFill>
                  <pic:spPr bwMode="auto">
                    <a:xfrm>
                      <a:off x="0" y="0"/>
                      <a:ext cx="1612900" cy="8255"/>
                    </a:xfrm>
                    <a:prstGeom prst="rect">
                      <a:avLst/>
                    </a:prstGeom>
                    <a:noFill/>
                  </pic:spPr>
                </pic:pic>
              </a:graphicData>
            </a:graphic>
          </wp:anchor>
        </w:drawing>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287655</wp:posOffset>
            </wp:positionV>
            <wp:extent cx="332041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7">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576580</wp:posOffset>
            </wp:positionV>
            <wp:extent cx="332041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8">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865505</wp:posOffset>
            </wp:positionV>
            <wp:extent cx="332041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9">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480" w:top="264" w:right="559" w:bottom="1440" w:gutter="0" w:footer="0" w:header="0"/>
        </w:sectPr>
      </w:pPr>
    </w:p>
    <w:bookmarkStart w:id="316" w:name="page317"/>
    <w:bookmarkEnd w:id="3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NON-QUALIFIED STOCK OPTION AGREEMENT</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NON-EMPLOYEE DIRECTORS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C4 THERAPEUTICS, INC.</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2020 STOCK OPTION AND INCENTIVE PLAN</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-8890</wp:posOffset>
            </wp:positionV>
            <wp:extent cx="254635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1">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-8890</wp:posOffset>
            </wp:positionV>
            <wp:extent cx="127317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2">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94"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18"/>
          <w:szCs w:val="18"/>
          <w:color w:val="auto"/>
        </w:rPr>
        <w:t>Option Exercise Price per Share: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-8890</wp:posOffset>
            </wp:positionV>
            <wp:extent cx="12166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3">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9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[FMV on Grant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-8890</wp:posOffset>
            </wp:positionV>
            <wp:extent cx="127317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4">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-8890</wp:posOffset>
            </wp:positionV>
            <wp:extent cx="127317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9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 more than 10 years]</w:t>
      </w:r>
    </w:p>
    <w:p>
      <w:pPr>
        <w:spacing w:after="0" w:line="221"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Pursuant to the C4 Therapeutics, Inc. 2020 Stock Option and Incentive Plan as amended through the date hereof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to the Optionee named above, who is a Director of the Company but is not an employee of the Company, an option (the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to purchase on or prior to the Expiration Date specified above all or part of the number of shares of Common Stock, par value $0.0001 per share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75" w:lineRule="exact"/>
        <w:rPr>
          <w:sz w:val="20"/>
          <w:szCs w:val="20"/>
          <w:color w:val="auto"/>
        </w:rPr>
      </w:pPr>
    </w:p>
    <w:p>
      <w:pPr>
        <w:ind w:firstLine="444"/>
        <w:spacing w:after="0" w:line="258" w:lineRule="auto"/>
        <w:tabs>
          <w:tab w:leader="none" w:pos="61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Service Relationship with the Company or a Subsidiary on each such date:</w:t>
      </w:r>
    </w:p>
    <w:p>
      <w:pPr>
        <w:spacing w:after="0" w:line="18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Number of</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Exercisability Date</w:t>
            </w:r>
          </w:p>
        </w:tc>
        <w:tc>
          <w:tcPr>
            <w:tcW w:w="0" w:type="dxa"/>
            <w:vAlign w:val="bottom"/>
          </w:tcPr>
          <w:p>
            <w:pPr>
              <w:spacing w:after="0"/>
              <w:rPr>
                <w:sz w:val="1"/>
                <w:szCs w:val="1"/>
                <w:color w:val="auto"/>
              </w:rPr>
            </w:pPr>
          </w:p>
        </w:tc>
      </w:tr>
      <w:tr>
        <w:trPr>
          <w:trHeight w:val="190"/>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 Shares Exercisable</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w w:val="97"/>
              </w:rPr>
              <w:t>_____________ (___</w:t>
            </w:r>
          </w:p>
        </w:tc>
        <w:tc>
          <w:tcPr>
            <w:tcW w:w="4720" w:type="dxa"/>
            <w:vAlign w:val="bottom"/>
          </w:tcPr>
          <w:p>
            <w:pPr>
              <w:jc w:val="right"/>
              <w:ind w:right="4411"/>
              <w:spacing w:after="0" w:line="193" w:lineRule="exact"/>
              <w:rPr>
                <w:sz w:val="20"/>
                <w:szCs w:val="20"/>
                <w:color w:val="auto"/>
              </w:rPr>
            </w:pPr>
            <w:r>
              <w:rPr>
                <w:rFonts w:ascii="Times New Roman" w:cs="Times New Roman" w:eastAsia="Times New Roman" w:hAnsi="Times New Roman"/>
                <w:sz w:val="18"/>
                <w:szCs w:val="18"/>
                <w:color w:val="auto"/>
                <w:w w:val="95"/>
              </w:rPr>
              <w:t>%)</w:t>
            </w:r>
          </w:p>
        </w:tc>
        <w:tc>
          <w:tcPr>
            <w:tcW w:w="1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40" w:type="dxa"/>
            <w:vAlign w:val="bottom"/>
            <w:gridSpan w:val="2"/>
          </w:tcPr>
          <w:p>
            <w:pPr>
              <w:jc w:val="right"/>
              <w:ind w:right="4411"/>
              <w:spacing w:after="0"/>
              <w:rPr>
                <w:sz w:val="20"/>
                <w:szCs w:val="20"/>
                <w:color w:val="auto"/>
              </w:rPr>
            </w:pPr>
            <w:r>
              <w:rPr>
                <w:rFonts w:ascii="Times New Roman" w:cs="Times New Roman" w:eastAsia="Times New Roman" w:hAnsi="Times New Roman"/>
                <w:sz w:val="18"/>
                <w:szCs w:val="18"/>
                <w:color w:val="auto"/>
                <w:w w:val="97"/>
              </w:rPr>
              <w:t>_____________ (___%)</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gridSpan w:val="2"/>
          </w:tcPr>
          <w:p>
            <w:pPr>
              <w:jc w:val="right"/>
              <w:ind w:right="4411"/>
              <w:spacing w:after="0"/>
              <w:rPr>
                <w:sz w:val="20"/>
                <w:szCs w:val="20"/>
                <w:color w:val="auto"/>
              </w:rPr>
            </w:pPr>
            <w:r>
              <w:rPr>
                <w:rFonts w:ascii="Times New Roman" w:cs="Times New Roman" w:eastAsia="Times New Roman" w:hAnsi="Times New Roman"/>
                <w:sz w:val="18"/>
                <w:szCs w:val="18"/>
                <w:color w:val="auto"/>
                <w:w w:val="97"/>
              </w:rPr>
              <w:t>_____________ (___%)</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gridSpan w:val="2"/>
          </w:tcPr>
          <w:p>
            <w:pPr>
              <w:jc w:val="right"/>
              <w:ind w:right="4411"/>
              <w:spacing w:after="0"/>
              <w:rPr>
                <w:sz w:val="20"/>
                <w:szCs w:val="20"/>
                <w:color w:val="auto"/>
              </w:rPr>
            </w:pPr>
            <w:r>
              <w:rPr>
                <w:rFonts w:ascii="Times New Roman" w:cs="Times New Roman" w:eastAsia="Times New Roman" w:hAnsi="Times New Roman"/>
                <w:sz w:val="18"/>
                <w:szCs w:val="18"/>
                <w:color w:val="auto"/>
                <w:w w:val="97"/>
              </w:rPr>
              <w:t>_____________ (___%)</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gridSpan w:val="2"/>
          </w:tcPr>
          <w:p>
            <w:pPr>
              <w:jc w:val="right"/>
              <w:ind w:right="4411"/>
              <w:spacing w:after="0"/>
              <w:rPr>
                <w:sz w:val="20"/>
                <w:szCs w:val="20"/>
                <w:color w:val="auto"/>
              </w:rPr>
            </w:pPr>
            <w:r>
              <w:rPr>
                <w:rFonts w:ascii="Times New Roman" w:cs="Times New Roman" w:eastAsia="Times New Roman" w:hAnsi="Times New Roman"/>
                <w:sz w:val="18"/>
                <w:szCs w:val="18"/>
                <w:color w:val="auto"/>
                <w:w w:val="97"/>
              </w:rPr>
              <w:t>_____________ (___%)</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80" w:top="264" w:right="559" w:bottom="1440" w:gutter="0" w:footer="0" w:header="0"/>
        </w:sectPr>
      </w:pPr>
    </w:p>
    <w:bookmarkStart w:id="317" w:name="page318"/>
    <w:bookmarkEnd w:id="317"/>
    <w:p>
      <w:pPr>
        <w:ind w:right="38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Once exercisable, this Stock Option shall continue to be exercisable at any time or times prior to the close of business on the Expiration Date, subject to the provisions hereof and of the Plan.</w:t>
      </w:r>
    </w:p>
    <w:p>
      <w:pPr>
        <w:spacing w:after="0" w:line="55" w:lineRule="exact"/>
        <w:rPr>
          <w:sz w:val="20"/>
          <w:szCs w:val="20"/>
          <w:color w:val="auto"/>
        </w:rPr>
      </w:pPr>
    </w:p>
    <w:p>
      <w:pPr>
        <w:ind w:left="620" w:hanging="176"/>
        <w:spacing w:after="0"/>
        <w:tabs>
          <w:tab w:leader="none" w:pos="6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40" w:firstLine="990"/>
        <w:spacing w:after="0" w:line="263" w:lineRule="auto"/>
        <w:tabs>
          <w:tab w:leader="none" w:pos="1225"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68"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82"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77" w:lineRule="exact"/>
        <w:rPr>
          <w:sz w:val="20"/>
          <w:szCs w:val="20"/>
          <w:color w:val="auto"/>
        </w:rPr>
      </w:pPr>
    </w:p>
    <w:p>
      <w:pPr>
        <w:ind w:right="20" w:firstLine="990"/>
        <w:spacing w:after="0" w:line="258" w:lineRule="auto"/>
        <w:tabs>
          <w:tab w:leader="none" w:pos="123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318" w:name="page319"/>
    <w:bookmarkEnd w:id="318"/>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3" w:lineRule="exact"/>
        <w:rPr>
          <w:sz w:val="20"/>
          <w:szCs w:val="20"/>
          <w:color w:val="auto"/>
        </w:rPr>
      </w:pPr>
    </w:p>
    <w:p>
      <w:pPr>
        <w:ind w:right="60" w:firstLine="990"/>
        <w:spacing w:after="0" w:line="263" w:lineRule="auto"/>
        <w:tabs>
          <w:tab w:leader="none" w:pos="1225"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95" w:lineRule="exact"/>
        <w:rPr>
          <w:rFonts w:ascii="Times New Roman" w:cs="Times New Roman" w:eastAsia="Times New Roman" w:hAnsi="Times New Roman"/>
          <w:sz w:val="18"/>
          <w:szCs w:val="18"/>
          <w:color w:val="auto"/>
        </w:rPr>
      </w:pPr>
    </w:p>
    <w:p>
      <w:pPr>
        <w:ind w:right="240" w:firstLine="444"/>
        <w:spacing w:after="0" w:line="278" w:lineRule="auto"/>
        <w:tabs>
          <w:tab w:leader="none" w:pos="61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 ceases to maintain a Service Relationship with the Company or a Subsidiary, the period within which to exercise the Stock Option may be subject to earlier termination as set forth below.</w:t>
      </w:r>
    </w:p>
    <w:p>
      <w:pPr>
        <w:spacing w:after="0" w:line="55" w:lineRule="exact"/>
        <w:rPr>
          <w:rFonts w:ascii="Times New Roman" w:cs="Times New Roman" w:eastAsia="Times New Roman" w:hAnsi="Times New Roman"/>
          <w:sz w:val="18"/>
          <w:szCs w:val="18"/>
          <w:color w:val="auto"/>
        </w:rPr>
      </w:pPr>
    </w:p>
    <w:p>
      <w:pPr>
        <w:ind w:right="20" w:firstLine="990"/>
        <w:spacing w:after="0" w:line="258" w:lineRule="auto"/>
        <w:tabs>
          <w:tab w:leader="none" w:pos="122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such date of death or until the Expiration Date, if earlier. Any portion of this Stock Option that is not exercisable on such date of death shall terminate immediately and be of no further force or effect.</w:t>
      </w:r>
    </w:p>
    <w:p>
      <w:pPr>
        <w:spacing w:after="0" w:line="72" w:lineRule="exact"/>
        <w:rPr>
          <w:rFonts w:ascii="Times New Roman" w:cs="Times New Roman" w:eastAsia="Times New Roman" w:hAnsi="Times New Roman"/>
          <w:sz w:val="18"/>
          <w:szCs w:val="18"/>
          <w:color w:val="auto"/>
        </w:rPr>
      </w:pPr>
    </w:p>
    <w:p>
      <w:pPr>
        <w:ind w:right="60" w:firstLine="990"/>
        <w:spacing w:after="0" w:line="274" w:lineRule="auto"/>
        <w:tabs>
          <w:tab w:leader="none" w:pos="1234"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Termination</w:t>
      </w:r>
      <w:r>
        <w:rPr>
          <w:rFonts w:ascii="Times New Roman" w:cs="Times New Roman" w:eastAsia="Times New Roman" w:hAnsi="Times New Roman"/>
          <w:sz w:val="17"/>
          <w:szCs w:val="17"/>
          <w:color w:val="auto"/>
        </w:rPr>
        <w:t>. If the Optionee’s Service Relationship with the Company or a Subsidiary terminates for any reason other than the Optionee’s death, any portion of this Stock Option outstanding on such date may be exercised, to the extent exercisable on the date the Optionee ceased to maintain a Service Relationship with the Company or a Subsidiary, for a period of six months from the date the Optionee’s Service Relationship with the Company or a Subsidiary ceased or until the Expiration Date, if earlier. Any portion of this Stock Option that is not exercisable on the date the Optionee’s Service Relationship with the Company or a Subsidiary ceases shall terminate immediately and be of no further force or effect.</w:t>
      </w:r>
    </w:p>
    <w:p>
      <w:pPr>
        <w:spacing w:after="0" w:line="61" w:lineRule="exact"/>
        <w:rPr>
          <w:rFonts w:ascii="Times New Roman" w:cs="Times New Roman" w:eastAsia="Times New Roman" w:hAnsi="Times New Roman"/>
          <w:sz w:val="17"/>
          <w:szCs w:val="17"/>
          <w:color w:val="auto"/>
        </w:rPr>
      </w:pPr>
    </w:p>
    <w:p>
      <w:pPr>
        <w:ind w:firstLine="444"/>
        <w:spacing w:after="0" w:line="263" w:lineRule="auto"/>
        <w:tabs>
          <w:tab w:leader="none" w:pos="61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68" w:lineRule="exact"/>
        <w:rPr>
          <w:rFonts w:ascii="Times New Roman" w:cs="Times New Roman" w:eastAsia="Times New Roman" w:hAnsi="Times New Roman"/>
          <w:sz w:val="18"/>
          <w:szCs w:val="18"/>
          <w:color w:val="auto"/>
        </w:rPr>
      </w:pPr>
    </w:p>
    <w:p>
      <w:pPr>
        <w:ind w:right="360" w:firstLine="444"/>
        <w:spacing w:after="0" w:line="263" w:lineRule="auto"/>
        <w:tabs>
          <w:tab w:leader="none" w:pos="61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319" w:name="page320"/>
    <w:bookmarkEnd w:id="319"/>
    <w:p>
      <w:pPr>
        <w:ind w:left="-20" w:firstLine="444"/>
        <w:spacing w:after="0" w:line="278" w:lineRule="auto"/>
        <w:tabs>
          <w:tab w:leader="none" w:pos="59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 Obligation to Continue Service Relationship</w:t>
      </w:r>
      <w:r>
        <w:rPr>
          <w:rFonts w:ascii="Times New Roman" w:cs="Times New Roman" w:eastAsia="Times New Roman" w:hAnsi="Times New Roman"/>
          <w:sz w:val="18"/>
          <w:szCs w:val="18"/>
          <w:color w:val="auto"/>
        </w:rPr>
        <w:t>. Neither the Plan nor this Stock Option confers upon the Optionee any rights with respect to the continuation of the Optionee’s service as a Director or any other Service Relationship with the Company or a Subsidiary.</w:t>
      </w:r>
    </w:p>
    <w:p>
      <w:pPr>
        <w:spacing w:after="0" w:line="55" w:lineRule="exact"/>
        <w:rPr>
          <w:rFonts w:ascii="Times New Roman" w:cs="Times New Roman" w:eastAsia="Times New Roman" w:hAnsi="Times New Roman"/>
          <w:sz w:val="18"/>
          <w:szCs w:val="18"/>
          <w:color w:val="auto"/>
        </w:rPr>
      </w:pPr>
    </w:p>
    <w:p>
      <w:pPr>
        <w:ind w:left="-20" w:right="420" w:firstLine="444"/>
        <w:spacing w:after="0" w:line="278" w:lineRule="auto"/>
        <w:tabs>
          <w:tab w:leader="none" w:pos="59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55" w:lineRule="exact"/>
        <w:rPr>
          <w:rFonts w:ascii="Times New Roman" w:cs="Times New Roman" w:eastAsia="Times New Roman" w:hAnsi="Times New Roman"/>
          <w:sz w:val="18"/>
          <w:szCs w:val="18"/>
          <w:color w:val="auto"/>
        </w:rPr>
      </w:pPr>
    </w:p>
    <w:p>
      <w:pPr>
        <w:ind w:left="-20" w:right="100" w:firstLine="444"/>
        <w:spacing w:after="0" w:line="251" w:lineRule="auto"/>
        <w:tabs>
          <w:tab w:leader="none" w:pos="59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18"/>
          <w:szCs w:val="18"/>
          <w:b w:val="1"/>
          <w:bCs w:val="1"/>
          <w:color w:val="auto"/>
        </w:rPr>
        <w:t>Relevant Companies</w:t>
      </w:r>
      <w:r>
        <w:rPr>
          <w:rFonts w:ascii="Times New Roman" w:cs="Times New Roman" w:eastAsia="Times New Roman" w:hAnsi="Times New Roman"/>
          <w:sz w:val="18"/>
          <w:szCs w:val="18"/>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18"/>
          <w:szCs w:val="18"/>
          <w:b w:val="1"/>
          <w:bCs w:val="1"/>
          <w:color w:val="auto"/>
        </w:rPr>
        <w:t>Relevant Information</w:t>
      </w:r>
      <w:r>
        <w:rPr>
          <w:rFonts w:ascii="Times New Roman" w:cs="Times New Roman" w:eastAsia="Times New Roman" w:hAnsi="Times New Roman"/>
          <w:sz w:val="18"/>
          <w:szCs w:val="18"/>
          <w:color w:val="auto"/>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84" w:lineRule="exact"/>
        <w:rPr>
          <w:rFonts w:ascii="Times New Roman" w:cs="Times New Roman" w:eastAsia="Times New Roman" w:hAnsi="Times New Roman"/>
          <w:sz w:val="18"/>
          <w:szCs w:val="18"/>
          <w:color w:val="auto"/>
        </w:rPr>
      </w:pPr>
    </w:p>
    <w:p>
      <w:pPr>
        <w:ind w:left="-20" w:right="60" w:firstLine="444"/>
        <w:spacing w:after="0" w:line="263" w:lineRule="auto"/>
        <w:tabs>
          <w:tab w:leader="none" w:pos="59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8" w:right="499" w:bottom="1440" w:gutter="0" w:footer="0" w:header="0"/>
        </w:sectPr>
      </w:pPr>
    </w:p>
    <w:bookmarkStart w:id="320" w:name="page321"/>
    <w:bookmarkEnd w:id="320"/>
    <w:p>
      <w:pPr>
        <w:ind w:left="6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C4 THERAPEUTICS,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15875</wp:posOffset>
            </wp:positionV>
            <wp:extent cx="27006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1">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1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287655</wp:posOffset>
            </wp:positionV>
            <wp:extent cx="27006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2">
                      <a:extLst>
                        <a:ext uri="{28A0092B-C50C-407E-A947-70E740481C1C}"/>
                      </a:extLst>
                    </a:blip>
                    <a:srcRect/>
                    <a:stretch>
                      <a:fillRect/>
                    </a:stretch>
                  </pic:blipFill>
                  <pic:spPr bwMode="auto">
                    <a:xfrm>
                      <a:off x="0" y="0"/>
                      <a:ext cx="2700655" cy="8255"/>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576580</wp:posOffset>
            </wp:positionV>
            <wp:extent cx="27006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3">
                      <a:extLst>
                        <a:ext uri="{28A0092B-C50C-407E-A947-70E740481C1C}"/>
                      </a:extLst>
                    </a:blip>
                    <a:srcRect/>
                    <a:stretch>
                      <a:fillRect/>
                    </a:stretch>
                  </pic:blipFill>
                  <pic:spPr bwMode="auto">
                    <a:xfrm>
                      <a:off x="0" y="0"/>
                      <a:ext cx="2700655" cy="8255"/>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865505</wp:posOffset>
            </wp:positionV>
            <wp:extent cx="27006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4">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40"/>
          </w:cols>
          <w:pgMar w:left="480" w:top="264" w:right="77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214"/>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gridSpan w:val="4"/>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8"/>
              </w:rPr>
              <w:t>NON-QUALIFIED STOCK OPTION AGREEMENT</w:t>
            </w:r>
          </w:p>
        </w:tc>
      </w:tr>
      <w:tr>
        <w:trPr>
          <w:trHeight w:val="214"/>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gridSpan w:val="4"/>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FOR COMPANY EMPLOYEES</w:t>
            </w:r>
          </w:p>
        </w:tc>
      </w:tr>
      <w:tr>
        <w:trPr>
          <w:trHeight w:val="214"/>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gridSpan w:val="4"/>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9"/>
              </w:rPr>
              <w:t>UNDER THE C4 THERAPEUTICS, INC.</w:t>
            </w:r>
          </w:p>
        </w:tc>
      </w:tr>
      <w:tr>
        <w:trPr>
          <w:trHeight w:val="237"/>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80" w:type="dxa"/>
            <w:vAlign w:val="bottom"/>
            <w:gridSpan w:val="4"/>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2020 STOCK OPTION AND INCENTIVE PLAN</w:t>
            </w: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30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5"/>
        </w:trPr>
        <w:tc>
          <w:tcPr>
            <w:tcW w:w="2740" w:type="dxa"/>
            <w:vAlign w:val="bottom"/>
          </w:tcPr>
          <w:p>
            <w:pPr>
              <w:spacing w:after="0"/>
              <w:rPr>
                <w:sz w:val="20"/>
                <w:szCs w:val="20"/>
                <w:color w:val="auto"/>
              </w:rPr>
            </w:pPr>
          </w:p>
        </w:tc>
        <w:tc>
          <w:tcPr>
            <w:tcW w:w="4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[FMV on Grant Date]</w:t>
            </w:r>
          </w:p>
        </w:tc>
      </w:tr>
      <w:tr>
        <w:trPr>
          <w:trHeight w:val="28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firstLine="436"/>
        <w:spacing w:after="0" w:line="256" w:lineRule="auto"/>
        <w:rPr>
          <w:sz w:val="20"/>
          <w:szCs w:val="20"/>
          <w:color w:val="auto"/>
        </w:rPr>
      </w:pPr>
      <w:r>
        <w:rPr>
          <w:rFonts w:ascii="Times New Roman" w:cs="Times New Roman" w:eastAsia="Times New Roman" w:hAnsi="Times New Roman"/>
          <w:sz w:val="18"/>
          <w:szCs w:val="18"/>
          <w:color w:val="auto"/>
        </w:rPr>
        <w:t>Pursuant to the C4 Therapeutics, Inc. 2020 Stock Option and Incentive Plan as amended through the date hereof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to the Optionee named above an option (the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to purchase on or prior to the Expiration Date specified above all or part of the number of shares of Common Stock, par value $0.0001 per share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77" w:lineRule="exact"/>
        <w:rPr>
          <w:sz w:val="20"/>
          <w:szCs w:val="20"/>
          <w:color w:val="auto"/>
        </w:rPr>
      </w:pPr>
    </w:p>
    <w:p>
      <w:pPr>
        <w:ind w:right="20" w:firstLine="444"/>
        <w:spacing w:after="0" w:line="258" w:lineRule="auto"/>
        <w:tabs>
          <w:tab w:leader="none" w:pos="61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Service Relationship with the Company or a Subsidiary on each such date:</w:t>
      </w:r>
    </w:p>
    <w:p>
      <w:pPr>
        <w:spacing w:after="0" w:line="18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Number of</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0"/>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 Shares Exercisable</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Exercisability Date</w:t>
            </w:r>
          </w:p>
        </w:tc>
      </w:tr>
      <w:tr>
        <w:trPr>
          <w:trHeight w:val="161"/>
        </w:trPr>
        <w:tc>
          <w:tcPr>
            <w:tcW w:w="152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8"/>
                <w:szCs w:val="18"/>
                <w:color w:val="auto"/>
                <w:w w:val="97"/>
              </w:rPr>
              <w:t>_____________ (___</w:t>
            </w:r>
          </w:p>
        </w:tc>
        <w:tc>
          <w:tcPr>
            <w:tcW w:w="4680" w:type="dxa"/>
            <w:vAlign w:val="bottom"/>
          </w:tcPr>
          <w:p>
            <w:pPr>
              <w:jc w:val="right"/>
              <w:ind w:right="4371"/>
              <w:spacing w:after="0" w:line="161" w:lineRule="exact"/>
              <w:rPr>
                <w:sz w:val="20"/>
                <w:szCs w:val="20"/>
                <w:color w:val="auto"/>
              </w:rPr>
            </w:pPr>
            <w:r>
              <w:rPr>
                <w:rFonts w:ascii="Times New Roman" w:cs="Times New Roman" w:eastAsia="Times New Roman" w:hAnsi="Times New Roman"/>
                <w:sz w:val="18"/>
                <w:szCs w:val="18"/>
                <w:color w:val="auto"/>
                <w:w w:val="95"/>
              </w:rPr>
              <w:t>%)</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r>
      <w:tr>
        <w:trPr>
          <w:trHeight w:val="194"/>
        </w:trPr>
        <w:tc>
          <w:tcPr>
            <w:tcW w:w="6200" w:type="dxa"/>
            <w:vAlign w:val="bottom"/>
            <w:gridSpan w:val="2"/>
          </w:tcPr>
          <w:p>
            <w:pPr>
              <w:jc w:val="right"/>
              <w:ind w:right="4371"/>
              <w:spacing w:after="0" w:line="194" w:lineRule="exact"/>
              <w:rPr>
                <w:sz w:val="20"/>
                <w:szCs w:val="20"/>
                <w:color w:val="auto"/>
              </w:rPr>
            </w:pPr>
            <w:r>
              <w:rPr>
                <w:rFonts w:ascii="Times New Roman" w:cs="Times New Roman" w:eastAsia="Times New Roman" w:hAnsi="Times New Roman"/>
                <w:sz w:val="18"/>
                <w:szCs w:val="18"/>
                <w:color w:val="auto"/>
                <w:w w:val="97"/>
              </w:rPr>
              <w:t>_____________ (___%)</w:t>
            </w:r>
          </w:p>
        </w:tc>
        <w:tc>
          <w:tcPr>
            <w:tcW w:w="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4"/>
        </w:trPr>
        <w:tc>
          <w:tcPr>
            <w:tcW w:w="6200" w:type="dxa"/>
            <w:vAlign w:val="bottom"/>
            <w:gridSpan w:val="2"/>
          </w:tcPr>
          <w:p>
            <w:pPr>
              <w:jc w:val="right"/>
              <w:ind w:right="4371"/>
              <w:spacing w:after="0" w:line="194" w:lineRule="exact"/>
              <w:rPr>
                <w:sz w:val="20"/>
                <w:szCs w:val="20"/>
                <w:color w:val="auto"/>
              </w:rPr>
            </w:pPr>
            <w:r>
              <w:rPr>
                <w:rFonts w:ascii="Times New Roman" w:cs="Times New Roman" w:eastAsia="Times New Roman" w:hAnsi="Times New Roman"/>
                <w:sz w:val="18"/>
                <w:szCs w:val="18"/>
                <w:color w:val="auto"/>
                <w:w w:val="97"/>
              </w:rPr>
              <w:t>_____________ (___%)</w:t>
            </w:r>
          </w:p>
        </w:tc>
        <w:tc>
          <w:tcPr>
            <w:tcW w:w="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4"/>
        </w:trPr>
        <w:tc>
          <w:tcPr>
            <w:tcW w:w="6200" w:type="dxa"/>
            <w:vAlign w:val="bottom"/>
            <w:gridSpan w:val="2"/>
          </w:tcPr>
          <w:p>
            <w:pPr>
              <w:jc w:val="right"/>
              <w:ind w:right="4371"/>
              <w:spacing w:after="0" w:line="194" w:lineRule="exact"/>
              <w:rPr>
                <w:sz w:val="20"/>
                <w:szCs w:val="20"/>
                <w:color w:val="auto"/>
              </w:rPr>
            </w:pPr>
            <w:r>
              <w:rPr>
                <w:rFonts w:ascii="Times New Roman" w:cs="Times New Roman" w:eastAsia="Times New Roman" w:hAnsi="Times New Roman"/>
                <w:sz w:val="18"/>
                <w:szCs w:val="18"/>
                <w:color w:val="auto"/>
                <w:w w:val="97"/>
              </w:rPr>
              <w:t>_____________ (___%)</w:t>
            </w:r>
          </w:p>
        </w:tc>
        <w:tc>
          <w:tcPr>
            <w:tcW w:w="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4"/>
        </w:trPr>
        <w:tc>
          <w:tcPr>
            <w:tcW w:w="6200" w:type="dxa"/>
            <w:vAlign w:val="bottom"/>
            <w:gridSpan w:val="2"/>
          </w:tcPr>
          <w:p>
            <w:pPr>
              <w:jc w:val="right"/>
              <w:ind w:right="4371"/>
              <w:spacing w:after="0" w:line="194" w:lineRule="exact"/>
              <w:rPr>
                <w:sz w:val="20"/>
                <w:szCs w:val="20"/>
                <w:color w:val="auto"/>
              </w:rPr>
            </w:pPr>
            <w:r>
              <w:rPr>
                <w:rFonts w:ascii="Times New Roman" w:cs="Times New Roman" w:eastAsia="Times New Roman" w:hAnsi="Times New Roman"/>
                <w:sz w:val="18"/>
                <w:szCs w:val="18"/>
                <w:color w:val="auto"/>
                <w:w w:val="97"/>
              </w:rPr>
              <w:t>_____________ (___%)</w:t>
            </w:r>
          </w:p>
        </w:tc>
        <w:tc>
          <w:tcPr>
            <w:tcW w:w="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bl>
    <w:p>
      <w:pPr>
        <w:spacing w:after="0" w:line="222" w:lineRule="exact"/>
        <w:rPr>
          <w:sz w:val="20"/>
          <w:szCs w:val="20"/>
          <w:color w:val="auto"/>
        </w:rPr>
      </w:pPr>
    </w:p>
    <w:p>
      <w:pPr>
        <w:ind w:right="340" w:firstLine="436"/>
        <w:spacing w:after="0" w:line="278"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0880"/>
          </w:cols>
          <w:pgMar w:left="480" w:top="264" w:right="539" w:bottom="1440" w:gutter="0" w:footer="0" w:header="0"/>
        </w:sectPr>
      </w:pPr>
    </w:p>
    <w:bookmarkStart w:id="322" w:name="page323"/>
    <w:bookmarkEnd w:id="322"/>
    <w:p>
      <w:pPr>
        <w:ind w:left="620" w:hanging="176"/>
        <w:spacing w:after="0"/>
        <w:tabs>
          <w:tab w:leader="none" w:pos="6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Manner of Exercise</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40" w:firstLine="990"/>
        <w:spacing w:after="0" w:line="263" w:lineRule="auto"/>
        <w:tabs>
          <w:tab w:leader="none" w:pos="122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5"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89"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77" w:lineRule="exact"/>
        <w:rPr>
          <w:sz w:val="20"/>
          <w:szCs w:val="20"/>
          <w:color w:val="auto"/>
        </w:rPr>
      </w:pPr>
    </w:p>
    <w:p>
      <w:pPr>
        <w:ind w:right="20" w:firstLine="990"/>
        <w:spacing w:after="0" w:line="253" w:lineRule="auto"/>
        <w:tabs>
          <w:tab w:leader="none" w:pos="123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323" w:name="page324"/>
    <w:bookmarkEnd w:id="323"/>
    <w:p>
      <w:pPr>
        <w:ind w:right="20" w:firstLine="990"/>
        <w:spacing w:after="0" w:line="263" w:lineRule="auto"/>
        <w:tabs>
          <w:tab w:leader="none" w:pos="1225"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202" w:lineRule="exact"/>
        <w:rPr>
          <w:rFonts w:ascii="Times New Roman" w:cs="Times New Roman" w:eastAsia="Times New Roman" w:hAnsi="Times New Roman"/>
          <w:sz w:val="18"/>
          <w:szCs w:val="18"/>
          <w:color w:val="auto"/>
        </w:rPr>
      </w:pPr>
    </w:p>
    <w:p>
      <w:pPr>
        <w:ind w:right="420" w:firstLine="444"/>
        <w:spacing w:after="0" w:line="278" w:lineRule="auto"/>
        <w:tabs>
          <w:tab w:leader="none" w:pos="6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Optionee’s employment by or other Service Relationship with the Company or a Subsidiary is terminated, the period within which to exercise the Stock Option may be subject to earlier termination as set forth below.</w:t>
      </w:r>
    </w:p>
    <w:p>
      <w:pPr>
        <w:spacing w:after="0" w:line="55" w:lineRule="exact"/>
        <w:rPr>
          <w:rFonts w:ascii="Times New Roman" w:cs="Times New Roman" w:eastAsia="Times New Roman" w:hAnsi="Times New Roman"/>
          <w:sz w:val="18"/>
          <w:szCs w:val="18"/>
          <w:color w:val="auto"/>
        </w:rPr>
      </w:pPr>
    </w:p>
    <w:p>
      <w:pPr>
        <w:ind w:right="80" w:firstLine="990"/>
        <w:spacing w:after="0" w:line="277" w:lineRule="auto"/>
        <w:tabs>
          <w:tab w:leader="none" w:pos="1224"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Death</w:t>
      </w:r>
      <w:r>
        <w:rPr>
          <w:rFonts w:ascii="Times New Roman" w:cs="Times New Roman" w:eastAsia="Times New Roman" w:hAnsi="Times New Roman"/>
          <w:sz w:val="17"/>
          <w:szCs w:val="17"/>
          <w:color w:val="auto"/>
        </w:rPr>
        <w:t>. If the Optionee’s employment or other Service Relationship with the Company or a Subsidiary terminates by reason of the Optionee’s death, any portion of this Stock Option outstanding on the date of death, to the extent exercisable on such date,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60" w:lineRule="exact"/>
        <w:rPr>
          <w:rFonts w:ascii="Times New Roman" w:cs="Times New Roman" w:eastAsia="Times New Roman" w:hAnsi="Times New Roman"/>
          <w:sz w:val="17"/>
          <w:szCs w:val="17"/>
          <w:color w:val="auto"/>
        </w:rPr>
      </w:pPr>
    </w:p>
    <w:p>
      <w:pPr>
        <w:ind w:firstLine="990"/>
        <w:spacing w:after="0" w:line="255" w:lineRule="auto"/>
        <w:tabs>
          <w:tab w:leader="none" w:pos="123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employment or other Service Relationship with the Company or a Subsidiary terminates by reason of the Optionee’s disability (as determined by the Administrator), any portion of this Stock Option outstanding on the date on which the Optionee is determined to have a disability, to the extent exercisable on such date, may thereafter be exercised by the Optionee for a period of 12 months from such date of disability or until the Expiration Date, if earlier. Any portion of this Stock Option that is not exercisable on the date of disability shall terminate immediately and be of no further force or effect.</w:t>
      </w:r>
    </w:p>
    <w:p>
      <w:pPr>
        <w:spacing w:after="0" w:line="77" w:lineRule="exact"/>
        <w:rPr>
          <w:rFonts w:ascii="Times New Roman" w:cs="Times New Roman" w:eastAsia="Times New Roman" w:hAnsi="Times New Roman"/>
          <w:sz w:val="18"/>
          <w:szCs w:val="18"/>
          <w:color w:val="auto"/>
        </w:rPr>
      </w:pPr>
    </w:p>
    <w:p>
      <w:pPr>
        <w:ind w:firstLine="990"/>
        <w:spacing w:after="0" w:line="253" w:lineRule="auto"/>
        <w:tabs>
          <w:tab w:leader="none" w:pos="122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employment or other Service Relationship with the Company or a Subsidiary terminates for Cause, any portion of this Stock Option outstanding on such date shall terminate immediately and be of no further force and effect. For purposes hereof,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unless otherwise provided in an employment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480" w:top="268" w:right="559" w:bottom="1440" w:gutter="0" w:footer="0" w:header="0"/>
        </w:sectPr>
      </w:pPr>
    </w:p>
    <w:bookmarkStart w:id="324" w:name="page325"/>
    <w:bookmarkEnd w:id="324"/>
    <w:p>
      <w:pPr>
        <w:ind w:right="140" w:firstLine="990"/>
        <w:spacing w:after="0" w:line="274" w:lineRule="auto"/>
        <w:tabs>
          <w:tab w:leader="none" w:pos="1234"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Other Termination</w:t>
      </w:r>
      <w:r>
        <w:rPr>
          <w:rFonts w:ascii="Times New Roman" w:cs="Times New Roman" w:eastAsia="Times New Roman" w:hAnsi="Times New Roman"/>
          <w:sz w:val="17"/>
          <w:szCs w:val="17"/>
          <w:color w:val="auto"/>
        </w:rPr>
        <w:t>. If the Optionee’s employment or other Service Relationship with the Company or a Subsidiary terminates for any reason other than the Optionee’s death, disability or Cause, and unless otherwise determined by the Administrator, any portion of this Stock Option outstanding on the date on which the Optionee’s employment or other Service Relationship with the Company or a Subsidiary terminated may be exercised, to the extent exercisable on such date, for a period of three months from such date of termination or until the Expiration Date, if earlier. Any portion of this Stock Option that is not exercisable on the date of termination shall terminate immediately and be of no further force or effect.</w:t>
      </w:r>
    </w:p>
    <w:p>
      <w:pPr>
        <w:spacing w:after="0" w:line="168"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employment or other Service Relationship with the Company or a Subsidiary shall be conclusive and binding on the Optionee and his or her representatives or legatees.</w:t>
      </w:r>
    </w:p>
    <w:p>
      <w:pPr>
        <w:spacing w:after="0" w:line="55" w:lineRule="exact"/>
        <w:rPr>
          <w:sz w:val="20"/>
          <w:szCs w:val="20"/>
          <w:color w:val="auto"/>
        </w:rPr>
      </w:pPr>
    </w:p>
    <w:p>
      <w:pPr>
        <w:ind w:firstLine="444"/>
        <w:spacing w:after="0" w:line="263" w:lineRule="auto"/>
        <w:tabs>
          <w:tab w:leader="none" w:pos="6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68" w:lineRule="exact"/>
        <w:rPr>
          <w:rFonts w:ascii="Times New Roman" w:cs="Times New Roman" w:eastAsia="Times New Roman" w:hAnsi="Times New Roman"/>
          <w:sz w:val="18"/>
          <w:szCs w:val="18"/>
          <w:color w:val="auto"/>
        </w:rPr>
      </w:pPr>
    </w:p>
    <w:p>
      <w:pPr>
        <w:ind w:right="360" w:firstLine="444"/>
        <w:spacing w:after="0" w:line="263" w:lineRule="auto"/>
        <w:tabs>
          <w:tab w:leader="none" w:pos="6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68" w:lineRule="exact"/>
        <w:rPr>
          <w:rFonts w:ascii="Times New Roman" w:cs="Times New Roman" w:eastAsia="Times New Roman" w:hAnsi="Times New Roman"/>
          <w:sz w:val="18"/>
          <w:szCs w:val="18"/>
          <w:color w:val="auto"/>
        </w:rPr>
      </w:pPr>
    </w:p>
    <w:p>
      <w:pPr>
        <w:ind w:right="60" w:firstLine="444"/>
        <w:spacing w:after="0" w:line="255" w:lineRule="auto"/>
        <w:tabs>
          <w:tab w:leader="none" w:pos="6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w:t>
      </w:r>
    </w:p>
    <w:p>
      <w:pPr>
        <w:spacing w:after="0" w:line="77" w:lineRule="exact"/>
        <w:rPr>
          <w:rFonts w:ascii="Times New Roman" w:cs="Times New Roman" w:eastAsia="Times New Roman" w:hAnsi="Times New Roman"/>
          <w:sz w:val="18"/>
          <w:szCs w:val="18"/>
          <w:color w:val="auto"/>
        </w:rPr>
      </w:pPr>
    </w:p>
    <w:p>
      <w:pPr>
        <w:jc w:val="both"/>
        <w:ind w:right="480" w:firstLine="444"/>
        <w:spacing w:after="0" w:line="258" w:lineRule="auto"/>
        <w:tabs>
          <w:tab w:leader="none" w:pos="6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employment or other Service Relationship with the Company or a Subsidiary and neither the Plan nor this Agreement shall interfere in any way with the right of the Company or any Subsidiary to terminate the Optionee’s employment or other Service Relationship with the Company or a Subsidiary at any time.</w:t>
      </w:r>
    </w:p>
    <w:p>
      <w:pPr>
        <w:spacing w:after="0" w:line="72" w:lineRule="exact"/>
        <w:rPr>
          <w:rFonts w:ascii="Times New Roman" w:cs="Times New Roman" w:eastAsia="Times New Roman" w:hAnsi="Times New Roman"/>
          <w:sz w:val="18"/>
          <w:szCs w:val="18"/>
          <w:color w:val="auto"/>
        </w:rPr>
      </w:pPr>
    </w:p>
    <w:p>
      <w:pPr>
        <w:ind w:right="400" w:firstLine="444"/>
        <w:spacing w:after="0" w:line="278" w:lineRule="auto"/>
        <w:tabs>
          <w:tab w:leader="none" w:pos="6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55" w:lineRule="exact"/>
        <w:rPr>
          <w:rFonts w:ascii="Times New Roman" w:cs="Times New Roman" w:eastAsia="Times New Roman" w:hAnsi="Times New Roman"/>
          <w:sz w:val="18"/>
          <w:szCs w:val="18"/>
          <w:color w:val="auto"/>
        </w:rPr>
      </w:pPr>
    </w:p>
    <w:p>
      <w:pPr>
        <w:ind w:right="80" w:firstLine="444"/>
        <w:spacing w:after="0" w:line="258" w:lineRule="auto"/>
        <w:tabs>
          <w:tab w:leader="none" w:pos="6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18"/>
          <w:szCs w:val="18"/>
          <w:b w:val="1"/>
          <w:bCs w:val="1"/>
          <w:color w:val="auto"/>
        </w:rPr>
        <w:t>Relevant Companies</w:t>
      </w:r>
      <w:r>
        <w:rPr>
          <w:rFonts w:ascii="Times New Roman" w:cs="Times New Roman" w:eastAsia="Times New Roman" w:hAnsi="Times New Roman"/>
          <w:sz w:val="18"/>
          <w:szCs w:val="18"/>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18"/>
          <w:szCs w:val="18"/>
          <w:b w:val="1"/>
          <w:bCs w:val="1"/>
          <w:color w:val="auto"/>
        </w:rPr>
        <w:t>Relevant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325" w:name="page326"/>
    <w:bookmarkEnd w:id="325"/>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Information</w:t>
      </w:r>
      <w:r>
        <w:rPr>
          <w:rFonts w:ascii="Times New Roman" w:cs="Times New Roman" w:eastAsia="Times New Roman" w:hAnsi="Times New Roman"/>
          <w:sz w:val="18"/>
          <w:szCs w:val="18"/>
          <w:color w:val="auto"/>
        </w:rPr>
        <w:t>”). By entering into this Agreement, the Optionee (i) authorizes the Company to collect, process, register and transfer to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4" w:lineRule="exact"/>
        <w:rPr>
          <w:sz w:val="20"/>
          <w:szCs w:val="20"/>
          <w:color w:val="auto"/>
        </w:rPr>
      </w:pPr>
    </w:p>
    <w:p>
      <w:pPr>
        <w:ind w:firstLine="444"/>
        <w:spacing w:after="0" w:line="263" w:lineRule="auto"/>
        <w:tabs>
          <w:tab w:leader="none" w:pos="70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15875</wp:posOffset>
            </wp:positionV>
            <wp:extent cx="387223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1">
                      <a:extLst>
                        <a:ext uri="{28A0092B-C50C-407E-A947-70E740481C1C}"/>
                      </a:extLst>
                    </a:blip>
                    <a:srcRect/>
                    <a:stretch>
                      <a:fillRect/>
                    </a:stretch>
                  </pic:blipFill>
                  <pic:spPr bwMode="auto">
                    <a:xfrm>
                      <a:off x="0" y="0"/>
                      <a:ext cx="3872230"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-8890</wp:posOffset>
            </wp:positionV>
            <wp:extent cx="217868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2">
                      <a:extLst>
                        <a:ext uri="{28A0092B-C50C-407E-A947-70E740481C1C}"/>
                      </a:extLst>
                    </a:blip>
                    <a:srcRect/>
                    <a:stretch>
                      <a:fillRect/>
                    </a:stretch>
                  </pic:blipFill>
                  <pic:spPr bwMode="auto">
                    <a:xfrm>
                      <a:off x="0" y="0"/>
                      <a:ext cx="2178685" cy="8255"/>
                    </a:xfrm>
                    <a:prstGeom prst="rect">
                      <a:avLst/>
                    </a:prstGeom>
                    <a:noFill/>
                  </pic:spPr>
                </pic:pic>
              </a:graphicData>
            </a:graphic>
          </wp:anchor>
        </w:drawing>
      </w:r>
    </w:p>
    <w:p>
      <w:pPr>
        <w:spacing w:after="0" w:line="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287655</wp:posOffset>
            </wp:positionV>
            <wp:extent cx="387223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3">
                      <a:extLst>
                        <a:ext uri="{28A0092B-C50C-407E-A947-70E740481C1C}"/>
                      </a:extLst>
                    </a:blip>
                    <a:srcRect/>
                    <a:stretch>
                      <a:fillRect/>
                    </a:stretch>
                  </pic:blipFill>
                  <pic:spPr bwMode="auto">
                    <a:xfrm>
                      <a:off x="0" y="0"/>
                      <a:ext cx="3872230"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576580</wp:posOffset>
            </wp:positionV>
            <wp:extent cx="387223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4">
                      <a:extLst>
                        <a:ext uri="{28A0092B-C50C-407E-A947-70E740481C1C}"/>
                      </a:extLst>
                    </a:blip>
                    <a:srcRect/>
                    <a:stretch>
                      <a:fillRect/>
                    </a:stretch>
                  </pic:blipFill>
                  <pic:spPr bwMode="auto">
                    <a:xfrm>
                      <a:off x="0" y="0"/>
                      <a:ext cx="3872230"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865505</wp:posOffset>
            </wp:positionV>
            <wp:extent cx="38722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5">
                      <a:extLst>
                        <a:ext uri="{28A0092B-C50C-407E-A947-70E740481C1C}"/>
                      </a:extLst>
                    </a:blip>
                    <a:srcRect/>
                    <a:stretch>
                      <a:fillRect/>
                    </a:stretch>
                  </pic:blipFill>
                  <pic:spPr bwMode="auto">
                    <a:xfrm>
                      <a:off x="0" y="0"/>
                      <a:ext cx="3872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480" w:top="264" w:right="579" w:bottom="1440" w:gutter="0" w:footer="0" w:header="0"/>
        </w:sectPr>
      </w:pPr>
    </w:p>
    <w:bookmarkStart w:id="326" w:name="page327"/>
    <w:bookmarkEnd w:id="3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RESTRICTED STOCK AWARD AGREEMENT</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C4 THERAPEUTICS,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2020 STOCK OPTION AND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-8890</wp:posOffset>
            </wp:positionV>
            <wp:extent cx="20656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-8890</wp:posOffset>
            </wp:positionV>
            <wp:extent cx="127317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8">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-8890</wp:posOffset>
            </wp:positionV>
            <wp:extent cx="127317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9">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97"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Pursuant to the C4 Therapeutics, Inc. 2020 Stock Option and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as amended through the date hereof,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a Restricted Stock Award (an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to the Grantee named above. Upon acceptance of this Award, the Grantee shall receive the number of shares of Common Stock, par value $0.0001 per share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75" w:lineRule="exact"/>
        <w:rPr>
          <w:sz w:val="20"/>
          <w:szCs w:val="20"/>
          <w:color w:val="auto"/>
        </w:rPr>
      </w:pPr>
    </w:p>
    <w:p>
      <w:pPr>
        <w:ind w:right="20" w:firstLine="444"/>
        <w:spacing w:after="0" w:line="255" w:lineRule="auto"/>
        <w:tabs>
          <w:tab w:leader="none" w:pos="61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77"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and Conditions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firstLine="990"/>
        <w:spacing w:after="0" w:line="278" w:lineRule="auto"/>
        <w:tabs>
          <w:tab w:leader="none" w:pos="122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55" w:lineRule="exact"/>
        <w:rPr>
          <w:rFonts w:ascii="Times New Roman" w:cs="Times New Roman" w:eastAsia="Times New Roman" w:hAnsi="Times New Roman"/>
          <w:sz w:val="18"/>
          <w:szCs w:val="18"/>
          <w:color w:val="auto"/>
        </w:rPr>
      </w:pPr>
    </w:p>
    <w:p>
      <w:pPr>
        <w:ind w:right="160" w:firstLine="990"/>
        <w:spacing w:after="0" w:line="278" w:lineRule="auto"/>
        <w:tabs>
          <w:tab w:leader="none" w:pos="123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granted herein may not be sold, assigned, transferred, pledged or otherwise encumbered or disposed of by the Grantee prior to vesting.</w:t>
      </w:r>
    </w:p>
    <w:p>
      <w:pPr>
        <w:spacing w:after="0" w:line="55" w:lineRule="exact"/>
        <w:rPr>
          <w:rFonts w:ascii="Times New Roman" w:cs="Times New Roman" w:eastAsia="Times New Roman" w:hAnsi="Times New Roman"/>
          <w:sz w:val="18"/>
          <w:szCs w:val="18"/>
          <w:color w:val="auto"/>
        </w:rPr>
      </w:pPr>
    </w:p>
    <w:p>
      <w:pPr>
        <w:ind w:right="20" w:firstLine="990"/>
        <w:spacing w:after="0" w:line="263" w:lineRule="auto"/>
        <w:tabs>
          <w:tab w:leader="none" w:pos="122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employment with the Company and its Subsidiaries is voluntarily or involuntarily terminated for any reason (including death) prior to vesting of shares of Restricted Stock granted herein, all shares of Restricted Stock shall immediately and automatically be forfeited and returned to the Company.</w:t>
      </w:r>
    </w:p>
    <w:p>
      <w:pPr>
        <w:spacing w:after="0" w:line="68" w:lineRule="exact"/>
        <w:rPr>
          <w:rFonts w:ascii="Times New Roman" w:cs="Times New Roman" w:eastAsia="Times New Roman" w:hAnsi="Times New Roman"/>
          <w:sz w:val="18"/>
          <w:szCs w:val="18"/>
          <w:color w:val="auto"/>
        </w:rPr>
      </w:pPr>
    </w:p>
    <w:p>
      <w:pPr>
        <w:ind w:right="20" w:firstLine="444"/>
        <w:spacing w:after="0" w:line="258" w:lineRule="auto"/>
        <w:tabs>
          <w:tab w:leader="none" w:pos="61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restrictions and conditions in Paragraph 2 of this Agreement shall lapse on the vesting date or dates specified in the following schedule (each,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Vesting Dates</w:t>
      </w:r>
      <w:r>
        <w:rPr>
          <w:rFonts w:ascii="Times New Roman" w:cs="Times New Roman" w:eastAsia="Times New Roman" w:hAnsi="Times New Roman"/>
          <w:sz w:val="18"/>
          <w:szCs w:val="18"/>
          <w:color w:val="auto"/>
        </w:rPr>
        <w:t>”) so long as the Grantee maintains a Service Relationship on each such date. If a series of Vesting Dates is specified, then the restrictions and conditions in Paragraph 2 shall lapse only with respect to the number of shares of Restricted Stock specified as vested on each such date.</w:t>
      </w:r>
    </w:p>
    <w:p>
      <w:pPr>
        <w:sectPr>
          <w:pgSz w:w="11900" w:h="16838" w:orient="portrait"/>
          <w:cols w:equalWidth="0" w:num="1">
            <w:col w:w="10880"/>
          </w:cols>
          <w:pgMar w:left="480" w:top="264" w:right="539" w:bottom="1440" w:gutter="0" w:footer="0" w:header="0"/>
        </w:sectPr>
      </w:pPr>
    </w:p>
    <w:bookmarkStart w:id="327" w:name="page328"/>
    <w:bookmarkEnd w:id="327"/>
    <w:tbl>
      <w:tblPr>
        <w:tblLayout w:type="fixed"/>
        <w:tblInd w:w="1760" w:type="dxa"/>
        <w:tblCellMar>
          <w:top w:w="0" w:type="dxa"/>
          <w:left w:w="0" w:type="dxa"/>
          <w:bottom w:w="0" w:type="dxa"/>
          <w:right w:w="0" w:type="dxa"/>
        </w:tblCellMar>
      </w:tblPr>
      <w:tr>
        <w:trPr>
          <w:trHeight w:val="161"/>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Number</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Shares Vested</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Vesting Date</w:t>
            </w:r>
          </w:p>
        </w:tc>
      </w:tr>
      <w:tr>
        <w:trPr>
          <w:trHeight w:val="182"/>
        </w:trPr>
        <w:tc>
          <w:tcPr>
            <w:tcW w:w="96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80"/>
              </w:rPr>
              <w:t>_____________</w:t>
            </w:r>
          </w:p>
        </w:tc>
        <w:tc>
          <w:tcPr>
            <w:tcW w:w="5180" w:type="dxa"/>
            <w:vAlign w:val="bottom"/>
          </w:tcPr>
          <w:p>
            <w:pPr>
              <w:jc w:val="right"/>
              <w:ind w:right="4311"/>
              <w:spacing w:after="0" w:line="182" w:lineRule="exact"/>
              <w:rPr>
                <w:sz w:val="20"/>
                <w:szCs w:val="20"/>
                <w:color w:val="auto"/>
              </w:rPr>
            </w:pPr>
            <w:r>
              <w:rPr>
                <w:rFonts w:ascii="Times New Roman" w:cs="Times New Roman" w:eastAsia="Times New Roman" w:hAnsi="Times New Roman"/>
                <w:sz w:val="18"/>
                <w:szCs w:val="18"/>
                <w:color w:val="auto"/>
              </w:rPr>
              <w:t>(___%)</w:t>
            </w:r>
          </w:p>
        </w:tc>
        <w:tc>
          <w:tcPr>
            <w:tcW w:w="12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_____________</w:t>
            </w:r>
          </w:p>
        </w:tc>
        <w:tc>
          <w:tcPr>
            <w:tcW w:w="20" w:type="dxa"/>
            <w:vAlign w:val="bottom"/>
          </w:tcPr>
          <w:p>
            <w:pPr>
              <w:spacing w:after="0"/>
              <w:rPr>
                <w:sz w:val="15"/>
                <w:szCs w:val="15"/>
                <w:color w:val="auto"/>
              </w:rPr>
            </w:pPr>
          </w:p>
        </w:tc>
      </w:tr>
      <w:tr>
        <w:trPr>
          <w:trHeight w:val="214"/>
        </w:trPr>
        <w:tc>
          <w:tcPr>
            <w:tcW w:w="6140" w:type="dxa"/>
            <w:vAlign w:val="bottom"/>
            <w:gridSpan w:val="2"/>
          </w:tcPr>
          <w:p>
            <w:pPr>
              <w:jc w:val="right"/>
              <w:ind w:right="4311"/>
              <w:spacing w:after="0"/>
              <w:rPr>
                <w:sz w:val="20"/>
                <w:szCs w:val="20"/>
                <w:color w:val="auto"/>
              </w:rPr>
            </w:pPr>
            <w:r>
              <w:rPr>
                <w:rFonts w:ascii="Times New Roman" w:cs="Times New Roman" w:eastAsia="Times New Roman" w:hAnsi="Times New Roman"/>
                <w:sz w:val="18"/>
                <w:szCs w:val="18"/>
                <w:color w:val="auto"/>
                <w:w w:val="97"/>
              </w:rPr>
              <w:t>_____________ (___%)</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_____________</w:t>
            </w:r>
          </w:p>
        </w:tc>
      </w:tr>
      <w:tr>
        <w:trPr>
          <w:trHeight w:val="214"/>
        </w:trPr>
        <w:tc>
          <w:tcPr>
            <w:tcW w:w="6140" w:type="dxa"/>
            <w:vAlign w:val="bottom"/>
            <w:gridSpan w:val="2"/>
          </w:tcPr>
          <w:p>
            <w:pPr>
              <w:jc w:val="right"/>
              <w:ind w:right="4311"/>
              <w:spacing w:after="0"/>
              <w:rPr>
                <w:sz w:val="20"/>
                <w:szCs w:val="20"/>
                <w:color w:val="auto"/>
              </w:rPr>
            </w:pPr>
            <w:r>
              <w:rPr>
                <w:rFonts w:ascii="Times New Roman" w:cs="Times New Roman" w:eastAsia="Times New Roman" w:hAnsi="Times New Roman"/>
                <w:sz w:val="18"/>
                <w:szCs w:val="18"/>
                <w:color w:val="auto"/>
                <w:w w:val="97"/>
              </w:rPr>
              <w:t>_____________ (___%)</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_____________</w:t>
            </w:r>
          </w:p>
        </w:tc>
      </w:tr>
      <w:tr>
        <w:trPr>
          <w:trHeight w:val="214"/>
        </w:trPr>
        <w:tc>
          <w:tcPr>
            <w:tcW w:w="6140" w:type="dxa"/>
            <w:vAlign w:val="bottom"/>
            <w:gridSpan w:val="2"/>
          </w:tcPr>
          <w:p>
            <w:pPr>
              <w:jc w:val="right"/>
              <w:ind w:right="4311"/>
              <w:spacing w:after="0"/>
              <w:rPr>
                <w:sz w:val="20"/>
                <w:szCs w:val="20"/>
                <w:color w:val="auto"/>
              </w:rPr>
            </w:pPr>
            <w:r>
              <w:rPr>
                <w:rFonts w:ascii="Times New Roman" w:cs="Times New Roman" w:eastAsia="Times New Roman" w:hAnsi="Times New Roman"/>
                <w:sz w:val="18"/>
                <w:szCs w:val="18"/>
                <w:color w:val="auto"/>
                <w:w w:val="97"/>
              </w:rPr>
              <w:t>_____________ (___%)</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_____________</w:t>
            </w:r>
          </w:p>
        </w:tc>
      </w:tr>
      <w:tr>
        <w:trPr>
          <w:trHeight w:val="233"/>
        </w:trPr>
        <w:tc>
          <w:tcPr>
            <w:tcW w:w="6140" w:type="dxa"/>
            <w:vAlign w:val="bottom"/>
            <w:gridSpan w:val="2"/>
          </w:tcPr>
          <w:p>
            <w:pPr>
              <w:jc w:val="right"/>
              <w:ind w:right="4311"/>
              <w:spacing w:after="0"/>
              <w:rPr>
                <w:sz w:val="20"/>
                <w:szCs w:val="20"/>
                <w:color w:val="auto"/>
              </w:rPr>
            </w:pPr>
            <w:r>
              <w:rPr>
                <w:rFonts w:ascii="Times New Roman" w:cs="Times New Roman" w:eastAsia="Times New Roman" w:hAnsi="Times New Roman"/>
                <w:sz w:val="18"/>
                <w:szCs w:val="18"/>
                <w:color w:val="auto"/>
                <w:w w:val="97"/>
              </w:rPr>
              <w:t>_____________ (___%)</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_____________</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0">
                      <a:extLst>
                        <a:ext uri="{28A0092B-C50C-407E-A947-70E740481C1C}"/>
                      </a:extLst>
                    </a:blip>
                    <a:srcRect/>
                    <a:stretch>
                      <a:fillRect/>
                    </a:stretch>
                  </pic:blipFill>
                  <pic:spPr bwMode="auto">
                    <a:xfrm>
                      <a:off x="0" y="0"/>
                      <a:ext cx="7150735" cy="24765"/>
                    </a:xfrm>
                    <a:prstGeom prst="rect">
                      <a:avLst/>
                    </a:prstGeom>
                    <a:noFill/>
                  </pic:spPr>
                </pic:pic>
              </a:graphicData>
            </a:graphic>
          </wp:anchor>
        </w:drawing>
      </w: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Subsequent to such Vesting Date(s), the shares of Stock on which all restrictions and conditions have lapsed shall no longer be deemed Restricted Stock. The Administrator may at any time accelerate the vesting schedule specified in this Paragraph 3.</w:t>
      </w:r>
    </w:p>
    <w:p>
      <w:pPr>
        <w:spacing w:after="0" w:line="55" w:lineRule="exact"/>
        <w:rPr>
          <w:sz w:val="20"/>
          <w:szCs w:val="20"/>
          <w:color w:val="auto"/>
        </w:rPr>
      </w:pPr>
    </w:p>
    <w:p>
      <w:pPr>
        <w:ind w:left="620" w:hanging="176"/>
        <w:spacing w:after="0"/>
        <w:tabs>
          <w:tab w:leader="none" w:pos="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on shares of Restricted Stock shall be paid currently to the Grantee.</w:t>
      </w:r>
    </w:p>
    <w:p>
      <w:pPr>
        <w:spacing w:after="0" w:line="113"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Award shall be subject to and governed by all the terms and</w:t>
      </w:r>
    </w:p>
    <w:p>
      <w:pPr>
        <w:spacing w:after="0" w:line="25" w:lineRule="exact"/>
        <w:rPr>
          <w:rFonts w:ascii="Times New Roman" w:cs="Times New Roman" w:eastAsia="Times New Roman" w:hAnsi="Times New Roman"/>
          <w:sz w:val="18"/>
          <w:szCs w:val="18"/>
          <w:color w:val="auto"/>
        </w:rPr>
      </w:pP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the Plan, including the powers of the Administrator set forth in Section 2(b) of the Plan. Capitalized terms in this Agreement shall have the meaning specified in the Plan, unless a different meaning is specified herein.</w:t>
      </w:r>
    </w:p>
    <w:p>
      <w:pPr>
        <w:spacing w:after="0" w:line="74" w:lineRule="exact"/>
        <w:rPr>
          <w:rFonts w:ascii="Times New Roman" w:cs="Times New Roman" w:eastAsia="Times New Roman" w:hAnsi="Times New Roman"/>
          <w:sz w:val="18"/>
          <w:szCs w:val="18"/>
          <w:color w:val="auto"/>
        </w:rPr>
      </w:pPr>
    </w:p>
    <w:p>
      <w:pPr>
        <w:ind w:right="440" w:firstLine="444"/>
        <w:spacing w:after="0" w:line="278" w:lineRule="auto"/>
        <w:tabs>
          <w:tab w:leader="none" w:pos="61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Grantee, is non-assignable and is not transferable in any manner, by operation of law or otherwise, other than by will or the laws of descent and distribution.</w:t>
      </w:r>
    </w:p>
    <w:p>
      <w:pPr>
        <w:spacing w:after="0" w:line="55" w:lineRule="exact"/>
        <w:rPr>
          <w:rFonts w:ascii="Times New Roman" w:cs="Times New Roman" w:eastAsia="Times New Roman" w:hAnsi="Times New Roman"/>
          <w:sz w:val="18"/>
          <w:szCs w:val="18"/>
          <w:color w:val="auto"/>
        </w:rPr>
      </w:pPr>
    </w:p>
    <w:p>
      <w:pPr>
        <w:ind w:right="80" w:firstLine="444"/>
        <w:spacing w:after="0" w:line="274" w:lineRule="auto"/>
        <w:tabs>
          <w:tab w:leader="none" w:pos="615"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withholding from shares of Stock to be issued or released by the transfer agent a number of shares of Stock with an aggregate Fair Market Value that would satisfy the withholding amount due.</w:t>
      </w:r>
    </w:p>
    <w:p>
      <w:pPr>
        <w:spacing w:after="0" w:line="61" w:lineRule="exact"/>
        <w:rPr>
          <w:rFonts w:ascii="Times New Roman" w:cs="Times New Roman" w:eastAsia="Times New Roman" w:hAnsi="Times New Roman"/>
          <w:sz w:val="17"/>
          <w:szCs w:val="17"/>
          <w:color w:val="auto"/>
        </w:rPr>
      </w:pPr>
    </w:p>
    <w:p>
      <w:pPr>
        <w:ind w:right="260" w:firstLine="444"/>
        <w:spacing w:after="0" w:line="255" w:lineRule="auto"/>
        <w:tabs>
          <w:tab w:leader="none" w:pos="61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Under Section 83(b)</w:t>
      </w:r>
      <w:r>
        <w:rPr>
          <w:rFonts w:ascii="Times New Roman" w:cs="Times New Roman" w:eastAsia="Times New Roman" w:hAnsi="Times New Roman"/>
          <w:sz w:val="18"/>
          <w:szCs w:val="18"/>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49" w:right="519" w:bottom="1440" w:gutter="0" w:footer="0" w:header="0"/>
        </w:sectPr>
      </w:pPr>
    </w:p>
    <w:bookmarkStart w:id="328" w:name="page329"/>
    <w:bookmarkEnd w:id="328"/>
    <w:p>
      <w:pPr>
        <w:ind w:left="-20" w:right="300" w:firstLine="444"/>
        <w:spacing w:after="0" w:line="258" w:lineRule="auto"/>
        <w:tabs>
          <w:tab w:leader="none" w:pos="59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employment or any other Service Relationship with the Company or a Subsidiary and neither the Plan nor this Agreement shall interfere in any way with the right of the Company or any Subsidiary to terminate the Grantee’s employment or other Service Relationship with the Company or a Subsidiary at any time.</w:t>
      </w:r>
    </w:p>
    <w:p>
      <w:pPr>
        <w:spacing w:after="0" w:line="72" w:lineRule="exact"/>
        <w:rPr>
          <w:rFonts w:ascii="Times New Roman" w:cs="Times New Roman" w:eastAsia="Times New Roman" w:hAnsi="Times New Roman"/>
          <w:sz w:val="18"/>
          <w:szCs w:val="18"/>
          <w:color w:val="auto"/>
        </w:rPr>
      </w:pPr>
    </w:p>
    <w:p>
      <w:pPr>
        <w:ind w:left="-20" w:right="800" w:firstLine="444"/>
        <w:spacing w:after="0" w:line="278" w:lineRule="auto"/>
        <w:tabs>
          <w:tab w:leader="none" w:pos="68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55" w:lineRule="exact"/>
        <w:rPr>
          <w:rFonts w:ascii="Times New Roman" w:cs="Times New Roman" w:eastAsia="Times New Roman" w:hAnsi="Times New Roman"/>
          <w:sz w:val="18"/>
          <w:szCs w:val="18"/>
          <w:color w:val="auto"/>
        </w:rPr>
      </w:pPr>
    </w:p>
    <w:p>
      <w:pPr>
        <w:ind w:left="-20" w:firstLine="444"/>
        <w:spacing w:after="0" w:line="251" w:lineRule="auto"/>
        <w:tabs>
          <w:tab w:leader="none" w:pos="67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18"/>
          <w:szCs w:val="18"/>
          <w:b w:val="1"/>
          <w:bCs w:val="1"/>
          <w:color w:val="auto"/>
        </w:rPr>
        <w:t>Relevant Companies</w:t>
      </w:r>
      <w:r>
        <w:rPr>
          <w:rFonts w:ascii="Times New Roman" w:cs="Times New Roman" w:eastAsia="Times New Roman" w:hAnsi="Times New Roman"/>
          <w:sz w:val="18"/>
          <w:szCs w:val="18"/>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18"/>
          <w:szCs w:val="18"/>
          <w:b w:val="1"/>
          <w:bCs w:val="1"/>
          <w:color w:val="auto"/>
        </w:rPr>
        <w:t>Relevant Information</w:t>
      </w:r>
      <w:r>
        <w:rPr>
          <w:rFonts w:ascii="Times New Roman" w:cs="Times New Roman" w:eastAsia="Times New Roman" w:hAnsi="Times New Roman"/>
          <w:sz w:val="18"/>
          <w:szCs w:val="18"/>
          <w:color w:val="auto"/>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84" w:lineRule="exact"/>
        <w:rPr>
          <w:rFonts w:ascii="Times New Roman" w:cs="Times New Roman" w:eastAsia="Times New Roman" w:hAnsi="Times New Roman"/>
          <w:sz w:val="18"/>
          <w:szCs w:val="18"/>
          <w:color w:val="auto"/>
        </w:rPr>
      </w:pPr>
    </w:p>
    <w:p>
      <w:pPr>
        <w:jc w:val="both"/>
        <w:ind w:left="-20" w:right="160" w:firstLine="444"/>
        <w:spacing w:after="0" w:line="263" w:lineRule="auto"/>
        <w:tabs>
          <w:tab w:leader="none" w:pos="68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329" w:name="page330"/>
    <w:bookmarkEnd w:id="329"/>
    <w:p>
      <w:pPr>
        <w:ind w:left="6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C4 THERAPEUTICS,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3">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15875</wp:posOffset>
            </wp:positionV>
            <wp:extent cx="33883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4">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-8890</wp:posOffset>
            </wp:positionV>
            <wp:extent cx="7924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5">
                      <a:extLst>
                        <a:ext uri="{28A0092B-C50C-407E-A947-70E740481C1C}"/>
                      </a:extLst>
                    </a:blip>
                    <a:srcRect/>
                    <a:stretch>
                      <a:fillRect/>
                    </a:stretch>
                  </pic:blipFill>
                  <pic:spPr bwMode="auto">
                    <a:xfrm>
                      <a:off x="0" y="0"/>
                      <a:ext cx="792480" cy="8255"/>
                    </a:xfrm>
                    <a:prstGeom prst="rect">
                      <a:avLst/>
                    </a:prstGeom>
                    <a:noFill/>
                  </pic:spPr>
                </pic:pic>
              </a:graphicData>
            </a:graphic>
          </wp:anchor>
        </w:drawing>
      </w:r>
    </w:p>
    <w:p>
      <w:pPr>
        <w:spacing w:after="0" w:line="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219710</wp:posOffset>
            </wp:positionV>
            <wp:extent cx="33883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6">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440690</wp:posOffset>
            </wp:positionV>
            <wp:extent cx="33883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7">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661670</wp:posOffset>
            </wp:positionV>
            <wp:extent cx="33883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8">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40"/>
          </w:cols>
          <w:pgMar w:left="480" w:top="264" w:right="779" w:bottom="1440" w:gutter="0" w:footer="0" w:header="0"/>
        </w:sectPr>
      </w:pPr>
    </w:p>
    <w:bookmarkStart w:id="330" w:name="page331"/>
    <w:bookmarkEnd w:id="3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RESTRICTED STOCK UNIT AWARD AGREEMENT</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NON-EMPLOYEE DIRECTORS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C4 THERAPEUTICS,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2020 STOCK OPTION AND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-8890</wp:posOffset>
            </wp:positionV>
            <wp:extent cx="217868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0">
                      <a:extLst>
                        <a:ext uri="{28A0092B-C50C-407E-A947-70E740481C1C}"/>
                      </a:extLst>
                    </a:blip>
                    <a:srcRect/>
                    <a:stretch>
                      <a:fillRect/>
                    </a:stretch>
                  </pic:blipFill>
                  <pic:spPr bwMode="auto">
                    <a:xfrm>
                      <a:off x="0" y="0"/>
                      <a:ext cx="21786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-8890</wp:posOffset>
            </wp:positionV>
            <wp:extent cx="101854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1">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-8890</wp:posOffset>
            </wp:positionV>
            <wp:extent cx="101854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2">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97" w:lineRule="exact"/>
        <w:rPr>
          <w:sz w:val="20"/>
          <w:szCs w:val="20"/>
          <w:color w:val="auto"/>
        </w:rPr>
      </w:pPr>
    </w:p>
    <w:p>
      <w:pPr>
        <w:jc w:val="both"/>
        <w:ind w:right="200" w:firstLine="436"/>
        <w:spacing w:after="0" w:line="265" w:lineRule="auto"/>
        <w:rPr>
          <w:sz w:val="20"/>
          <w:szCs w:val="20"/>
          <w:color w:val="auto"/>
        </w:rPr>
      </w:pPr>
      <w:r>
        <w:rPr>
          <w:rFonts w:ascii="Times New Roman" w:cs="Times New Roman" w:eastAsia="Times New Roman" w:hAnsi="Times New Roman"/>
          <w:sz w:val="18"/>
          <w:szCs w:val="18"/>
          <w:color w:val="auto"/>
        </w:rPr>
        <w:t>Pursuant to the C4 Therapeutics, Inc. 2020 Stock Option and Incentive Plan as amended through the date hereof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an award of the number of Restricted Stock Units listed above (an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to the Grantee named above. Each Restricted Stock Unit shall relate to one share of Common Stock, par value $0.0001 per share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w:t>
      </w:r>
    </w:p>
    <w:p>
      <w:pPr>
        <w:spacing w:after="0" w:line="67" w:lineRule="exact"/>
        <w:rPr>
          <w:sz w:val="20"/>
          <w:szCs w:val="20"/>
          <w:color w:val="auto"/>
        </w:rPr>
      </w:pPr>
    </w:p>
    <w:p>
      <w:pPr>
        <w:ind w:firstLine="444"/>
        <w:spacing w:after="0" w:line="258" w:lineRule="auto"/>
        <w:tabs>
          <w:tab w:leader="none" w:pos="61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2" w:lineRule="exact"/>
        <w:rPr>
          <w:rFonts w:ascii="Times New Roman" w:cs="Times New Roman" w:eastAsia="Times New Roman" w:hAnsi="Times New Roman"/>
          <w:sz w:val="18"/>
          <w:szCs w:val="18"/>
          <w:color w:val="auto"/>
        </w:rPr>
      </w:pPr>
    </w:p>
    <w:p>
      <w:pPr>
        <w:ind w:right="120" w:firstLine="444"/>
        <w:spacing w:after="0" w:line="258" w:lineRule="auto"/>
        <w:tabs>
          <w:tab w:leader="none" w:pos="61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(each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Vesting Dates</w:t>
      </w:r>
      <w:r>
        <w:rPr>
          <w:rFonts w:ascii="Times New Roman" w:cs="Times New Roman" w:eastAsia="Times New Roman" w:hAnsi="Times New Roman"/>
          <w:sz w:val="18"/>
          <w:szCs w:val="18"/>
          <w:color w:val="auto"/>
        </w:rPr>
        <w:t>”) so long as the Grantee maintains a Service Relationship with the Company or a Subsidiary on each such Vesting Date. If a series of Vesting Dates is specified, then the restrictions and conditions in Paragraph 1 shall lapse only with respect to the number of Restricted Stock Units specified as vested on each such date.</w:t>
      </w:r>
    </w:p>
    <w:p>
      <w:pPr>
        <w:spacing w:after="0" w:line="188"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gridSpan w:val="2"/>
          </w:tcPr>
          <w:p>
            <w:pPr>
              <w:jc w:val="center"/>
              <w:ind w:right="2420"/>
              <w:spacing w:after="0"/>
              <w:rPr>
                <w:sz w:val="20"/>
                <w:szCs w:val="20"/>
                <w:color w:val="auto"/>
              </w:rPr>
            </w:pPr>
            <w:r>
              <w:rPr>
                <w:rFonts w:ascii="Times New Roman" w:cs="Times New Roman" w:eastAsia="Times New Roman" w:hAnsi="Times New Roman"/>
                <w:sz w:val="14"/>
                <w:szCs w:val="14"/>
                <w:color w:val="auto"/>
              </w:rPr>
              <w:t>Incremental Number of</w:t>
            </w:r>
          </w:p>
        </w:tc>
        <w:tc>
          <w:tcPr>
            <w:tcW w:w="34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color w:val="auto"/>
              </w:rPr>
              <w:t>Vesting Date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20" w:type="dxa"/>
            <w:vAlign w:val="bottom"/>
            <w:gridSpan w:val="2"/>
          </w:tcPr>
          <w:p>
            <w:pPr>
              <w:jc w:val="center"/>
              <w:ind w:right="2420"/>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3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140" w:type="dxa"/>
            <w:vAlign w:val="bottom"/>
            <w:gridSpan w:val="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_____________ (___%)</w:t>
            </w: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140" w:type="dxa"/>
            <w:vAlign w:val="bottom"/>
            <w:gridSpan w:val="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_____________ (___%)</w:t>
            </w: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140" w:type="dxa"/>
            <w:vAlign w:val="bottom"/>
            <w:gridSpan w:val="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_____________ (___%)</w:t>
            </w: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140" w:type="dxa"/>
            <w:vAlign w:val="bottom"/>
            <w:gridSpan w:val="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_____________ (___%)</w:t>
            </w: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pacing w:after="0" w:line="221" w:lineRule="exact"/>
        <w:rPr>
          <w:sz w:val="20"/>
          <w:szCs w:val="20"/>
          <w:color w:val="auto"/>
        </w:rPr>
      </w:pPr>
    </w:p>
    <w:p>
      <w:pPr>
        <w:ind w:right="100" w:firstLine="444"/>
        <w:spacing w:after="0" w:line="258" w:lineRule="auto"/>
        <w:tabs>
          <w:tab w:leader="none" w:pos="61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880"/>
          </w:cols>
          <w:pgMar w:left="480" w:top="264" w:right="539" w:bottom="1440" w:gutter="0" w:footer="0" w:header="0"/>
        </w:sectPr>
      </w:pPr>
    </w:p>
    <w:bookmarkStart w:id="331" w:name="page332"/>
    <w:bookmarkEnd w:id="331"/>
    <w:p>
      <w:pPr>
        <w:ind w:left="-20" w:right="100" w:firstLine="444"/>
        <w:spacing w:after="0" w:line="258" w:lineRule="auto"/>
        <w:tabs>
          <w:tab w:leader="none" w:pos="5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72" w:lineRule="exact"/>
        <w:rPr>
          <w:rFonts w:ascii="Times New Roman" w:cs="Times New Roman" w:eastAsia="Times New Roman" w:hAnsi="Times New Roman"/>
          <w:sz w:val="18"/>
          <w:szCs w:val="18"/>
          <w:color w:val="auto"/>
        </w:rPr>
      </w:pPr>
    </w:p>
    <w:p>
      <w:pPr>
        <w:ind w:left="-20" w:firstLine="444"/>
        <w:spacing w:after="0" w:line="263" w:lineRule="auto"/>
        <w:tabs>
          <w:tab w:leader="none" w:pos="5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68" w:lineRule="exact"/>
        <w:rPr>
          <w:rFonts w:ascii="Times New Roman" w:cs="Times New Roman" w:eastAsia="Times New Roman" w:hAnsi="Times New Roman"/>
          <w:sz w:val="18"/>
          <w:szCs w:val="18"/>
          <w:color w:val="auto"/>
        </w:rPr>
      </w:pPr>
    </w:p>
    <w:p>
      <w:pPr>
        <w:ind w:left="-20" w:right="160" w:firstLine="444"/>
        <w:spacing w:after="0" w:line="278" w:lineRule="auto"/>
        <w:tabs>
          <w:tab w:leader="none" w:pos="5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55" w:lineRule="exact"/>
        <w:rPr>
          <w:rFonts w:ascii="Times New Roman" w:cs="Times New Roman" w:eastAsia="Times New Roman" w:hAnsi="Times New Roman"/>
          <w:sz w:val="18"/>
          <w:szCs w:val="18"/>
          <w:color w:val="auto"/>
        </w:rPr>
      </w:pPr>
    </w:p>
    <w:p>
      <w:pPr>
        <w:ind w:left="-20" w:right="560" w:firstLine="444"/>
        <w:spacing w:after="0" w:line="278" w:lineRule="auto"/>
        <w:tabs>
          <w:tab w:leader="none" w:pos="5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Plan nor this Award confers upon the Grantee any rights with respect to the continuation of the Grantee’s service as a Director or any other Service Relationship with the Company or a Subsidiary.</w:t>
      </w:r>
    </w:p>
    <w:p>
      <w:pPr>
        <w:spacing w:after="0" w:line="55" w:lineRule="exact"/>
        <w:rPr>
          <w:rFonts w:ascii="Times New Roman" w:cs="Times New Roman" w:eastAsia="Times New Roman" w:hAnsi="Times New Roman"/>
          <w:sz w:val="18"/>
          <w:szCs w:val="18"/>
          <w:color w:val="auto"/>
        </w:rPr>
      </w:pPr>
    </w:p>
    <w:p>
      <w:pPr>
        <w:ind w:left="-20" w:right="20" w:firstLine="444"/>
        <w:spacing w:after="0" w:line="278" w:lineRule="auto"/>
        <w:tabs>
          <w:tab w:leader="none" w:pos="5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55" w:lineRule="exact"/>
        <w:rPr>
          <w:rFonts w:ascii="Times New Roman" w:cs="Times New Roman" w:eastAsia="Times New Roman" w:hAnsi="Times New Roman"/>
          <w:sz w:val="18"/>
          <w:szCs w:val="18"/>
          <w:color w:val="auto"/>
        </w:rPr>
      </w:pPr>
    </w:p>
    <w:p>
      <w:pPr>
        <w:ind w:left="-20" w:firstLine="444"/>
        <w:spacing w:after="0" w:line="251" w:lineRule="auto"/>
        <w:tabs>
          <w:tab w:leader="none" w:pos="5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18"/>
          <w:szCs w:val="18"/>
          <w:b w:val="1"/>
          <w:bCs w:val="1"/>
          <w:color w:val="auto"/>
        </w:rPr>
        <w:t>Relevant Companies</w:t>
      </w:r>
      <w:r>
        <w:rPr>
          <w:rFonts w:ascii="Times New Roman" w:cs="Times New Roman" w:eastAsia="Times New Roman" w:hAnsi="Times New Roman"/>
          <w:sz w:val="18"/>
          <w:szCs w:val="18"/>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18"/>
          <w:szCs w:val="18"/>
          <w:b w:val="1"/>
          <w:bCs w:val="1"/>
          <w:color w:val="auto"/>
        </w:rPr>
        <w:t>Relevant Information</w:t>
      </w:r>
      <w:r>
        <w:rPr>
          <w:rFonts w:ascii="Times New Roman" w:cs="Times New Roman" w:eastAsia="Times New Roman" w:hAnsi="Times New Roman"/>
          <w:sz w:val="18"/>
          <w:szCs w:val="18"/>
          <w:color w:val="auto"/>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8" w:right="519" w:bottom="1440" w:gutter="0" w:footer="0" w:header="0"/>
        </w:sectPr>
      </w:pPr>
    </w:p>
    <w:bookmarkStart w:id="332" w:name="page333"/>
    <w:bookmarkEnd w:id="332"/>
    <w:p>
      <w:pPr>
        <w:jc w:val="both"/>
        <w:ind w:firstLine="444"/>
        <w:spacing w:after="0" w:line="263" w:lineRule="auto"/>
        <w:tabs>
          <w:tab w:leader="none" w:pos="70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15875</wp:posOffset>
            </wp:positionV>
            <wp:extent cx="33883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6">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-8890</wp:posOffset>
            </wp:positionV>
            <wp:extent cx="19526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7">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287655</wp:posOffset>
            </wp:positionV>
            <wp:extent cx="33883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8">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576580</wp:posOffset>
            </wp:positionV>
            <wp:extent cx="33883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9">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865505</wp:posOffset>
            </wp:positionV>
            <wp:extent cx="33883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480" w:top="268" w:right="679" w:bottom="1440" w:gutter="0" w:footer="0" w:header="0"/>
        </w:sectPr>
      </w:pPr>
    </w:p>
    <w:bookmarkStart w:id="333" w:name="page334"/>
    <w:bookmarkEnd w:id="3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RESTRICTED STOCK UNIT AWARD AGREEMENT</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COMPANY EMPLOYEES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C4 THERAPEUTICS,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2020 STOCK OPTION AND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15875</wp:posOffset>
            </wp:positionV>
            <wp:extent cx="342265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2">
                      <a:extLst>
                        <a:ext uri="{28A0092B-C50C-407E-A947-70E740481C1C}"/>
                      </a:extLst>
                    </a:blip>
                    <a:srcRect/>
                    <a:stretch>
                      <a:fillRect/>
                    </a:stretch>
                  </pic:blipFill>
                  <pic:spPr bwMode="auto">
                    <a:xfrm>
                      <a:off x="0" y="0"/>
                      <a:ext cx="3422650"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15875</wp:posOffset>
            </wp:positionV>
            <wp:extent cx="16217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3">
                      <a:extLst>
                        <a:ext uri="{28A0092B-C50C-407E-A947-70E740481C1C}"/>
                      </a:extLst>
                    </a:blip>
                    <a:srcRect/>
                    <a:stretch>
                      <a:fillRect/>
                    </a:stretch>
                  </pic:blipFill>
                  <pic:spPr bwMode="auto">
                    <a:xfrm>
                      <a:off x="0" y="0"/>
                      <a:ext cx="1621790"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15875</wp:posOffset>
            </wp:positionV>
            <wp:extent cx="16217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4">
                      <a:extLst>
                        <a:ext uri="{28A0092B-C50C-407E-A947-70E740481C1C}"/>
                      </a:extLst>
                    </a:blip>
                    <a:srcRect/>
                    <a:stretch>
                      <a:fillRect/>
                    </a:stretch>
                  </pic:blipFill>
                  <pic:spPr bwMode="auto">
                    <a:xfrm>
                      <a:off x="0" y="0"/>
                      <a:ext cx="1621790" cy="8255"/>
                    </a:xfrm>
                    <a:prstGeom prst="rect">
                      <a:avLst/>
                    </a:prstGeom>
                    <a:noFill/>
                  </pic:spPr>
                </pic:pic>
              </a:graphicData>
            </a:graphic>
          </wp:anchor>
        </w:drawing>
      </w:r>
    </w:p>
    <w:p>
      <w:pPr>
        <w:spacing w:after="0" w:line="224" w:lineRule="exact"/>
        <w:rPr>
          <w:sz w:val="20"/>
          <w:szCs w:val="20"/>
          <w:color w:val="auto"/>
        </w:rPr>
      </w:pPr>
    </w:p>
    <w:p>
      <w:pPr>
        <w:jc w:val="both"/>
        <w:ind w:right="200" w:firstLine="436"/>
        <w:spacing w:after="0" w:line="265" w:lineRule="auto"/>
        <w:rPr>
          <w:sz w:val="20"/>
          <w:szCs w:val="20"/>
          <w:color w:val="auto"/>
        </w:rPr>
      </w:pPr>
      <w:r>
        <w:rPr>
          <w:rFonts w:ascii="Times New Roman" w:cs="Times New Roman" w:eastAsia="Times New Roman" w:hAnsi="Times New Roman"/>
          <w:sz w:val="18"/>
          <w:szCs w:val="18"/>
          <w:color w:val="auto"/>
        </w:rPr>
        <w:t>Pursuant to the C4 Therapeutics, Inc. 2020 Stock Option and Incentive Plan as amended through the date hereof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an award of the number of Restricted Stock Units listed above (an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to the Grantee named above. Each Restricted Stock Unit shall relate to one share of Common Stock, par value $0.0001 per share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w:t>
      </w:r>
    </w:p>
    <w:p>
      <w:pPr>
        <w:spacing w:after="0" w:line="67" w:lineRule="exact"/>
        <w:rPr>
          <w:sz w:val="20"/>
          <w:szCs w:val="20"/>
          <w:color w:val="auto"/>
        </w:rPr>
      </w:pPr>
    </w:p>
    <w:p>
      <w:pPr>
        <w:ind w:firstLine="444"/>
        <w:spacing w:after="0" w:line="258" w:lineRule="auto"/>
        <w:tabs>
          <w:tab w:leader="none" w:pos="61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2" w:lineRule="exact"/>
        <w:rPr>
          <w:rFonts w:ascii="Times New Roman" w:cs="Times New Roman" w:eastAsia="Times New Roman" w:hAnsi="Times New Roman"/>
          <w:sz w:val="18"/>
          <w:szCs w:val="18"/>
          <w:color w:val="auto"/>
        </w:rPr>
      </w:pPr>
    </w:p>
    <w:p>
      <w:pPr>
        <w:ind w:right="120" w:firstLine="444"/>
        <w:spacing w:after="0" w:line="258" w:lineRule="auto"/>
        <w:tabs>
          <w:tab w:leader="none" w:pos="61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(each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Vesting Dates</w:t>
      </w:r>
      <w:r>
        <w:rPr>
          <w:rFonts w:ascii="Times New Roman" w:cs="Times New Roman" w:eastAsia="Times New Roman" w:hAnsi="Times New Roman"/>
          <w:sz w:val="18"/>
          <w:szCs w:val="18"/>
          <w:color w:val="auto"/>
        </w:rPr>
        <w:t>”) so long as the Grantee maintains a Service Relationship with the Company or a Subsidiary on each such Vesting Date. If a series of Vesting Dates is specified, then the restrictions and conditions in Paragraph 1 shall lapse only with respect to the number of Restricted Stock Units specified as vested on each such date.</w:t>
      </w:r>
    </w:p>
    <w:p>
      <w:pPr>
        <w:spacing w:after="0" w:line="18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Number of</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Vesting Date</w:t>
            </w:r>
          </w:p>
        </w:tc>
      </w:tr>
      <w:tr>
        <w:trPr>
          <w:trHeight w:val="182"/>
        </w:trPr>
        <w:tc>
          <w:tcPr>
            <w:tcW w:w="17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5"/>
              </w:rPr>
              <w:t>_____________ (___%)</w:t>
            </w:r>
          </w:p>
        </w:tc>
        <w:tc>
          <w:tcPr>
            <w:tcW w:w="4800" w:type="dxa"/>
            <w:vAlign w:val="bottom"/>
          </w:tcPr>
          <w:p>
            <w:pPr>
              <w:spacing w:after="0"/>
              <w:rPr>
                <w:sz w:val="15"/>
                <w:szCs w:val="15"/>
                <w:color w:val="auto"/>
              </w:rPr>
            </w:pPr>
          </w:p>
        </w:tc>
        <w:tc>
          <w:tcPr>
            <w:tcW w:w="860" w:type="dxa"/>
            <w:vAlign w:val="bottom"/>
            <w:tcBorders>
              <w:top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w w:val="96"/>
              </w:rPr>
              <w:t>_________</w:t>
            </w:r>
          </w:p>
        </w:tc>
        <w:tc>
          <w:tcPr>
            <w:tcW w:w="20" w:type="dxa"/>
            <w:vAlign w:val="bottom"/>
          </w:tcPr>
          <w:p>
            <w:pPr>
              <w:spacing w:after="0"/>
              <w:rPr>
                <w:sz w:val="15"/>
                <w:szCs w:val="15"/>
                <w:color w:val="auto"/>
              </w:rPr>
            </w:pPr>
          </w:p>
        </w:tc>
      </w:tr>
      <w:tr>
        <w:trPr>
          <w:trHeight w:val="21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 (___%)</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_________</w:t>
            </w:r>
          </w:p>
        </w:tc>
      </w:tr>
      <w:tr>
        <w:trPr>
          <w:trHeight w:val="21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 (___%)</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_________</w:t>
            </w:r>
          </w:p>
        </w:tc>
      </w:tr>
      <w:tr>
        <w:trPr>
          <w:trHeight w:val="23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 (___%)</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_________</w:t>
            </w:r>
          </w:p>
        </w:tc>
      </w:tr>
    </w:tbl>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pacing w:after="0" w:line="114" w:lineRule="exact"/>
        <w:rPr>
          <w:sz w:val="20"/>
          <w:szCs w:val="20"/>
          <w:color w:val="auto"/>
        </w:rPr>
      </w:pPr>
    </w:p>
    <w:p>
      <w:pPr>
        <w:ind w:right="20" w:firstLine="444"/>
        <w:spacing w:after="0" w:line="277" w:lineRule="auto"/>
        <w:tabs>
          <w:tab w:leader="none" w:pos="615"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 Relationship</w:t>
      </w:r>
      <w:r>
        <w:rPr>
          <w:rFonts w:ascii="Times New Roman" w:cs="Times New Roman" w:eastAsia="Times New Roman" w:hAnsi="Times New Roman"/>
          <w:sz w:val="17"/>
          <w:szCs w:val="17"/>
          <w:color w:val="auto"/>
        </w:rPr>
        <w:t>. If the Grantee’s employment or other Service Relationship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880"/>
          </w:cols>
          <w:pgMar w:left="480" w:top="264" w:right="539" w:bottom="1440" w:gutter="0" w:footer="0" w:header="0"/>
        </w:sectPr>
      </w:pPr>
    </w:p>
    <w:bookmarkStart w:id="334" w:name="page335"/>
    <w:bookmarkEnd w:id="334"/>
    <w:p>
      <w:pPr>
        <w:ind w:left="-40" w:right="100" w:firstLine="444"/>
        <w:spacing w:after="0" w:line="258" w:lineRule="auto"/>
        <w:tabs>
          <w:tab w:leader="none" w:pos="5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72" w:lineRule="exact"/>
        <w:rPr>
          <w:rFonts w:ascii="Times New Roman" w:cs="Times New Roman" w:eastAsia="Times New Roman" w:hAnsi="Times New Roman"/>
          <w:sz w:val="18"/>
          <w:szCs w:val="18"/>
          <w:color w:val="auto"/>
        </w:rPr>
      </w:pPr>
    </w:p>
    <w:p>
      <w:pPr>
        <w:ind w:left="-40" w:firstLine="444"/>
        <w:spacing w:after="0" w:line="263" w:lineRule="auto"/>
        <w:tabs>
          <w:tab w:leader="none" w:pos="5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68" w:lineRule="exact"/>
        <w:rPr>
          <w:rFonts w:ascii="Times New Roman" w:cs="Times New Roman" w:eastAsia="Times New Roman" w:hAnsi="Times New Roman"/>
          <w:sz w:val="18"/>
          <w:szCs w:val="18"/>
          <w:color w:val="auto"/>
        </w:rPr>
      </w:pPr>
    </w:p>
    <w:p>
      <w:pPr>
        <w:ind w:left="-40" w:right="20" w:firstLine="444"/>
        <w:spacing w:after="0" w:line="255" w:lineRule="auto"/>
        <w:tabs>
          <w:tab w:leader="none" w:pos="5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Grantee a number of shares of Stock with an aggregate Fair Market Value that would satisfy the withholding amount due.</w:t>
      </w:r>
    </w:p>
    <w:p>
      <w:pPr>
        <w:spacing w:after="0" w:line="77" w:lineRule="exact"/>
        <w:rPr>
          <w:rFonts w:ascii="Times New Roman" w:cs="Times New Roman" w:eastAsia="Times New Roman" w:hAnsi="Times New Roman"/>
          <w:sz w:val="18"/>
          <w:szCs w:val="18"/>
          <w:color w:val="auto"/>
        </w:rPr>
      </w:pPr>
    </w:p>
    <w:p>
      <w:pPr>
        <w:ind w:left="-40" w:right="160" w:firstLine="444"/>
        <w:spacing w:after="0" w:line="278" w:lineRule="auto"/>
        <w:tabs>
          <w:tab w:leader="none" w:pos="5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55" w:lineRule="exact"/>
        <w:rPr>
          <w:rFonts w:ascii="Times New Roman" w:cs="Times New Roman" w:eastAsia="Times New Roman" w:hAnsi="Times New Roman"/>
          <w:sz w:val="18"/>
          <w:szCs w:val="18"/>
          <w:color w:val="auto"/>
        </w:rPr>
      </w:pPr>
    </w:p>
    <w:p>
      <w:pPr>
        <w:ind w:left="-40" w:right="160" w:firstLine="444"/>
        <w:spacing w:after="0" w:line="258" w:lineRule="auto"/>
        <w:tabs>
          <w:tab w:leader="none" w:pos="5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employment or other Service Relationship with the Company or a Subsidiary, and neither the Plan nor this Agreement shall interfere in any way with the right of the Company or any Subsidiary to terminate the employment or other Service Relationship with the Company or a Subsidiary of the Grantee at any time.</w:t>
      </w:r>
    </w:p>
    <w:p>
      <w:pPr>
        <w:spacing w:after="0" w:line="72" w:lineRule="exact"/>
        <w:rPr>
          <w:rFonts w:ascii="Times New Roman" w:cs="Times New Roman" w:eastAsia="Times New Roman" w:hAnsi="Times New Roman"/>
          <w:sz w:val="18"/>
          <w:szCs w:val="18"/>
          <w:color w:val="auto"/>
        </w:rPr>
      </w:pPr>
    </w:p>
    <w:p>
      <w:pPr>
        <w:ind w:left="-40" w:right="40" w:firstLine="444"/>
        <w:spacing w:after="0" w:line="278" w:lineRule="auto"/>
        <w:tabs>
          <w:tab w:leader="none" w:pos="5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55" w:lineRule="exact"/>
        <w:rPr>
          <w:rFonts w:ascii="Times New Roman" w:cs="Times New Roman" w:eastAsia="Times New Roman" w:hAnsi="Times New Roman"/>
          <w:sz w:val="18"/>
          <w:szCs w:val="18"/>
          <w:color w:val="auto"/>
        </w:rPr>
      </w:pPr>
    </w:p>
    <w:p>
      <w:pPr>
        <w:ind w:left="-40" w:right="40" w:firstLine="444"/>
        <w:spacing w:after="0" w:line="255" w:lineRule="auto"/>
        <w:tabs>
          <w:tab w:leader="none" w:pos="66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18"/>
          <w:szCs w:val="18"/>
          <w:b w:val="1"/>
          <w:bCs w:val="1"/>
          <w:color w:val="auto"/>
        </w:rPr>
        <w:t>Relevant Companies</w:t>
      </w:r>
      <w:r>
        <w:rPr>
          <w:rFonts w:ascii="Times New Roman" w:cs="Times New Roman" w:eastAsia="Times New Roman" w:hAnsi="Times New Roman"/>
          <w:sz w:val="18"/>
          <w:szCs w:val="18"/>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18"/>
          <w:szCs w:val="18"/>
          <w:b w:val="1"/>
          <w:bCs w:val="1"/>
          <w:color w:val="auto"/>
        </w:rPr>
        <w:t>Relevant Information</w:t>
      </w:r>
      <w:r>
        <w:rPr>
          <w:rFonts w:ascii="Times New Roman" w:cs="Times New Roman" w:eastAsia="Times New Roman" w:hAnsi="Times New Roman"/>
          <w:sz w:val="18"/>
          <w:szCs w:val="18"/>
          <w:color w:val="auto"/>
        </w:rPr>
        <w:t>”). By entering into this Agreement, the Grantee (i) authorizes the Company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20" w:top="268" w:right="519" w:bottom="1440" w:gutter="0" w:footer="0" w:header="0"/>
        </w:sectPr>
      </w:pPr>
    </w:p>
    <w:bookmarkStart w:id="335" w:name="page336"/>
    <w:bookmarkEnd w:id="335"/>
    <w:p>
      <w:pPr>
        <w:ind w:right="20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collect, process, register and transfer to the Relevant Companies all Relevant Information; (ii) waives any privacy rights the Grantee may have with respect to the Relevant Information; (iii) authorizes the Relevant Companies to store and transmit such information in electronic form; and</w:t>
      </w:r>
    </w:p>
    <w:p>
      <w:pPr>
        <w:ind w:right="160" w:firstLine="7"/>
        <w:spacing w:after="0" w:line="256" w:lineRule="auto"/>
        <w:tabs>
          <w:tab w:leader="none" w:pos="30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74" w:lineRule="exact"/>
        <w:rPr>
          <w:rFonts w:ascii="Times New Roman" w:cs="Times New Roman" w:eastAsia="Times New Roman" w:hAnsi="Times New Roman"/>
          <w:sz w:val="18"/>
          <w:szCs w:val="18"/>
          <w:color w:val="auto"/>
        </w:rPr>
      </w:pPr>
    </w:p>
    <w:p>
      <w:pPr>
        <w:jc w:val="both"/>
        <w:ind w:firstLine="444"/>
        <w:spacing w:after="0" w:line="263" w:lineRule="auto"/>
        <w:tabs>
          <w:tab w:leader="none" w:pos="69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8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15875</wp:posOffset>
            </wp:positionV>
            <wp:extent cx="31845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8">
                      <a:extLst>
                        <a:ext uri="{28A0092B-C50C-407E-A947-70E740481C1C}"/>
                      </a:extLst>
                    </a:blip>
                    <a:srcRect/>
                    <a:stretch>
                      <a:fillRect/>
                    </a:stretch>
                  </pic:blipFill>
                  <pic:spPr bwMode="auto">
                    <a:xfrm>
                      <a:off x="0" y="0"/>
                      <a:ext cx="318452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-8890</wp:posOffset>
            </wp:positionV>
            <wp:extent cx="101854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9">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18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262255</wp:posOffset>
            </wp:positionV>
            <wp:extent cx="31845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0">
                      <a:extLst>
                        <a:ext uri="{28A0092B-C50C-407E-A947-70E740481C1C}"/>
                      </a:extLst>
                    </a:blip>
                    <a:srcRect/>
                    <a:stretch>
                      <a:fillRect/>
                    </a:stretch>
                  </pic:blipFill>
                  <pic:spPr bwMode="auto">
                    <a:xfrm>
                      <a:off x="0" y="0"/>
                      <a:ext cx="318452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525780</wp:posOffset>
            </wp:positionV>
            <wp:extent cx="31845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1">
                      <a:extLst>
                        <a:ext uri="{28A0092B-C50C-407E-A947-70E740481C1C}"/>
                      </a:extLst>
                    </a:blip>
                    <a:srcRect/>
                    <a:stretch>
                      <a:fillRect/>
                    </a:stretch>
                  </pic:blipFill>
                  <pic:spPr bwMode="auto">
                    <a:xfrm>
                      <a:off x="0" y="0"/>
                      <a:ext cx="318452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788670</wp:posOffset>
            </wp:positionV>
            <wp:extent cx="31845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2">
                      <a:extLst>
                        <a:ext uri="{28A0092B-C50C-407E-A947-70E740481C1C}"/>
                      </a:extLst>
                    </a:blip>
                    <a:srcRect/>
                    <a:stretch>
                      <a:fillRect/>
                    </a:stretch>
                  </pic:blipFill>
                  <pic:spPr bwMode="auto">
                    <a:xfrm>
                      <a:off x="0" y="0"/>
                      <a:ext cx="3184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480" w:top="267" w:right="67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21"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The purpose of the C4 Therapeutics, Inc. 2020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 provide eligible employees of C4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Designated Subsidiary (as defined in Section 11) with opportunities to purchase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437,809 shares of Common Stock in the aggregate have been approved and reserved for this purpose, plus on January 1, 2021, and each January 1 thereafter through January 1, 2030, the number of shares of Common Stock reserved and available for issuance under the Plan shall be cumulatively increased by the lesser of (i) one percent (1%) of the number of shares of Common Stock issued and outstanding on the immediately preceding December 31st, (ii) 656,714 shares of Common Stock, or (iii) such lesser number of shares of Common Stock as determined by the Administrator. The Plan is intended to constitute an “employee stock purchase plan” within the meaning of Section 423(b)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shall be interpreted in accordance with that intent.</w:t>
      </w:r>
    </w:p>
    <w:p>
      <w:pPr>
        <w:spacing w:after="0" w:line="73" w:lineRule="exact"/>
        <w:rPr>
          <w:sz w:val="20"/>
          <w:szCs w:val="20"/>
          <w:color w:val="auto"/>
        </w:rPr>
      </w:pPr>
    </w:p>
    <w:p>
      <w:pPr>
        <w:ind w:right="60" w:firstLine="444"/>
        <w:spacing w:after="0" w:line="253" w:lineRule="auto"/>
        <w:tabs>
          <w:tab w:leader="none" w:pos="61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the person or persons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appointed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77" w:lineRule="exact"/>
        <w:rPr>
          <w:rFonts w:ascii="Times New Roman" w:cs="Times New Roman" w:eastAsia="Times New Roman" w:hAnsi="Times New Roman"/>
          <w:sz w:val="18"/>
          <w:szCs w:val="18"/>
          <w:color w:val="auto"/>
        </w:rPr>
      </w:pPr>
    </w:p>
    <w:p>
      <w:pPr>
        <w:ind w:right="140" w:firstLine="444"/>
        <w:spacing w:after="0" w:line="279" w:lineRule="auto"/>
        <w:tabs>
          <w:tab w:leader="none" w:pos="615"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Offerings</w:t>
      </w:r>
      <w:r>
        <w:rPr>
          <w:rFonts w:ascii="Times New Roman" w:cs="Times New Roman" w:eastAsia="Times New Roman" w:hAnsi="Times New Roman"/>
          <w:sz w:val="17"/>
          <w:szCs w:val="17"/>
          <w:color w:val="auto"/>
        </w:rPr>
        <w:t>. The Company will make one or more offerings to eligible employees to purchase Common Stock under the Plan (“</w:t>
      </w:r>
      <w:r>
        <w:rPr>
          <w:rFonts w:ascii="Times New Roman" w:cs="Times New Roman" w:eastAsia="Times New Roman" w:hAnsi="Times New Roman"/>
          <w:sz w:val="17"/>
          <w:szCs w:val="17"/>
          <w:b w:val="1"/>
          <w:bCs w:val="1"/>
          <w:color w:val="auto"/>
        </w:rPr>
        <w:t>Offerings</w:t>
      </w:r>
      <w:r>
        <w:rPr>
          <w:rFonts w:ascii="Times New Roman" w:cs="Times New Roman" w:eastAsia="Times New Roman" w:hAnsi="Times New Roman"/>
          <w:sz w:val="17"/>
          <w:szCs w:val="17"/>
          <w:color w:val="auto"/>
        </w:rPr>
        <w:t xml:space="preserve">”). Unless otherwise determined by the Administrator, an Offering will begin on the first business day occurring on or after each January 1 and July 1 and will end on the last business day occurring on or before the following June 30 and December 31, respectively. The Administrator may, in its discretion, designate a different period for any Offering,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Offering shall exceed twenty-seven months in duration or overlap any other Offering.</w:t>
      </w:r>
    </w:p>
    <w:p>
      <w:pPr>
        <w:spacing w:after="0" w:line="57" w:lineRule="exact"/>
        <w:rPr>
          <w:rFonts w:ascii="Times New Roman" w:cs="Times New Roman" w:eastAsia="Times New Roman" w:hAnsi="Times New Roman"/>
          <w:sz w:val="17"/>
          <w:szCs w:val="17"/>
          <w:color w:val="auto"/>
        </w:rPr>
      </w:pPr>
    </w:p>
    <w:p>
      <w:pPr>
        <w:ind w:right="100" w:firstLine="444"/>
        <w:spacing w:after="0" w:line="254" w:lineRule="auto"/>
        <w:tabs>
          <w:tab w:leader="none" w:pos="61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xml:space="preserve">. All individuals classified as employees on the payroll records of the Company and each Designated Subsidiary are eligible to participate in any one or more of the Offerings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of the first day of the applicable Offering (the “</w:t>
      </w:r>
      <w:r>
        <w:rPr>
          <w:rFonts w:ascii="Times New Roman" w:cs="Times New Roman" w:eastAsia="Times New Roman" w:hAnsi="Times New Roman"/>
          <w:sz w:val="18"/>
          <w:szCs w:val="18"/>
          <w:b w:val="1"/>
          <w:bCs w:val="1"/>
          <w:color w:val="auto"/>
        </w:rPr>
        <w:t>Offering Date</w:t>
      </w:r>
      <w:r>
        <w:rPr>
          <w:rFonts w:ascii="Times New Roman" w:cs="Times New Roman" w:eastAsia="Times New Roman" w:hAnsi="Times New Roman"/>
          <w:sz w:val="18"/>
          <w:szCs w:val="18"/>
          <w:color w:val="auto"/>
        </w:rPr>
        <w:t>”), such individual is customarily employed by the Company or a Designated Subsidiary for more than 20 hours a week and has completed at least 30 days of employment.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w:t>
      </w:r>
    </w:p>
    <w:p>
      <w:pPr>
        <w:sectPr>
          <w:pgSz w:w="11900" w:h="16838" w:orient="portrait"/>
          <w:cols w:equalWidth="0" w:num="1">
            <w:col w:w="10920"/>
          </w:cols>
          <w:pgMar w:left="480" w:top="117" w:right="499" w:bottom="1440" w:gutter="0" w:footer="0" w:header="0"/>
        </w:sectPr>
      </w:pPr>
    </w:p>
    <w:bookmarkStart w:id="337" w:name="page338"/>
    <w:bookmarkEnd w:id="337"/>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66" w:lineRule="exact"/>
        <w:rPr>
          <w:sz w:val="20"/>
          <w:szCs w:val="20"/>
          <w:color w:val="auto"/>
        </w:rPr>
      </w:pPr>
    </w:p>
    <w:p>
      <w:pPr>
        <w:ind w:left="620" w:hanging="176"/>
        <w:spacing w:after="0"/>
        <w:tabs>
          <w:tab w:leader="none" w:pos="6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right="480" w:firstLine="990"/>
        <w:spacing w:after="0" w:line="263" w:lineRule="auto"/>
        <w:tabs>
          <w:tab w:leader="none" w:pos="122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An eligible employee who is not a Participant in any prior Offering may participate in an Offering by submitting an enrollment form to his or her appropriate payroll location at least 15 business days before the Offering Date (or by such other deadline as shall be established by the Administrator for the Offering).</w:t>
      </w:r>
    </w:p>
    <w:p>
      <w:pPr>
        <w:spacing w:after="0" w:line="175" w:lineRule="exact"/>
        <w:rPr>
          <w:rFonts w:ascii="Times New Roman" w:cs="Times New Roman" w:eastAsia="Times New Roman" w:hAnsi="Times New Roman"/>
          <w:sz w:val="18"/>
          <w:szCs w:val="18"/>
          <w:color w:val="auto"/>
        </w:rPr>
      </w:pPr>
    </w:p>
    <w:p>
      <w:pPr>
        <w:ind w:right="80" w:firstLine="990"/>
        <w:spacing w:after="0" w:line="271" w:lineRule="auto"/>
        <w:tabs>
          <w:tab w:leader="none" w:pos="1234"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Enrollment</w:t>
      </w:r>
      <w:r>
        <w:rPr>
          <w:rFonts w:ascii="Times New Roman" w:cs="Times New Roman" w:eastAsia="Times New Roman" w:hAnsi="Times New Roman"/>
          <w:sz w:val="17"/>
          <w:szCs w:val="17"/>
          <w:color w:val="auto"/>
        </w:rPr>
        <w:t xml:space="preserve">. The enrollment form will (a) state a whole percentage or the amount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(which may effect a change in enrollment percentage or amount) or withdraws from the Plan, such Participant’s deductions and purchases will continue at the same percentage or amount of Compensation for future Offerings,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he or she remains eligible.</w:t>
      </w:r>
    </w:p>
    <w:p>
      <w:pPr>
        <w:spacing w:after="0" w:line="173" w:lineRule="exact"/>
        <w:rPr>
          <w:rFonts w:ascii="Times New Roman" w:cs="Times New Roman" w:eastAsia="Times New Roman" w:hAnsi="Times New Roman"/>
          <w:sz w:val="17"/>
          <w:szCs w:val="17"/>
          <w:color w:val="auto"/>
        </w:rPr>
      </w:pPr>
    </w:p>
    <w:p>
      <w:pPr>
        <w:ind w:right="80" w:firstLine="990"/>
        <w:spacing w:after="0" w:line="278" w:lineRule="auto"/>
        <w:tabs>
          <w:tab w:leader="none" w:pos="122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Requirements</w:t>
      </w:r>
      <w:r>
        <w:rPr>
          <w:rFonts w:ascii="Times New Roman" w:cs="Times New Roman" w:eastAsia="Times New Roman" w:hAnsi="Times New Roman"/>
          <w:sz w:val="18"/>
          <w:szCs w:val="18"/>
          <w:color w:val="auto"/>
        </w:rPr>
        <w:t>. Notwithstanding the foregoing, participation in the Plan will neither be permitted nor be denied contrary to the requirements of the Code.</w:t>
      </w:r>
    </w:p>
    <w:p>
      <w:pPr>
        <w:spacing w:after="0" w:line="162" w:lineRule="exact"/>
        <w:rPr>
          <w:rFonts w:ascii="Times New Roman" w:cs="Times New Roman" w:eastAsia="Times New Roman" w:hAnsi="Times New Roman"/>
          <w:sz w:val="18"/>
          <w:szCs w:val="18"/>
          <w:color w:val="auto"/>
        </w:rPr>
      </w:pPr>
    </w:p>
    <w:p>
      <w:pPr>
        <w:jc w:val="both"/>
        <w:ind w:right="120" w:firstLine="444"/>
        <w:spacing w:after="0" w:line="263" w:lineRule="auto"/>
        <w:tabs>
          <w:tab w:leader="none" w:pos="61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Contributions</w:t>
      </w:r>
      <w:r>
        <w:rPr>
          <w:rFonts w:ascii="Times New Roman" w:cs="Times New Roman" w:eastAsia="Times New Roman" w:hAnsi="Times New Roman"/>
          <w:sz w:val="18"/>
          <w:szCs w:val="18"/>
          <w:color w:val="auto"/>
        </w:rPr>
        <w:t>. Each eligible employee may authorize payroll deductions at a minimum of 1 percent up to a maximum of 15 percent of such employee’s Compensation for each pay period. The Company will maintain book accounts showing the amount of payroll deductions made by each Participant for each Offering. No interest will accrue or be paid on payroll deductions.</w:t>
      </w:r>
    </w:p>
    <w:p>
      <w:pPr>
        <w:spacing w:after="0" w:line="175" w:lineRule="exact"/>
        <w:rPr>
          <w:rFonts w:ascii="Times New Roman" w:cs="Times New Roman" w:eastAsia="Times New Roman" w:hAnsi="Times New Roman"/>
          <w:sz w:val="18"/>
          <w:szCs w:val="18"/>
          <w:color w:val="auto"/>
        </w:rPr>
      </w:pPr>
    </w:p>
    <w:p>
      <w:pPr>
        <w:ind w:right="120" w:firstLine="444"/>
        <w:spacing w:after="0" w:line="255" w:lineRule="auto"/>
        <w:tabs>
          <w:tab w:leader="none" w:pos="61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Deduction Changes</w:t>
      </w:r>
      <w:r>
        <w:rPr>
          <w:rFonts w:ascii="Times New Roman" w:cs="Times New Roman" w:eastAsia="Times New Roman" w:hAnsi="Times New Roman"/>
          <w:sz w:val="18"/>
          <w:szCs w:val="18"/>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8" w:right="539" w:bottom="1440" w:gutter="0" w:footer="0" w:header="0"/>
        </w:sectPr>
      </w:pPr>
    </w:p>
    <w:bookmarkStart w:id="338" w:name="page339"/>
    <w:bookmarkEnd w:id="338"/>
    <w:p>
      <w:pPr>
        <w:ind w:right="280" w:firstLine="444"/>
        <w:spacing w:after="0" w:line="255" w:lineRule="auto"/>
        <w:tabs>
          <w:tab w:leader="none" w:pos="61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Withdrawal</w:t>
      </w:r>
      <w:r>
        <w:rPr>
          <w:rFonts w:ascii="Times New Roman" w:cs="Times New Roman" w:eastAsia="Times New Roman" w:hAnsi="Times New Roman"/>
          <w:sz w:val="18"/>
          <w:szCs w:val="18"/>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77"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On each Offering Date, the Company will grant to each eligible employee who is then a Participant in the Plan an option</w:t>
      </w:r>
    </w:p>
    <w:p>
      <w:pPr>
        <w:spacing w:after="0" w:line="2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to purchase on the last day of such Offering (the “</w:t>
      </w:r>
      <w:r>
        <w:rPr>
          <w:rFonts w:ascii="Times New Roman" w:cs="Times New Roman" w:eastAsia="Times New Roman" w:hAnsi="Times New Roman"/>
          <w:sz w:val="17"/>
          <w:szCs w:val="17"/>
          <w:b w:val="1"/>
          <w:bCs w:val="1"/>
          <w:color w:val="auto"/>
        </w:rPr>
        <w:t>Exercise Date</w:t>
      </w:r>
      <w:r>
        <w:rPr>
          <w:rFonts w:ascii="Times New Roman" w:cs="Times New Roman" w:eastAsia="Times New Roman" w:hAnsi="Times New Roman"/>
          <w:sz w:val="17"/>
          <w:szCs w:val="17"/>
          <w:color w:val="auto"/>
        </w:rPr>
        <w:t>”), at the Option Price hereinafter provided for, the lowest of (a) a number of shares of Common Stock determined by dividing such Participant’s accumulated payroll deductions on such Exercise Date by the lower of (i) 85% of the Fair Market Value of the Common Stock on the Offering Date, or (ii) 85% of the Fair Market Value of the Common Stock on the Exercise Date;</w:t>
      </w:r>
    </w:p>
    <w:p>
      <w:pPr>
        <w:spacing w:after="0" w:line="2" w:lineRule="exact"/>
        <w:rPr>
          <w:sz w:val="20"/>
          <w:szCs w:val="20"/>
          <w:color w:val="auto"/>
        </w:rPr>
      </w:pPr>
    </w:p>
    <w:p>
      <w:pPr>
        <w:ind w:firstLine="7"/>
        <w:spacing w:after="0" w:line="250" w:lineRule="auto"/>
        <w:tabs>
          <w:tab w:leader="none" w:pos="25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number of shares of Common Stock determined by dividing $25,000 by the Fair Market Value of the Common Stock on the Offering Date of such Offering; or (c) such other lesser maximum number of shares as shall have been established by the Administrator in advance of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Option shall be subject to the limitations set forth below. Each Participant’s Option shall be exercisable only to the extent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accumulated payroll deductions on the Exercise Date. The purchase price for each share purchased under each Option (the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will be 85% of the Fair Market Value of the Common Stock on the Offering Date or the Exercise Date, whichever is less.</w:t>
      </w:r>
    </w:p>
    <w:p>
      <w:pPr>
        <w:spacing w:after="0" w:line="187" w:lineRule="exact"/>
        <w:rPr>
          <w:sz w:val="20"/>
          <w:szCs w:val="20"/>
          <w:color w:val="auto"/>
        </w:rPr>
      </w:pPr>
    </w:p>
    <w:p>
      <w:pPr>
        <w:ind w:right="60" w:firstLine="436"/>
        <w:spacing w:after="0" w:line="251" w:lineRule="auto"/>
        <w:rPr>
          <w:sz w:val="20"/>
          <w:szCs w:val="20"/>
          <w:color w:val="auto"/>
        </w:rPr>
      </w:pPr>
      <w:r>
        <w:rPr>
          <w:rFonts w:ascii="Times New Roman" w:cs="Times New Roman" w:eastAsia="Times New Roman" w:hAnsi="Times New Roman"/>
          <w:sz w:val="18"/>
          <w:szCs w:val="18"/>
          <w:color w:val="auto"/>
        </w:rPr>
        <w:t>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that the Participant has a contractual right to purchase shall be treated as stock owned by the Participant. In addition, no Participant may be granted an Option that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85" w:lineRule="exact"/>
        <w:rPr>
          <w:sz w:val="20"/>
          <w:szCs w:val="20"/>
          <w:color w:val="auto"/>
        </w:rPr>
      </w:pPr>
    </w:p>
    <w:p>
      <w:pPr>
        <w:ind w:right="20" w:firstLine="444"/>
        <w:spacing w:after="0" w:line="254" w:lineRule="auto"/>
        <w:tabs>
          <w:tab w:leader="none" w:pos="61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 and Purchase of Shares</w:t>
      </w:r>
      <w:r>
        <w:rPr>
          <w:rFonts w:ascii="Times New Roman" w:cs="Times New Roman" w:eastAsia="Times New Roman" w:hAnsi="Times New Roman"/>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339" w:name="page340"/>
    <w:bookmarkEnd w:id="339"/>
    <w:p>
      <w:pPr>
        <w:ind w:right="20" w:firstLine="444"/>
        <w:spacing w:after="0" w:line="263" w:lineRule="auto"/>
        <w:tabs>
          <w:tab w:leader="none" w:pos="70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Issuance of Certificates</w:t>
      </w:r>
      <w:r>
        <w:rPr>
          <w:rFonts w:ascii="Times New Roman" w:cs="Times New Roman" w:eastAsia="Times New Roman" w:hAnsi="Times New Roman"/>
          <w:sz w:val="18"/>
          <w:szCs w:val="18"/>
          <w:color w:val="auto"/>
        </w:rPr>
        <w:t>. Certificates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68"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Plan, the following terms shall have the meanings set forth below:</w:t>
      </w:r>
    </w:p>
    <w:p>
      <w:pPr>
        <w:spacing w:after="0" w:line="217" w:lineRule="exact"/>
        <w:rPr>
          <w:sz w:val="20"/>
          <w:szCs w:val="20"/>
          <w:color w:val="auto"/>
        </w:rPr>
      </w:pPr>
    </w:p>
    <w:p>
      <w:pPr>
        <w:ind w:right="280" w:firstLine="436"/>
        <w:spacing w:after="0" w:line="265"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means the amount of base pay, prior to salary reduction pursuant to Sections 125, 132(f) or 401(k) of the Code, but excluding overtime, commissions, incentive or bonus awards, allowances and reimbursements for expenses such as relocation allowances or travel expenses, income or gains on the exercise of Company stock options, and similar items.</w:t>
      </w:r>
    </w:p>
    <w:p>
      <w:pPr>
        <w:spacing w:after="0" w:line="170"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Designated Subsidiary</w:t>
      </w:r>
      <w:r>
        <w:rPr>
          <w:rFonts w:ascii="Times New Roman" w:cs="Times New Roman" w:eastAsia="Times New Roman" w:hAnsi="Times New Roman"/>
          <w:sz w:val="18"/>
          <w:szCs w:val="18"/>
          <w:color w:val="auto"/>
        </w:rPr>
        <w:t>”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w:t>
      </w:r>
    </w:p>
    <w:p>
      <w:pPr>
        <w:spacing w:after="0" w:line="170" w:lineRule="exact"/>
        <w:rPr>
          <w:sz w:val="20"/>
          <w:szCs w:val="20"/>
          <w:color w:val="auto"/>
        </w:rPr>
      </w:pPr>
    </w:p>
    <w:p>
      <w:pPr>
        <w:ind w:right="120" w:firstLine="436"/>
        <w:spacing w:after="0" w:line="25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Fair Market Value of the Common Stock</w:t>
      </w:r>
      <w:r>
        <w:rPr>
          <w:rFonts w:ascii="Times New Roman" w:cs="Times New Roman" w:eastAsia="Times New Roman" w:hAnsi="Times New Roman"/>
          <w:sz w:val="18"/>
          <w:szCs w:val="18"/>
          <w:color w:val="auto"/>
        </w:rPr>
        <w:t xml:space="preserve">” on any given date means the fair market value of the Common Stock determined in good faith by the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Common Stock is admitted to quotation on the National Association of Securities Dealers Automated Quotation System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NASDAQ Global Market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with respect to the Company, as defined in Section 424(e) of the Code.</w:t>
      </w:r>
    </w:p>
    <w:p>
      <w:pPr>
        <w:spacing w:after="0" w:line="221"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individual who is eligible to participate in this Plan as determined in Section 3 and who has complied with the provisions of Section 4.</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with respect to the Company, as defined in Section 424(f) of the Code.</w:t>
      </w:r>
    </w:p>
    <w:p>
      <w:pPr>
        <w:spacing w:after="0" w:line="118" w:lineRule="exact"/>
        <w:rPr>
          <w:sz w:val="20"/>
          <w:szCs w:val="20"/>
          <w:color w:val="auto"/>
        </w:rPr>
      </w:pPr>
    </w:p>
    <w:p>
      <w:pPr>
        <w:ind w:firstLine="444"/>
        <w:spacing w:after="0" w:line="269" w:lineRule="auto"/>
        <w:tabs>
          <w:tab w:leader="none" w:pos="704"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on Termination of Employment</w:t>
      </w:r>
      <w:r>
        <w:rPr>
          <w:rFonts w:ascii="Times New Roman" w:cs="Times New Roman" w:eastAsia="Times New Roman" w:hAnsi="Times New Roman"/>
          <w:sz w:val="17"/>
          <w:szCs w:val="17"/>
          <w:color w:val="auto"/>
        </w:rPr>
        <w:t>. If a Participant’s employment terminates for any reason before the Exercise Date for any Offering, no further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purposes of this Section 12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340" w:name="page341"/>
    <w:bookmarkEnd w:id="340"/>
    <w:p>
      <w:pPr>
        <w:ind w:left="-40" w:firstLine="444"/>
        <w:spacing w:after="0" w:line="255" w:lineRule="auto"/>
        <w:tabs>
          <w:tab w:leader="none" w:pos="6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Special Rules</w:t>
      </w:r>
      <w:r>
        <w:rPr>
          <w:rFonts w:ascii="Times New Roman" w:cs="Times New Roman" w:eastAsia="Times New Roman" w:hAnsi="Times New Roman"/>
          <w:sz w:val="18"/>
          <w:szCs w:val="18"/>
          <w:color w:val="auto"/>
        </w:rPr>
        <w:t xml:space="preserve">.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77" w:lineRule="exact"/>
        <w:rPr>
          <w:rFonts w:ascii="Times New Roman" w:cs="Times New Roman" w:eastAsia="Times New Roman" w:hAnsi="Times New Roman"/>
          <w:sz w:val="18"/>
          <w:szCs w:val="18"/>
          <w:color w:val="auto"/>
        </w:rPr>
      </w:pPr>
    </w:p>
    <w:p>
      <w:pPr>
        <w:ind w:left="-40" w:right="40" w:firstLine="444"/>
        <w:spacing w:after="0" w:line="263" w:lineRule="auto"/>
        <w:tabs>
          <w:tab w:leader="none" w:pos="6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Optionees Not Stockholders</w:t>
      </w:r>
      <w:r>
        <w:rPr>
          <w:rFonts w:ascii="Times New Roman" w:cs="Times New Roman" w:eastAsia="Times New Roman" w:hAnsi="Times New Roman"/>
          <w:sz w:val="18"/>
          <w:szCs w:val="18"/>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68" w:lineRule="exact"/>
        <w:rPr>
          <w:rFonts w:ascii="Times New Roman" w:cs="Times New Roman" w:eastAsia="Times New Roman" w:hAnsi="Times New Roman"/>
          <w:sz w:val="18"/>
          <w:szCs w:val="18"/>
          <w:color w:val="auto"/>
        </w:rPr>
      </w:pPr>
    </w:p>
    <w:p>
      <w:pPr>
        <w:ind w:left="-40" w:right="120" w:firstLine="444"/>
        <w:spacing w:after="0" w:line="278" w:lineRule="auto"/>
        <w:tabs>
          <w:tab w:leader="none" w:pos="6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55" w:lineRule="exact"/>
        <w:rPr>
          <w:rFonts w:ascii="Times New Roman" w:cs="Times New Roman" w:eastAsia="Times New Roman" w:hAnsi="Times New Roman"/>
          <w:sz w:val="18"/>
          <w:szCs w:val="18"/>
          <w:color w:val="auto"/>
        </w:rPr>
      </w:pPr>
    </w:p>
    <w:p>
      <w:pPr>
        <w:ind w:left="-40" w:right="300" w:firstLine="444"/>
        <w:spacing w:after="0" w:line="278" w:lineRule="auto"/>
        <w:tabs>
          <w:tab w:leader="none" w:pos="6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All funds received or held by the Company under the Plan may be combined with other corporate funds and may be used for any corporate purpose.</w:t>
      </w:r>
    </w:p>
    <w:p>
      <w:pPr>
        <w:spacing w:after="0" w:line="55" w:lineRule="exact"/>
        <w:rPr>
          <w:rFonts w:ascii="Times New Roman" w:cs="Times New Roman" w:eastAsia="Times New Roman" w:hAnsi="Times New Roman"/>
          <w:sz w:val="18"/>
          <w:szCs w:val="18"/>
          <w:color w:val="auto"/>
        </w:rPr>
      </w:pPr>
    </w:p>
    <w:p>
      <w:pPr>
        <w:ind w:left="-40" w:right="40" w:firstLine="444"/>
        <w:spacing w:after="0" w:line="263" w:lineRule="auto"/>
        <w:tabs>
          <w:tab w:leader="none" w:pos="6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Case of Changes Affecting Common Stock</w:t>
      </w:r>
      <w:r>
        <w:rPr>
          <w:rFonts w:ascii="Times New Roman" w:cs="Times New Roman" w:eastAsia="Times New Roman" w:hAnsi="Times New Roman"/>
          <w:sz w:val="18"/>
          <w:szCs w:val="18"/>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68" w:lineRule="exact"/>
        <w:rPr>
          <w:rFonts w:ascii="Times New Roman" w:cs="Times New Roman" w:eastAsia="Times New Roman" w:hAnsi="Times New Roman"/>
          <w:sz w:val="18"/>
          <w:szCs w:val="18"/>
          <w:color w:val="auto"/>
        </w:rPr>
      </w:pPr>
    </w:p>
    <w:p>
      <w:pPr>
        <w:ind w:left="-40" w:right="160" w:firstLine="444"/>
        <w:spacing w:after="0" w:line="258" w:lineRule="auto"/>
        <w:tabs>
          <w:tab w:leader="none" w:pos="6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w:t>
      </w:r>
      <w:r>
        <w:rPr>
          <w:rFonts w:ascii="Times New Roman" w:cs="Times New Roman" w:eastAsia="Times New Roman" w:hAnsi="Times New Roman"/>
          <w:sz w:val="18"/>
          <w:szCs w:val="18"/>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72" w:lineRule="exact"/>
        <w:rPr>
          <w:rFonts w:ascii="Times New Roman" w:cs="Times New Roman" w:eastAsia="Times New Roman" w:hAnsi="Times New Roman"/>
          <w:sz w:val="18"/>
          <w:szCs w:val="18"/>
          <w:color w:val="auto"/>
        </w:rPr>
      </w:pPr>
    </w:p>
    <w:p>
      <w:pPr>
        <w:jc w:val="both"/>
        <w:ind w:left="-40" w:right="40" w:firstLine="444"/>
        <w:spacing w:after="0" w:line="258" w:lineRule="auto"/>
        <w:tabs>
          <w:tab w:leader="none" w:pos="6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an Offering in proportion to the amount of payroll deductions accumulated on behalf of each Participant that would otherwise be used to purchase Common Stock on such Exercise Date.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520" w:top="268" w:right="539" w:bottom="1440" w:gutter="0" w:footer="0" w:header="0"/>
        </w:sectPr>
      </w:pPr>
    </w:p>
    <w:bookmarkStart w:id="341" w:name="page342"/>
    <w:bookmarkEnd w:id="341"/>
    <w:p>
      <w:pPr>
        <w:ind w:right="220" w:firstLine="444"/>
        <w:spacing w:after="0" w:line="278" w:lineRule="auto"/>
        <w:tabs>
          <w:tab w:leader="none" w:pos="7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Termination of the Plan</w:t>
      </w:r>
      <w:r>
        <w:rPr>
          <w:rFonts w:ascii="Times New Roman" w:cs="Times New Roman" w:eastAsia="Times New Roman" w:hAnsi="Times New Roman"/>
          <w:sz w:val="18"/>
          <w:szCs w:val="18"/>
          <w:color w:val="auto"/>
        </w:rPr>
        <w:t>. The Plan may be terminated at any time by the Board. Upon termination of the Plan, all amounts in the accounts of Participants shall be promptly refunded.</w:t>
      </w:r>
    </w:p>
    <w:p>
      <w:pPr>
        <w:spacing w:after="0" w:line="55" w:lineRule="exact"/>
        <w:rPr>
          <w:rFonts w:ascii="Times New Roman" w:cs="Times New Roman" w:eastAsia="Times New Roman" w:hAnsi="Times New Roman"/>
          <w:sz w:val="18"/>
          <w:szCs w:val="18"/>
          <w:color w:val="auto"/>
        </w:rPr>
      </w:pPr>
    </w:p>
    <w:p>
      <w:pPr>
        <w:ind w:right="900" w:firstLine="444"/>
        <w:spacing w:after="0" w:line="278" w:lineRule="auto"/>
        <w:tabs>
          <w:tab w:leader="none" w:pos="7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Regulations</w:t>
      </w:r>
      <w:r>
        <w:rPr>
          <w:rFonts w:ascii="Times New Roman" w:cs="Times New Roman" w:eastAsia="Times New Roman" w:hAnsi="Times New Roman"/>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55" w:lineRule="exact"/>
        <w:rPr>
          <w:rFonts w:ascii="Times New Roman" w:cs="Times New Roman" w:eastAsia="Times New Roman" w:hAnsi="Times New Roman"/>
          <w:sz w:val="18"/>
          <w:szCs w:val="18"/>
          <w:color w:val="auto"/>
        </w:rPr>
      </w:pPr>
    </w:p>
    <w:p>
      <w:pPr>
        <w:ind w:right="180" w:firstLine="444"/>
        <w:spacing w:after="0" w:line="263" w:lineRule="auto"/>
        <w:tabs>
          <w:tab w:leader="none" w:pos="7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68" w:lineRule="exact"/>
        <w:rPr>
          <w:rFonts w:ascii="Times New Roman" w:cs="Times New Roman" w:eastAsia="Times New Roman" w:hAnsi="Times New Roman"/>
          <w:sz w:val="18"/>
          <w:szCs w:val="18"/>
          <w:color w:val="auto"/>
        </w:rPr>
      </w:pPr>
    </w:p>
    <w:p>
      <w:pPr>
        <w:ind w:right="260" w:firstLine="444"/>
        <w:spacing w:after="0" w:line="278" w:lineRule="auto"/>
        <w:tabs>
          <w:tab w:leader="none" w:pos="7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Shares may be issued upon exercise of an Option from authorized but unissued Common Stock, from shares held in the treasury of the Company, or from any other proper source.</w:t>
      </w:r>
    </w:p>
    <w:p>
      <w:pPr>
        <w:spacing w:after="0" w:line="55" w:lineRule="exact"/>
        <w:rPr>
          <w:rFonts w:ascii="Times New Roman" w:cs="Times New Roman" w:eastAsia="Times New Roman" w:hAnsi="Times New Roman"/>
          <w:sz w:val="18"/>
          <w:szCs w:val="18"/>
          <w:color w:val="auto"/>
        </w:rPr>
      </w:pPr>
    </w:p>
    <w:p>
      <w:pPr>
        <w:ind w:firstLine="444"/>
        <w:spacing w:after="0" w:line="263" w:lineRule="auto"/>
        <w:tabs>
          <w:tab w:leader="none" w:pos="7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68" w:lineRule="exact"/>
        <w:rPr>
          <w:rFonts w:ascii="Times New Roman" w:cs="Times New Roman" w:eastAsia="Times New Roman" w:hAnsi="Times New Roman"/>
          <w:sz w:val="18"/>
          <w:szCs w:val="18"/>
          <w:color w:val="auto"/>
        </w:rPr>
      </w:pPr>
    </w:p>
    <w:p>
      <w:pPr>
        <w:ind w:right="40" w:firstLine="444"/>
        <w:spacing w:after="0" w:line="263" w:lineRule="auto"/>
        <w:tabs>
          <w:tab w:leader="none" w:pos="7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Upon Sale of Shares</w:t>
      </w:r>
      <w:r>
        <w:rPr>
          <w:rFonts w:ascii="Times New Roman" w:cs="Times New Roman" w:eastAsia="Times New Roman" w:hAnsi="Times New Roman"/>
          <w:sz w:val="18"/>
          <w:szCs w:val="18"/>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68" w:lineRule="exact"/>
        <w:rPr>
          <w:rFonts w:ascii="Times New Roman" w:cs="Times New Roman" w:eastAsia="Times New Roman" w:hAnsi="Times New Roman"/>
          <w:sz w:val="18"/>
          <w:szCs w:val="18"/>
          <w:color w:val="auto"/>
        </w:rPr>
      </w:pPr>
    </w:p>
    <w:p>
      <w:pPr>
        <w:ind w:right="20" w:firstLine="444"/>
        <w:spacing w:after="0" w:line="258" w:lineRule="auto"/>
        <w:tabs>
          <w:tab w:leader="none" w:pos="7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Approval of Shareholders</w:t>
      </w:r>
      <w:r>
        <w:rPr>
          <w:rFonts w:ascii="Times New Roman" w:cs="Times New Roman" w:eastAsia="Times New Roman" w:hAnsi="Times New Roman"/>
          <w:sz w:val="18"/>
          <w:szCs w:val="18"/>
          <w:color w:val="auto"/>
        </w:rPr>
        <w:t>. The Plan shall take effect on the date immediately preceding the date upon which the registration statement on Form S-1 that is filed by the Company with respect to its initial public offering of Common Stock under the Securities Act of 1933, as amended, is declared effective by the Securities and Exchange Commission, subject to approval by the holders of a majority of the votes cast at a meeting of stockholders at which a quorum is present or by written consent of the stockholders.</w:t>
      </w:r>
    </w:p>
    <w:p>
      <w:pPr>
        <w:sectPr>
          <w:pgSz w:w="11900" w:h="16838" w:orient="portrait"/>
          <w:cols w:equalWidth="0" w:num="1">
            <w:col w:w="10900"/>
          </w:cols>
          <w:pgMar w:left="480" w:top="268" w:right="51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APPROVED BY BOARD OF DIRECTORS: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8, 2020</w:t>
      </w:r>
    </w:p>
    <w:p>
      <w:pPr>
        <w:spacing w:after="0" w:line="125" w:lineRule="exact"/>
        <w:rPr>
          <w:sz w:val="20"/>
          <w:szCs w:val="20"/>
          <w:color w:val="auto"/>
        </w:rPr>
      </w:pPr>
    </w:p>
    <w:p>
      <w:pPr>
        <w:sectPr>
          <w:pgSz w:w="11900" w:h="16838" w:orient="portrait"/>
          <w:cols w:equalWidth="0" w:num="2">
            <w:col w:w="4860" w:space="720"/>
            <w:col w:w="5320"/>
          </w:cols>
          <w:pgMar w:left="480" w:top="268"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APPROVED BY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23, 2020</w:t>
      </w:r>
    </w:p>
    <w:p>
      <w:pPr>
        <w:spacing w:after="0" w:line="200" w:lineRule="exact"/>
        <w:rPr>
          <w:sz w:val="20"/>
          <w:szCs w:val="20"/>
          <w:color w:val="auto"/>
        </w:rPr>
      </w:pPr>
    </w:p>
    <w:p>
      <w:pPr>
        <w:sectPr>
          <w:pgSz w:w="11900" w:h="16838" w:orient="portrait"/>
          <w:cols w:equalWidth="0" w:num="2">
            <w:col w:w="4860" w:space="720"/>
            <w:col w:w="5320"/>
          </w:cols>
          <w:pgMar w:left="480" w:top="268" w:right="519" w:bottom="1440" w:gutter="0" w:footer="0" w:header="0"/>
          <w:type w:val="continuous"/>
        </w:sectPr>
      </w:pPr>
    </w:p>
    <w:p>
      <w:pPr>
        <w:spacing w:after="0" w:line="59" w:lineRule="exact"/>
        <w:rPr>
          <w:sz w:val="20"/>
          <w:szCs w:val="20"/>
          <w:color w:val="auto"/>
        </w:rPr>
      </w:pPr>
    </w:p>
    <w:p>
      <w:pPr>
        <w:ind w:left="5420" w:right="4240" w:hanging="5413"/>
        <w:spacing w:after="0" w:line="448" w:lineRule="auto"/>
        <w:tabs>
          <w:tab w:leader="none" w:pos="22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numbers in this Plan reflect the reverse stock split effected September 25, 2020. 6</w:t>
      </w:r>
    </w:p>
    <w:p>
      <w:pPr>
        <w:sectPr>
          <w:pgSz w:w="11900" w:h="16838" w:orient="portrait"/>
          <w:cols w:equalWidth="0" w:num="1">
            <w:col w:w="10900"/>
          </w:cols>
          <w:pgMar w:left="480" w:top="268" w:right="519" w:bottom="1440" w:gutter="0" w:footer="0" w:header="0"/>
          <w:type w:val="continuous"/>
        </w:sectPr>
      </w:pPr>
    </w:p>
    <w:bookmarkStart w:id="342" w:name="page343"/>
    <w:bookmarkEnd w:id="3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95"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We consent to the use of our report dated August 5, 2020, except as to Note 13, which is as of September 28, 2020, included herein and to the reference to our firm under the heading “Experts” in the prospectus.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2020</w:t>
      </w:r>
    </w:p>
    <w:sectPr>
      <w:pgSz w:w="11900" w:h="16838" w:orient="portrait"/>
      <w:cols w:equalWidth="0" w:num="1">
        <w:col w:w="10920"/>
      </w:cols>
      <w:pgMar w:left="480" w:top="1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25ACE2"/>
    <w:multiLevelType w:val="hybridMultilevel"/>
    <w:lvl w:ilvl="0">
      <w:lvlJc w:val="left"/>
      <w:lvlText w:val="(%1)"/>
      <w:numFmt w:val="decimal"/>
      <w:start w:val="1"/>
    </w:lvl>
  </w:abstractNum>
  <w:abstractNum w:abstractNumId="1">
    <w:nsid w:val="175DFCF0"/>
    <w:multiLevelType w:val="hybridMultilevel"/>
    <w:lvl w:ilvl="0">
      <w:lvlJc w:val="left"/>
      <w:lvlText w:val="∎"/>
      <w:numFmt w:val="bullet"/>
      <w:start w:val="1"/>
    </w:lvl>
  </w:abstractNum>
  <w:abstractNum w:abstractNumId="2">
    <w:nsid w:val="4F97E3E4"/>
    <w:multiLevelType w:val="hybridMultilevel"/>
    <w:lvl w:ilvl="0">
      <w:lvlJc w:val="left"/>
      <w:lvlText w:val="∎"/>
      <w:numFmt w:val="bullet"/>
      <w:start w:val="1"/>
    </w:lvl>
  </w:abstractNum>
  <w:abstractNum w:abstractNumId="3">
    <w:nsid w:val="53B0A9E"/>
    <w:multiLevelType w:val="hybridMultilevel"/>
    <w:lvl w:ilvl="0">
      <w:lvlJc w:val="left"/>
      <w:lvlText w:val="∎"/>
      <w:numFmt w:val="bullet"/>
      <w:start w:val="1"/>
    </w:lvl>
  </w:abstractNum>
  <w:abstractNum w:abstractNumId="4">
    <w:nsid w:val="34FD6B4F"/>
    <w:multiLevelType w:val="hybridMultilevel"/>
    <w:lvl w:ilvl="0">
      <w:lvlJc w:val="left"/>
      <w:lvlText w:val="(%1)"/>
      <w:numFmt w:val="lowerRoman"/>
      <w:start w:val="2"/>
    </w:lvl>
  </w:abstractNum>
  <w:abstractNum w:abstractNumId="5">
    <w:nsid w:val="5915FF32"/>
    <w:multiLevelType w:val="hybridMultilevel"/>
    <w:lvl w:ilvl="0">
      <w:lvlJc w:val="left"/>
      <w:lvlText w:val="(%1)"/>
      <w:numFmt w:val="lowerRoman"/>
      <w:start w:val="4"/>
    </w:lvl>
  </w:abstractNum>
  <w:abstractNum w:abstractNumId="6">
    <w:nsid w:val="56438D15"/>
    <w:multiLevelType w:val="hybridMultilevel"/>
    <w:lvl w:ilvl="0">
      <w:lvlJc w:val="left"/>
      <w:lvlText w:val="∎"/>
      <w:numFmt w:val="bullet"/>
      <w:start w:val="1"/>
    </w:lvl>
  </w:abstractNum>
  <w:abstractNum w:abstractNumId="7">
    <w:nsid w:val="519E3149"/>
    <w:multiLevelType w:val="hybridMultilevel"/>
    <w:lvl w:ilvl="0">
      <w:lvlJc w:val="left"/>
      <w:lvlText w:val="∎"/>
      <w:numFmt w:val="bullet"/>
      <w:start w:val="1"/>
    </w:lvl>
  </w:abstractNum>
  <w:abstractNum w:abstractNumId="8">
    <w:nsid w:val="2C6E4AFD"/>
    <w:multiLevelType w:val="hybridMultilevel"/>
    <w:lvl w:ilvl="0">
      <w:lvlJc w:val="left"/>
      <w:lvlText w:val="∎"/>
      <w:numFmt w:val="bullet"/>
      <w:start w:val="1"/>
    </w:lvl>
  </w:abstractNum>
  <w:abstractNum w:abstractNumId="9">
    <w:nsid w:val="17A1B582"/>
    <w:multiLevelType w:val="hybridMultilevel"/>
    <w:lvl w:ilvl="0">
      <w:lvlJc w:val="left"/>
      <w:lvlText w:val="(%1)"/>
      <w:numFmt w:val="decimal"/>
      <w:start w:val="1"/>
    </w:lvl>
  </w:abstractNum>
  <w:abstractNum w:abstractNumId="10">
    <w:nsid w:val="4DF72E4E"/>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1">
    <w:nsid w:val="5046B5A9"/>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2">
    <w:nsid w:val="5D888A08"/>
    <w:multiLevelType w:val="hybridMultilevel"/>
    <w:lvl w:ilvl="0">
      <w:lvlJc w:val="left"/>
      <w:lvlText w:val="∎"/>
      <w:numFmt w:val="bullet"/>
      <w:start w:val="1"/>
    </w:lvl>
  </w:abstractNum>
  <w:abstractNum w:abstractNumId="13">
    <w:nsid w:val="2A082C70"/>
    <w:multiLevelType w:val="hybridMultilevel"/>
    <w:lvl w:ilvl="0">
      <w:lvlJc w:val="left"/>
      <w:lvlText w:val="∎"/>
      <w:numFmt w:val="bullet"/>
      <w:start w:val="1"/>
    </w:lvl>
  </w:abstractNum>
  <w:abstractNum w:abstractNumId="14">
    <w:nsid w:val="5EC6AFD4"/>
    <w:multiLevelType w:val="hybridMultilevel"/>
    <w:lvl w:ilvl="0">
      <w:lvlJc w:val="left"/>
      <w:lvlText w:val="∎"/>
      <w:numFmt w:val="bullet"/>
      <w:start w:val="1"/>
    </w:lvl>
  </w:abstractNum>
  <w:abstractNum w:abstractNumId="15">
    <w:nsid w:val="19E21BB2"/>
    <w:multiLevelType w:val="hybridMultilevel"/>
    <w:lvl w:ilvl="0">
      <w:lvlJc w:val="left"/>
      <w:lvlText w:val="∎"/>
      <w:numFmt w:val="bullet"/>
      <w:start w:val="1"/>
    </w:lvl>
  </w:abstractNum>
  <w:abstractNum w:abstractNumId="16">
    <w:nsid w:val="75E0858A"/>
    <w:multiLevelType w:val="hybridMultilevel"/>
    <w:lvl w:ilvl="0">
      <w:lvlJc w:val="left"/>
      <w:lvlText w:val="∎"/>
      <w:numFmt w:val="bullet"/>
      <w:start w:val="1"/>
    </w:lvl>
  </w:abstractNum>
  <w:abstractNum w:abstractNumId="17">
    <w:nsid w:val="57A61A29"/>
    <w:multiLevelType w:val="hybridMultilevel"/>
    <w:lvl w:ilvl="0">
      <w:lvlJc w:val="left"/>
      <w:lvlText w:val="∎"/>
      <w:numFmt w:val="bullet"/>
      <w:start w:val="1"/>
    </w:lvl>
  </w:abstractNum>
  <w:abstractNum w:abstractNumId="18">
    <w:nsid w:val="5399C654"/>
    <w:multiLevelType w:val="hybridMultilevel"/>
    <w:lvl w:ilvl="0">
      <w:lvlJc w:val="left"/>
      <w:lvlText w:val="∎"/>
      <w:numFmt w:val="bullet"/>
      <w:start w:val="1"/>
    </w:lvl>
  </w:abstractNum>
  <w:abstractNum w:abstractNumId="19">
    <w:nsid w:val="20EE1348"/>
    <w:multiLevelType w:val="hybridMultilevel"/>
    <w:lvl w:ilvl="0">
      <w:lvlJc w:val="left"/>
      <w:lvlText w:val="∎"/>
      <w:numFmt w:val="bullet"/>
      <w:start w:val="1"/>
    </w:lvl>
  </w:abstractNum>
  <w:abstractNum w:abstractNumId="20">
    <w:nsid w:val="4427069A"/>
    <w:multiLevelType w:val="hybridMultilevel"/>
    <w:lvl w:ilvl="0">
      <w:lvlJc w:val="left"/>
      <w:lvlText w:val="∎"/>
      <w:numFmt w:val="bullet"/>
      <w:start w:val="1"/>
    </w:lvl>
  </w:abstractNum>
  <w:abstractNum w:abstractNumId="21">
    <w:nsid w:val="B37E80A"/>
    <w:multiLevelType w:val="hybridMultilevel"/>
    <w:lvl w:ilvl="0">
      <w:lvlJc w:val="left"/>
      <w:lvlText w:val="∎"/>
      <w:numFmt w:val="bullet"/>
      <w:start w:val="1"/>
    </w:lvl>
  </w:abstractNum>
  <w:abstractNum w:abstractNumId="22">
    <w:nsid w:val="2157F6BC"/>
    <w:multiLevelType w:val="hybridMultilevel"/>
    <w:lvl w:ilvl="0">
      <w:lvlJc w:val="left"/>
      <w:lvlText w:val="∎"/>
      <w:numFmt w:val="bullet"/>
      <w:start w:val="1"/>
    </w:lvl>
  </w:abstractNum>
  <w:abstractNum w:abstractNumId="23">
    <w:nsid w:val="704E1DD5"/>
    <w:multiLevelType w:val="hybridMultilevel"/>
    <w:lvl w:ilvl="0">
      <w:lvlJc w:val="left"/>
      <w:lvlText w:val="∎"/>
      <w:numFmt w:val="bullet"/>
      <w:start w:val="1"/>
    </w:lvl>
  </w:abstractNum>
  <w:abstractNum w:abstractNumId="24">
    <w:nsid w:val="57D2F10E"/>
    <w:multiLevelType w:val="hybridMultilevel"/>
    <w:lvl w:ilvl="0">
      <w:lvlJc w:val="left"/>
      <w:lvlText w:val="∎"/>
      <w:numFmt w:val="bullet"/>
      <w:start w:val="1"/>
    </w:lvl>
  </w:abstractNum>
  <w:abstractNum w:abstractNumId="25">
    <w:nsid w:val="BFFAE18"/>
    <w:multiLevelType w:val="hybridMultilevel"/>
    <w:lvl w:ilvl="0">
      <w:lvlJc w:val="left"/>
      <w:lvlText w:val="∎"/>
      <w:numFmt w:val="bullet"/>
      <w:start w:val="1"/>
    </w:lvl>
  </w:abstractNum>
  <w:abstractNum w:abstractNumId="26">
    <w:nsid w:val="E3E47A8"/>
    <w:multiLevelType w:val="hybridMultilevel"/>
    <w:lvl w:ilvl="0">
      <w:lvlJc w:val="left"/>
      <w:lvlText w:val="%1"/>
      <w:numFmt w:val="upperLetter"/>
      <w:start w:val="39"/>
    </w:lvl>
  </w:abstractNum>
  <w:abstractNum w:abstractNumId="27">
    <w:nsid w:val="2E48F044"/>
    <w:multiLevelType w:val="hybridMultilevel"/>
    <w:lvl w:ilvl="0">
      <w:lvlJc w:val="left"/>
      <w:lvlText w:val="∎"/>
      <w:numFmt w:val="bullet"/>
      <w:start w:val="1"/>
    </w:lvl>
  </w:abstractNum>
  <w:abstractNum w:abstractNumId="28">
    <w:nsid w:val="49D0FEAC"/>
    <w:multiLevelType w:val="hybridMultilevel"/>
    <w:lvl w:ilvl="0">
      <w:lvlJc w:val="left"/>
      <w:lvlText w:val="∎"/>
      <w:numFmt w:val="bullet"/>
      <w:start w:val="1"/>
    </w:lvl>
  </w:abstractNum>
  <w:abstractNum w:abstractNumId="29">
    <w:nsid w:val="4BEE5A5B"/>
    <w:multiLevelType w:val="hybridMultilevel"/>
    <w:lvl w:ilvl="0">
      <w:lvlJc w:val="left"/>
      <w:lvlText w:val="∎"/>
      <w:numFmt w:val="bullet"/>
      <w:start w:val="1"/>
    </w:lvl>
  </w:abstractNum>
  <w:abstractNum w:abstractNumId="30">
    <w:nsid w:val="5551B9F3"/>
    <w:multiLevelType w:val="hybridMultilevel"/>
    <w:lvl w:ilvl="0">
      <w:lvlJc w:val="left"/>
      <w:lvlText w:val="∎"/>
      <w:numFmt w:val="bullet"/>
      <w:start w:val="1"/>
    </w:lvl>
  </w:abstractNum>
  <w:abstractNum w:abstractNumId="31">
    <w:nsid w:val="24F6AB8E"/>
    <w:multiLevelType w:val="hybridMultilevel"/>
    <w:lvl w:ilvl="0">
      <w:lvlJc w:val="left"/>
      <w:lvlText w:val="∎"/>
      <w:numFmt w:val="bullet"/>
      <w:start w:val="1"/>
    </w:lvl>
  </w:abstractNum>
  <w:abstractNum w:abstractNumId="32">
    <w:nsid w:val="634C574C"/>
    <w:multiLevelType w:val="hybridMultilevel"/>
    <w:lvl w:ilvl="0">
      <w:lvlJc w:val="left"/>
      <w:lvlText w:val="∎"/>
      <w:numFmt w:val="bullet"/>
      <w:start w:val="1"/>
    </w:lvl>
  </w:abstractNum>
  <w:abstractNum w:abstractNumId="33">
    <w:nsid w:val="24E99DD7"/>
    <w:multiLevelType w:val="hybridMultilevel"/>
    <w:lvl w:ilvl="0">
      <w:lvlJc w:val="left"/>
      <w:lvlText w:val="∎"/>
      <w:numFmt w:val="bullet"/>
      <w:start w:val="1"/>
    </w:lvl>
  </w:abstractNum>
  <w:abstractNum w:abstractNumId="34">
    <w:nsid w:val="2A31B62D"/>
    <w:multiLevelType w:val="hybridMultilevel"/>
    <w:lvl w:ilvl="0">
      <w:lvlJc w:val="left"/>
      <w:lvlText w:val="∎"/>
      <w:numFmt w:val="bullet"/>
      <w:start w:val="1"/>
    </w:lvl>
  </w:abstractNum>
  <w:abstractNum w:abstractNumId="35">
    <w:nsid w:val="1849C29B"/>
    <w:multiLevelType w:val="hybridMultilevel"/>
    <w:lvl w:ilvl="0">
      <w:lvlJc w:val="left"/>
      <w:lvlText w:val="∎"/>
      <w:numFmt w:val="bullet"/>
      <w:start w:val="1"/>
    </w:lvl>
  </w:abstractNum>
  <w:abstractNum w:abstractNumId="36">
    <w:nsid w:val="7DFF9D09"/>
    <w:multiLevelType w:val="hybridMultilevel"/>
    <w:lvl w:ilvl="0">
      <w:lvlJc w:val="left"/>
      <w:lvlText w:val="∎"/>
      <w:numFmt w:val="bullet"/>
      <w:start w:val="1"/>
    </w:lvl>
  </w:abstractNum>
  <w:abstractNum w:abstractNumId="37">
    <w:nsid w:val="754342"/>
    <w:multiLevelType w:val="hybridMultilevel"/>
    <w:lvl w:ilvl="0">
      <w:lvlJc w:val="left"/>
      <w:lvlText w:val="∎"/>
      <w:numFmt w:val="bullet"/>
      <w:start w:val="1"/>
    </w:lvl>
  </w:abstractNum>
  <w:abstractNum w:abstractNumId="38">
    <w:nsid w:val="69E7F3E5"/>
    <w:multiLevelType w:val="hybridMultilevel"/>
    <w:lvl w:ilvl="0">
      <w:lvlJc w:val="left"/>
      <w:lvlText w:val="∎"/>
      <w:numFmt w:val="bullet"/>
      <w:start w:val="1"/>
    </w:lvl>
  </w:abstractNum>
  <w:abstractNum w:abstractNumId="39">
    <w:nsid w:val="2A6DE806"/>
    <w:multiLevelType w:val="hybridMultilevel"/>
    <w:lvl w:ilvl="0">
      <w:lvlJc w:val="left"/>
      <w:lvlText w:val="∎"/>
      <w:numFmt w:val="bullet"/>
      <w:start w:val="1"/>
    </w:lvl>
  </w:abstractNum>
  <w:abstractNum w:abstractNumId="40">
    <w:nsid w:val="1816F8C4"/>
    <w:multiLevelType w:val="hybridMultilevel"/>
    <w:lvl w:ilvl="0">
      <w:lvlJc w:val="left"/>
      <w:lvlText w:val="∎"/>
      <w:numFmt w:val="bullet"/>
      <w:start w:val="1"/>
    </w:lvl>
  </w:abstractNum>
  <w:abstractNum w:abstractNumId="41">
    <w:nsid w:val="37DF2233"/>
    <w:multiLevelType w:val="hybridMultilevel"/>
    <w:lvl w:ilvl="0">
      <w:lvlJc w:val="left"/>
      <w:lvlText w:val="(%1)"/>
      <w:numFmt w:val="decimal"/>
      <w:start w:val="3"/>
    </w:lvl>
    <w:lvl w:ilvl="1">
      <w:lvlJc w:val="left"/>
      <w:lvlText w:val="∎"/>
      <w:numFmt w:val="bullet"/>
      <w:start w:val="1"/>
    </w:lvl>
  </w:abstractNum>
  <w:abstractNum w:abstractNumId="42">
    <w:nsid w:val="7AB49DAF"/>
    <w:multiLevelType w:val="hybridMultilevel"/>
    <w:lvl w:ilvl="0">
      <w:lvlJc w:val="left"/>
      <w:lvlText w:val="∎"/>
      <w:numFmt w:val="bullet"/>
      <w:start w:val="1"/>
    </w:lvl>
  </w:abstractNum>
  <w:abstractNum w:abstractNumId="43">
    <w:nsid w:val="759F82CD"/>
    <w:multiLevelType w:val="hybridMultilevel"/>
    <w:lvl w:ilvl="0">
      <w:lvlJc w:val="left"/>
      <w:lvlText w:val="∎"/>
      <w:numFmt w:val="bullet"/>
      <w:start w:val="1"/>
    </w:lvl>
  </w:abstractNum>
  <w:abstractNum w:abstractNumId="44">
    <w:nsid w:val="61E74EA3"/>
    <w:multiLevelType w:val="hybridMultilevel"/>
    <w:lvl w:ilvl="0">
      <w:lvlJc w:val="left"/>
      <w:lvlText w:val="∎"/>
      <w:numFmt w:val="bullet"/>
      <w:start w:val="1"/>
    </w:lvl>
  </w:abstractNum>
  <w:abstractNum w:abstractNumId="45">
    <w:nsid w:val="597B4D84"/>
    <w:multiLevelType w:val="hybridMultilevel"/>
    <w:lvl w:ilvl="0">
      <w:lvlJc w:val="left"/>
      <w:lvlText w:val="∎"/>
      <w:numFmt w:val="bullet"/>
      <w:start w:val="1"/>
    </w:lvl>
  </w:abstractNum>
  <w:abstractNum w:abstractNumId="46">
    <w:nsid w:val="F819E7F"/>
    <w:multiLevelType w:val="hybridMultilevel"/>
    <w:lvl w:ilvl="0">
      <w:lvlJc w:val="left"/>
      <w:lvlText w:val="∎"/>
      <w:numFmt w:val="bullet"/>
      <w:start w:val="1"/>
    </w:lvl>
  </w:abstractNum>
  <w:abstractNum w:abstractNumId="47">
    <w:nsid w:val="57C7D42D"/>
    <w:multiLevelType w:val="hybridMultilevel"/>
    <w:lvl w:ilvl="0">
      <w:lvlJc w:val="left"/>
      <w:lvlText w:val="(%1)"/>
      <w:numFmt w:val="decimal"/>
      <w:start w:val="1"/>
    </w:lvl>
  </w:abstractNum>
  <w:abstractNum w:abstractNumId="48">
    <w:nsid w:val="312167AD"/>
    <w:multiLevelType w:val="hybridMultilevel"/>
    <w:lvl w:ilvl="0">
      <w:lvlJc w:val="left"/>
      <w:lvlText w:val="∎"/>
      <w:numFmt w:val="bullet"/>
      <w:start w:val="1"/>
    </w:lvl>
  </w:abstractNum>
  <w:abstractNum w:abstractNumId="49">
    <w:nsid w:val="631B64D4"/>
    <w:multiLevelType w:val="hybridMultilevel"/>
    <w:lvl w:ilvl="0">
      <w:lvlJc w:val="left"/>
      <w:lvlText w:val="∎"/>
      <w:numFmt w:val="bullet"/>
      <w:start w:val="1"/>
    </w:lvl>
  </w:abstractNum>
  <w:abstractNum w:abstractNumId="50">
    <w:nsid w:val="78B5E776"/>
    <w:multiLevelType w:val="hybridMultilevel"/>
    <w:lvl w:ilvl="0">
      <w:lvlJc w:val="left"/>
      <w:lvlText w:val="∎"/>
      <w:numFmt w:val="bullet"/>
      <w:start w:val="1"/>
    </w:lvl>
  </w:abstractNum>
  <w:abstractNum w:abstractNumId="51">
    <w:nsid w:val="75486E47"/>
    <w:multiLevelType w:val="hybridMultilevel"/>
    <w:lvl w:ilvl="0">
      <w:lvlJc w:val="left"/>
      <w:lvlText w:val="∎"/>
      <w:numFmt w:val="bullet"/>
      <w:start w:val="1"/>
    </w:lvl>
  </w:abstractNum>
  <w:abstractNum w:abstractNumId="52">
    <w:nsid w:val="6E534CDE"/>
    <w:multiLevelType w:val="hybridMultilevel"/>
    <w:lvl w:ilvl="0">
      <w:lvlJc w:val="left"/>
      <w:lvlText w:val="(%1)"/>
      <w:numFmt w:val="decimal"/>
      <w:start w:val="1"/>
    </w:lvl>
  </w:abstractNum>
  <w:abstractNum w:abstractNumId="53">
    <w:nsid w:val="1A0DDE32"/>
    <w:multiLevelType w:val="hybridMultilevel"/>
    <w:lvl w:ilvl="0">
      <w:lvlJc w:val="left"/>
      <w:lvlText w:val="∎"/>
      <w:numFmt w:val="bullet"/>
      <w:start w:val="1"/>
    </w:lvl>
  </w:abstractNum>
  <w:abstractNum w:abstractNumId="54">
    <w:nsid w:val="65968C1C"/>
    <w:multiLevelType w:val="hybridMultilevel"/>
    <w:lvl w:ilvl="0">
      <w:lvlJc w:val="left"/>
      <w:lvlText w:val="∎"/>
      <w:numFmt w:val="bullet"/>
      <w:start w:val="1"/>
    </w:lvl>
  </w:abstractNum>
  <w:abstractNum w:abstractNumId="55">
    <w:nsid w:val="46263DEC"/>
    <w:multiLevelType w:val="hybridMultilevel"/>
    <w:lvl w:ilvl="0">
      <w:lvlJc w:val="left"/>
      <w:lvlText w:val="∎"/>
      <w:numFmt w:val="bullet"/>
      <w:start w:val="1"/>
    </w:lvl>
  </w:abstractNum>
  <w:abstractNum w:abstractNumId="56">
    <w:nsid w:val="260D8C4A"/>
    <w:multiLevelType w:val="hybridMultilevel"/>
    <w:lvl w:ilvl="0">
      <w:lvlJc w:val="left"/>
      <w:lvlText w:val="∎"/>
      <w:numFmt w:val="bullet"/>
      <w:start w:val="1"/>
    </w:lvl>
  </w:abstractNum>
  <w:abstractNum w:abstractNumId="57">
    <w:nsid w:val="73D4D3C4"/>
    <w:multiLevelType w:val="hybridMultilevel"/>
    <w:lvl w:ilvl="0">
      <w:lvlJc w:val="left"/>
      <w:lvlText w:val="∎"/>
      <w:numFmt w:val="bullet"/>
      <w:start w:val="1"/>
    </w:lvl>
  </w:abstractNum>
  <w:abstractNum w:abstractNumId="58">
    <w:nsid w:val="746F2E30"/>
    <w:multiLevelType w:val="hybridMultilevel"/>
    <w:lvl w:ilvl="0">
      <w:lvlJc w:val="left"/>
      <w:lvlText w:val="%1"/>
      <w:numFmt w:val="upperLetter"/>
      <w:start w:val="39"/>
    </w:lvl>
  </w:abstractNum>
  <w:abstractNum w:abstractNumId="59">
    <w:nsid w:val="6FDE8AF6"/>
    <w:multiLevelType w:val="hybridMultilevel"/>
    <w:lvl w:ilvl="0">
      <w:lvlJc w:val="left"/>
      <w:lvlText w:val="(%1)"/>
      <w:numFmt w:val="lowerLetter"/>
      <w:start w:val="1"/>
    </w:lvl>
  </w:abstractNum>
  <w:abstractNum w:abstractNumId="60">
    <w:nsid w:val="3FC32E20"/>
    <w:multiLevelType w:val="hybridMultilevel"/>
    <w:lvl w:ilvl="0">
      <w:lvlJc w:val="left"/>
      <w:lvlText w:val="∎"/>
      <w:numFmt w:val="bullet"/>
      <w:start w:val="1"/>
    </w:lvl>
  </w:abstractNum>
  <w:abstractNum w:abstractNumId="61">
    <w:nsid w:val="49C0E823"/>
    <w:multiLevelType w:val="hybridMultilevel"/>
    <w:lvl w:ilvl="0">
      <w:lvlJc w:val="left"/>
      <w:lvlText w:val="∎"/>
      <w:numFmt w:val="bullet"/>
      <w:start w:val="1"/>
    </w:lvl>
  </w:abstractNum>
  <w:abstractNum w:abstractNumId="62">
    <w:nsid w:val="14D53685"/>
    <w:multiLevelType w:val="hybridMultilevel"/>
    <w:lvl w:ilvl="0">
      <w:lvlJc w:val="left"/>
      <w:lvlText w:val="∎"/>
      <w:numFmt w:val="bullet"/>
      <w:start w:val="1"/>
    </w:lvl>
  </w:abstractNum>
  <w:abstractNum w:abstractNumId="63">
    <w:nsid w:val="230F856C"/>
    <w:multiLevelType w:val="hybridMultilevel"/>
    <w:lvl w:ilvl="0">
      <w:lvlJc w:val="left"/>
      <w:lvlText w:val="∎"/>
      <w:numFmt w:val="bullet"/>
      <w:start w:val="1"/>
    </w:lvl>
  </w:abstractNum>
  <w:abstractNum w:abstractNumId="64">
    <w:nsid w:val="6EAA85FB"/>
    <w:multiLevelType w:val="hybridMultilevel"/>
    <w:lvl w:ilvl="0">
      <w:lvlJc w:val="left"/>
      <w:lvlText w:val="∎"/>
      <w:numFmt w:val="bullet"/>
      <w:start w:val="1"/>
    </w:lvl>
  </w:abstractNum>
  <w:abstractNum w:abstractNumId="65">
    <w:nsid w:val="3F06ECB2"/>
    <w:multiLevelType w:val="hybridMultilevel"/>
    <w:lvl w:ilvl="0">
      <w:lvlJc w:val="left"/>
      <w:lvlText w:val="∎"/>
      <w:numFmt w:val="bullet"/>
      <w:start w:val="1"/>
    </w:lvl>
  </w:abstractNum>
  <w:abstractNum w:abstractNumId="66">
    <w:nsid w:val="3B594807"/>
    <w:multiLevelType w:val="hybridMultilevel"/>
    <w:lvl w:ilvl="0">
      <w:lvlJc w:val="left"/>
      <w:lvlText w:val="∎"/>
      <w:numFmt w:val="bullet"/>
      <w:start w:val="1"/>
    </w:lvl>
  </w:abstractNum>
  <w:abstractNum w:abstractNumId="67">
    <w:nsid w:val="6CAA2304"/>
    <w:multiLevelType w:val="hybridMultilevel"/>
    <w:lvl w:ilvl="0">
      <w:lvlJc w:val="left"/>
      <w:lvlText w:val="(%1)"/>
      <w:numFmt w:val="decimal"/>
      <w:start w:val="1"/>
    </w:lvl>
    <w:lvl w:ilvl="1">
      <w:lvlJc w:val="left"/>
      <w:lvlText w:val="*"/>
      <w:numFmt w:val="bullet"/>
      <w:start w:val="1"/>
    </w:lvl>
  </w:abstractNum>
  <w:abstractNum w:abstractNumId="68">
    <w:nsid w:val="3F7C2FF4"/>
    <w:multiLevelType w:val="hybridMultilevel"/>
    <w:lvl w:ilvl="0">
      <w:lvlJc w:val="left"/>
      <w:lvlText w:val="%1"/>
      <w:numFmt w:val="decimal"/>
      <w:start w:val="1"/>
    </w:lvl>
    <w:lvl w:ilvl="1">
      <w:lvlJc w:val="left"/>
      <w:lvlText w:val="**"/>
      <w:numFmt w:val="bullet"/>
      <w:start w:val="1"/>
    </w:lvl>
  </w:abstractNum>
  <w:abstractNum w:abstractNumId="69">
    <w:nsid w:val="25413BEC"/>
    <w:multiLevelType w:val="hybridMultilevel"/>
    <w:lvl w:ilvl="0">
      <w:lvlJc w:val="left"/>
      <w:lvlText w:val="%1"/>
      <w:numFmt w:val="decimal"/>
      <w:start w:val="1"/>
    </w:lvl>
    <w:lvl w:ilvl="1">
      <w:lvlJc w:val="left"/>
      <w:lvlText w:val="***"/>
      <w:numFmt w:val="bullet"/>
      <w:start w:val="1"/>
    </w:lvl>
  </w:abstractNum>
  <w:abstractNum w:abstractNumId="70">
    <w:nsid w:val="17180B0B"/>
    <w:multiLevelType w:val="hybridMultilevel"/>
    <w:lvl w:ilvl="0">
      <w:lvlJc w:val="left"/>
      <w:lvlText w:val="∎"/>
      <w:numFmt w:val="bullet"/>
      <w:start w:val="1"/>
    </w:lvl>
  </w:abstractNum>
  <w:abstractNum w:abstractNumId="71">
    <w:nsid w:val="579328B9"/>
    <w:multiLevelType w:val="hybridMultilevel"/>
    <w:lvl w:ilvl="0">
      <w:lvlJc w:val="left"/>
      <w:lvlText w:val="(%1)"/>
      <w:numFmt w:val="decimal"/>
      <w:start w:val="1"/>
    </w:lvl>
  </w:abstractNum>
  <w:abstractNum w:abstractNumId="72">
    <w:nsid w:val="5D205E20"/>
    <w:multiLevelType w:val="hybridMultilevel"/>
    <w:lvl w:ilvl="0">
      <w:lvlJc w:val="left"/>
      <w:lvlText w:val="∎"/>
      <w:numFmt w:val="bullet"/>
      <w:start w:val="1"/>
    </w:lvl>
  </w:abstractNum>
  <w:abstractNum w:abstractNumId="73">
    <w:nsid w:val="11CCA8BA"/>
    <w:multiLevelType w:val="hybridMultilevel"/>
    <w:lvl w:ilvl="0">
      <w:lvlJc w:val="left"/>
      <w:lvlText w:val="∎"/>
      <w:numFmt w:val="bullet"/>
      <w:start w:val="1"/>
    </w:lvl>
  </w:abstractNum>
  <w:abstractNum w:abstractNumId="74">
    <w:nsid w:val="4D32AB86"/>
    <w:multiLevelType w:val="hybridMultilevel"/>
    <w:lvl w:ilvl="0">
      <w:lvlJc w:val="left"/>
      <w:lvlText w:val="∎"/>
      <w:numFmt w:val="bullet"/>
      <w:start w:val="1"/>
    </w:lvl>
  </w:abstractNum>
  <w:abstractNum w:abstractNumId="75">
    <w:nsid w:val="3F07ACC3"/>
    <w:multiLevelType w:val="hybridMultilevel"/>
    <w:lvl w:ilvl="0">
      <w:lvlJc w:val="left"/>
      <w:lvlText w:val="∎"/>
      <w:numFmt w:val="bullet"/>
      <w:start w:val="1"/>
    </w:lvl>
  </w:abstractNum>
  <w:abstractNum w:abstractNumId="76">
    <w:nsid w:val="6B47F63E"/>
    <w:multiLevelType w:val="hybridMultilevel"/>
    <w:lvl w:ilvl="0">
      <w:lvlJc w:val="left"/>
      <w:lvlText w:val="∎"/>
      <w:numFmt w:val="bullet"/>
      <w:start w:val="1"/>
    </w:lvl>
  </w:abstractNum>
  <w:abstractNum w:abstractNumId="77">
    <w:nsid w:val="5CB44A05"/>
    <w:multiLevelType w:val="hybridMultilevel"/>
    <w:lvl w:ilvl="0">
      <w:lvlJc w:val="left"/>
      <w:lvlText w:val="∎"/>
      <w:numFmt w:val="bullet"/>
      <w:start w:val="1"/>
    </w:lvl>
  </w:abstractNum>
  <w:abstractNum w:abstractNumId="78">
    <w:nsid w:val="16CF80F1"/>
    <w:multiLevelType w:val="hybridMultilevel"/>
    <w:lvl w:ilvl="0">
      <w:lvlJc w:val="left"/>
      <w:lvlText w:val="∎"/>
      <w:numFmt w:val="bullet"/>
      <w:start w:val="1"/>
    </w:lvl>
  </w:abstractNum>
  <w:abstractNum w:abstractNumId="79">
    <w:nsid w:val="1C695DEC"/>
    <w:multiLevelType w:val="hybridMultilevel"/>
    <w:lvl w:ilvl="0">
      <w:lvlJc w:val="left"/>
      <w:lvlText w:val="(%1)"/>
      <w:numFmt w:val="decimal"/>
      <w:start w:val="1"/>
    </w:lvl>
  </w:abstractNum>
  <w:abstractNum w:abstractNumId="80">
    <w:nsid w:val="3FCFAED9"/>
    <w:multiLevelType w:val="hybridMultilevel"/>
    <w:lvl w:ilvl="0">
      <w:lvlJc w:val="left"/>
      <w:lvlText w:val="(%1)"/>
      <w:numFmt w:val="decimal"/>
      <w:start w:val="1"/>
    </w:lvl>
  </w:abstractNum>
  <w:abstractNum w:abstractNumId="81">
    <w:nsid w:val="F856867"/>
    <w:multiLevelType w:val="hybridMultilevel"/>
    <w:lvl w:ilvl="0">
      <w:lvlJc w:val="left"/>
      <w:lvlText w:val="(%1)"/>
      <w:numFmt w:val="decimal"/>
      <w:start w:val="1"/>
    </w:lvl>
    <w:lvl w:ilvl="1">
      <w:lvlJc w:val="left"/>
      <w:lvlText w:val="*"/>
      <w:numFmt w:val="bullet"/>
      <w:start w:val="1"/>
    </w:lvl>
  </w:abstractNum>
  <w:abstractNum w:abstractNumId="82">
    <w:nsid w:val="11B1CC33"/>
    <w:multiLevelType w:val="hybridMultilevel"/>
    <w:lvl w:ilvl="0">
      <w:lvlJc w:val="left"/>
      <w:lvlText w:val="∎"/>
      <w:numFmt w:val="bullet"/>
      <w:start w:val="1"/>
    </w:lvl>
  </w:abstractNum>
  <w:abstractNum w:abstractNumId="83">
    <w:nsid w:val="2E22FBB7"/>
    <w:multiLevelType w:val="hybridMultilevel"/>
    <w:lvl w:ilvl="0">
      <w:lvlJc w:val="left"/>
      <w:lvlText w:val="(%1)"/>
      <w:numFmt w:val="decimal"/>
      <w:start w:val="1"/>
    </w:lvl>
  </w:abstractNum>
  <w:abstractNum w:abstractNumId="84">
    <w:nsid w:val="29934699"/>
    <w:multiLevelType w:val="hybridMultilevel"/>
    <w:lvl w:ilvl="0">
      <w:lvlJc w:val="left"/>
      <w:lvlText w:val="∎"/>
      <w:numFmt w:val="bullet"/>
      <w:start w:val="1"/>
    </w:lvl>
  </w:abstractNum>
  <w:abstractNum w:abstractNumId="85">
    <w:nsid w:val="77485850"/>
    <w:multiLevelType w:val="hybridMultilevel"/>
    <w:lvl w:ilvl="0">
      <w:lvlJc w:val="left"/>
      <w:lvlText w:val="(%1)"/>
      <w:numFmt w:val="decimal"/>
    </w:lvl>
    <w:lvl w:ilvl="1">
      <w:lvlJc w:val="left"/>
      <w:lvlText w:val="*"/>
      <w:numFmt w:val="bullet"/>
      <w:start w:val="1"/>
    </w:lvl>
  </w:abstractNum>
  <w:abstractNum w:abstractNumId="86">
    <w:nsid w:val="744939A3"/>
    <w:multiLevelType w:val="hybridMultilevel"/>
    <w:lvl w:ilvl="0">
      <w:lvlJc w:val="left"/>
      <w:lvlText w:val="(%1)"/>
      <w:numFmt w:val="decimal"/>
      <w:start w:val="5"/>
    </w:lvl>
    <w:lvl w:ilvl="1">
      <w:lvlJc w:val="left"/>
      <w:lvlText w:val="**"/>
      <w:numFmt w:val="bullet"/>
      <w:start w:val="1"/>
    </w:lvl>
  </w:abstractNum>
  <w:abstractNum w:abstractNumId="87">
    <w:nsid w:val="4FA0D2E3"/>
    <w:multiLevelType w:val="hybridMultilevel"/>
    <w:lvl w:ilvl="0">
      <w:lvlJc w:val="left"/>
      <w:lvlText w:val="∎"/>
      <w:numFmt w:val="bullet"/>
      <w:start w:val="1"/>
    </w:lvl>
  </w:abstractNum>
  <w:abstractNum w:abstractNumId="88">
    <w:nsid w:val="6B1D2C14"/>
    <w:multiLevelType w:val="hybridMultilevel"/>
    <w:lvl w:ilvl="0">
      <w:lvlJc w:val="left"/>
      <w:lvlText w:val="∎"/>
      <w:numFmt w:val="bullet"/>
      <w:start w:val="1"/>
    </w:lvl>
  </w:abstractNum>
  <w:abstractNum w:abstractNumId="89">
    <w:nsid w:val="68B867D3"/>
    <w:multiLevelType w:val="hybridMultilevel"/>
    <w:lvl w:ilvl="0">
      <w:lvlJc w:val="left"/>
      <w:lvlText w:val="∎"/>
      <w:numFmt w:val="bullet"/>
      <w:start w:val="1"/>
    </w:lvl>
  </w:abstractNum>
  <w:abstractNum w:abstractNumId="90">
    <w:nsid w:val="3F7F5DD9"/>
    <w:multiLevelType w:val="hybridMultilevel"/>
    <w:lvl w:ilvl="0">
      <w:lvlJc w:val="left"/>
      <w:lvlText w:val="∎"/>
      <w:numFmt w:val="bullet"/>
      <w:start w:val="1"/>
    </w:lvl>
  </w:abstractNum>
  <w:abstractNum w:abstractNumId="91">
    <w:nsid w:val="2AE05A34"/>
    <w:multiLevelType w:val="hybridMultilevel"/>
    <w:lvl w:ilvl="0">
      <w:lvlJc w:val="left"/>
      <w:lvlText w:val="∎"/>
      <w:numFmt w:val="bullet"/>
      <w:start w:val="1"/>
    </w:lvl>
  </w:abstractNum>
  <w:abstractNum w:abstractNumId="92">
    <w:nsid w:val="32794FF7"/>
    <w:multiLevelType w:val="hybridMultilevel"/>
    <w:lvl w:ilvl="0">
      <w:lvlJc w:val="left"/>
      <w:lvlText w:val="∎"/>
      <w:numFmt w:val="bullet"/>
      <w:start w:val="1"/>
    </w:lvl>
  </w:abstractNum>
  <w:abstractNum w:abstractNumId="93">
    <w:nsid w:val="5454945E"/>
    <w:multiLevelType w:val="hybridMultilevel"/>
    <w:lvl w:ilvl="0">
      <w:lvlJc w:val="left"/>
      <w:lvlText w:val="∎"/>
      <w:numFmt w:val="bullet"/>
      <w:start w:val="1"/>
    </w:lvl>
  </w:abstractNum>
  <w:abstractNum w:abstractNumId="94">
    <w:nsid w:val="4DEFDFA0"/>
    <w:multiLevelType w:val="hybridMultilevel"/>
    <w:lvl w:ilvl="0">
      <w:lvlJc w:val="left"/>
      <w:lvlText w:val="$"/>
      <w:numFmt w:val="bullet"/>
      <w:start w:val="1"/>
    </w:lvl>
  </w:abstractNum>
  <w:abstractNum w:abstractNumId="95">
    <w:nsid w:val="2123D5F2"/>
    <w:multiLevelType w:val="hybridMultilevel"/>
    <w:lvl w:ilvl="0">
      <w:lvlJc w:val="left"/>
      <w:lvlText w:val="$"/>
      <w:numFmt w:val="bullet"/>
      <w:start w:val="1"/>
    </w:lvl>
  </w:abstractNum>
  <w:abstractNum w:abstractNumId="96">
    <w:nsid w:val="135B8110"/>
    <w:multiLevelType w:val="hybridMultilevel"/>
    <w:lvl w:ilvl="0">
      <w:lvlJc w:val="left"/>
      <w:lvlText w:val="∎"/>
      <w:numFmt w:val="bullet"/>
      <w:start w:val="1"/>
    </w:lvl>
  </w:abstractNum>
  <w:abstractNum w:abstractNumId="97">
    <w:nsid w:val="94927A8"/>
    <w:multiLevelType w:val="hybridMultilevel"/>
    <w:lvl w:ilvl="0">
      <w:lvlJc w:val="left"/>
      <w:lvlText w:val="∎"/>
      <w:numFmt w:val="bullet"/>
      <w:start w:val="1"/>
    </w:lvl>
  </w:abstractNum>
  <w:abstractNum w:abstractNumId="98">
    <w:nsid w:val="DCDF8F6"/>
    <w:multiLevelType w:val="hybridMultilevel"/>
    <w:lvl w:ilvl="0">
      <w:lvlJc w:val="left"/>
      <w:lvlText w:val="∎"/>
      <w:numFmt w:val="bullet"/>
      <w:start w:val="1"/>
    </w:lvl>
  </w:abstractNum>
  <w:abstractNum w:abstractNumId="99">
    <w:nsid w:val="52D7B105"/>
    <w:multiLevelType w:val="hybridMultilevel"/>
    <w:lvl w:ilvl="0">
      <w:lvlJc w:val="left"/>
      <w:lvlText w:val="∎"/>
      <w:numFmt w:val="bullet"/>
      <w:start w:val="1"/>
    </w:lvl>
    <w:lvl w:ilvl="1">
      <w:lvlJc w:val="left"/>
      <w:lvlText w:val="(%2)"/>
      <w:numFmt w:val="upperLetter"/>
      <w:start w:val="3"/>
    </w:lvl>
  </w:abstractNum>
  <w:abstractNum w:abstractNumId="100">
    <w:nsid w:val="2E8A6394"/>
    <w:multiLevelType w:val="hybridMultilevel"/>
    <w:lvl w:ilvl="0">
      <w:lvlJc w:val="left"/>
      <w:lvlText w:val="∎"/>
      <w:numFmt w:val="bullet"/>
      <w:start w:val="1"/>
    </w:lvl>
  </w:abstractNum>
  <w:abstractNum w:abstractNumId="101">
    <w:nsid w:val="24E60401"/>
    <w:multiLevelType w:val="hybridMultilevel"/>
    <w:lvl w:ilvl="0">
      <w:lvlJc w:val="left"/>
      <w:lvlText w:val="∎"/>
      <w:numFmt w:val="bullet"/>
      <w:start w:val="1"/>
    </w:lvl>
  </w:abstractNum>
  <w:abstractNum w:abstractNumId="102">
    <w:nsid w:val="2A6AD9BE"/>
    <w:multiLevelType w:val="hybridMultilevel"/>
    <w:lvl w:ilvl="0">
      <w:lvlJc w:val="left"/>
      <w:lvlText w:val="∎"/>
      <w:numFmt w:val="bullet"/>
      <w:start w:val="1"/>
    </w:lvl>
  </w:abstractNum>
  <w:abstractNum w:abstractNumId="103">
    <w:nsid w:val="BAAC1B4"/>
    <w:multiLevelType w:val="hybridMultilevel"/>
    <w:lvl w:ilvl="0">
      <w:lvlJc w:val="left"/>
      <w:lvlText w:val="(%1)"/>
      <w:numFmt w:val="decimal"/>
      <w:start w:val="2"/>
    </w:lvl>
  </w:abstractNum>
  <w:abstractNum w:abstractNumId="104">
    <w:nsid w:val="36B2ACBC"/>
    <w:multiLevelType w:val="hybridMultilevel"/>
    <w:lvl w:ilvl="0">
      <w:lvlJc w:val="left"/>
      <w:lvlText w:val="(%1)"/>
      <w:numFmt w:val="lowerLetter"/>
      <w:start w:val="3"/>
    </w:lvl>
  </w:abstractNum>
  <w:abstractNum w:abstractNumId="105">
    <w:nsid w:val="779D8544"/>
    <w:multiLevelType w:val="hybridMultilevel"/>
    <w:lvl w:ilvl="0">
      <w:lvlJc w:val="left"/>
      <w:lvlText w:val="∎"/>
      <w:numFmt w:val="bullet"/>
      <w:start w:val="1"/>
    </w:lvl>
  </w:abstractNum>
  <w:abstractNum w:abstractNumId="106">
    <w:nsid w:val="4AB26E78"/>
    <w:multiLevelType w:val="hybridMultilevel"/>
    <w:lvl w:ilvl="0">
      <w:lvlJc w:val="left"/>
      <w:lvlText w:val="∎"/>
      <w:numFmt w:val="bullet"/>
      <w:start w:val="1"/>
    </w:lvl>
  </w:abstractNum>
  <w:abstractNum w:abstractNumId="107">
    <w:nsid w:val="21FAA2FA"/>
    <w:multiLevelType w:val="hybridMultilevel"/>
    <w:lvl w:ilvl="0">
      <w:lvlJc w:val="left"/>
      <w:lvlText w:val="(%1)"/>
      <w:numFmt w:val="decimal"/>
      <w:start w:val="1"/>
    </w:lvl>
  </w:abstractNum>
  <w:abstractNum w:abstractNumId="108">
    <w:nsid w:val="5451CF49"/>
    <w:multiLevelType w:val="hybridMultilevel"/>
    <w:lvl w:ilvl="0">
      <w:lvlJc w:val="left"/>
      <w:lvlText w:val="(%1)"/>
      <w:numFmt w:val="decimal"/>
      <w:start w:val="8"/>
    </w:lvl>
  </w:abstractNum>
  <w:abstractNum w:abstractNumId="109">
    <w:nsid w:val="6181EF69"/>
    <w:multiLevelType w:val="hybridMultilevel"/>
    <w:lvl w:ilvl="0">
      <w:lvlJc w:val="left"/>
      <w:lvlText w:val="(%1)"/>
      <w:numFmt w:val="decimal"/>
      <w:start w:val="2"/>
    </w:lvl>
  </w:abstractNum>
  <w:abstractNum w:abstractNumId="110">
    <w:nsid w:val="3E6400E6"/>
    <w:multiLevelType w:val="hybridMultilevel"/>
    <w:lvl w:ilvl="0">
      <w:lvlJc w:val="left"/>
      <w:lvlText w:val="(%1)"/>
      <w:numFmt w:val="decimal"/>
      <w:start w:val="9"/>
    </w:lvl>
  </w:abstractNum>
  <w:abstractNum w:abstractNumId="111">
    <w:nsid w:val="14217E23"/>
    <w:multiLevelType w:val="hybridMultilevel"/>
    <w:lvl w:ilvl="0">
      <w:lvlJc w:val="left"/>
      <w:lvlText w:val="∎"/>
      <w:numFmt w:val="bullet"/>
      <w:start w:val="1"/>
    </w:lvl>
  </w:abstractNum>
  <w:abstractNum w:abstractNumId="112">
    <w:nsid w:val="710757D0"/>
    <w:multiLevelType w:val="hybridMultilevel"/>
    <w:lvl w:ilvl="0">
      <w:lvlJc w:val="left"/>
      <w:lvlText w:val="∎"/>
      <w:numFmt w:val="bullet"/>
      <w:start w:val="1"/>
    </w:lvl>
  </w:abstractNum>
  <w:abstractNum w:abstractNumId="113">
    <w:nsid w:val="5015CD1A"/>
    <w:multiLevelType w:val="hybridMultilevel"/>
    <w:lvl w:ilvl="0">
      <w:lvlJc w:val="left"/>
      <w:lvlText w:val="∎"/>
      <w:numFmt w:val="bullet"/>
      <w:start w:val="1"/>
    </w:lvl>
  </w:abstractNum>
  <w:abstractNum w:abstractNumId="114">
    <w:nsid w:val="424479DA"/>
    <w:multiLevelType w:val="hybridMultilevel"/>
    <w:lvl w:ilvl="0">
      <w:lvlJc w:val="left"/>
      <w:lvlText w:val="(%1)"/>
      <w:numFmt w:val="lowerLetter"/>
      <w:start w:val="2"/>
    </w:lvl>
  </w:abstractNum>
  <w:abstractNum w:abstractNumId="115">
    <w:nsid w:val="1A9A9E69"/>
    <w:multiLevelType w:val="hybridMultilevel"/>
    <w:lvl w:ilvl="0">
      <w:lvlJc w:val="left"/>
      <w:lvlText w:val="(%1)"/>
      <w:numFmt w:val="decimal"/>
      <w:start w:val="1"/>
    </w:lvl>
  </w:abstractNum>
  <w:abstractNum w:abstractNumId="116">
    <w:nsid w:val="475E256A"/>
    <w:multiLevelType w:val="hybridMultilevel"/>
    <w:lvl w:ilvl="0">
      <w:lvlJc w:val="left"/>
      <w:lvlText w:val="(%1)"/>
      <w:numFmt w:val="lowerLetter"/>
      <w:start w:val="1"/>
    </w:lvl>
  </w:abstractNum>
  <w:abstractNum w:abstractNumId="117">
    <w:nsid w:val="368DB37E"/>
    <w:multiLevelType w:val="hybridMultilevel"/>
    <w:lvl w:ilvl="0">
      <w:lvlJc w:val="left"/>
      <w:lvlText w:val="%1"/>
      <w:numFmt w:val="lowerLetter"/>
      <w:start w:val="1"/>
    </w:lvl>
    <w:lvl w:ilvl="1">
      <w:lvlJc w:val="left"/>
      <w:lvlText w:val="(%2)"/>
      <w:numFmt w:val="lowerLetter"/>
      <w:start w:val="4"/>
    </w:lvl>
  </w:abstractNum>
  <w:abstractNum w:abstractNumId="118">
    <w:nsid w:val="6A3B714C"/>
    <w:multiLevelType w:val="hybridMultilevel"/>
    <w:lvl w:ilvl="0">
      <w:lvlJc w:val="left"/>
      <w:lvlText w:val="(%1)"/>
      <w:numFmt w:val="lowerLetter"/>
      <w:start w:val="9"/>
    </w:lvl>
    <w:lvl w:ilvl="1">
      <w:lvlJc w:val="left"/>
      <w:lvlText w:val="%2"/>
      <w:numFmt w:val="lowerLetter"/>
      <w:start w:val="1"/>
    </w:lvl>
  </w:abstractNum>
  <w:abstractNum w:abstractNumId="119">
    <w:nsid w:val="327B517E"/>
    <w:multiLevelType w:val="hybridMultilevel"/>
    <w:lvl w:ilvl="0">
      <w:lvlJc w:val="left"/>
      <w:lvlText w:val="(%1)"/>
      <w:numFmt w:val="lowerLetter"/>
      <w:start w:val="10"/>
    </w:lvl>
  </w:abstractNum>
  <w:abstractNum w:abstractNumId="120">
    <w:nsid w:val="1F461B51"/>
    <w:multiLevelType w:val="hybridMultilevel"/>
    <w:lvl w:ilvl="0">
      <w:lvlJc w:val="left"/>
      <w:lvlText w:val="(%1)"/>
      <w:numFmt w:val="lowerLetter"/>
      <w:start w:val="13"/>
    </w:lvl>
  </w:abstractNum>
  <w:abstractNum w:abstractNumId="121">
    <w:nsid w:val="29BACF25"/>
    <w:multiLevelType w:val="hybridMultilevel"/>
    <w:lvl w:ilvl="0">
      <w:lvlJc w:val="left"/>
      <w:lvlText w:val="(%1)"/>
      <w:numFmt w:val="lowerLetter"/>
      <w:start w:val="16"/>
    </w:lvl>
  </w:abstractNum>
  <w:abstractNum w:abstractNumId="122">
    <w:nsid w:val="5D5BABB3"/>
    <w:multiLevelType w:val="hybridMultilevel"/>
    <w:lvl w:ilvl="0">
      <w:lvlJc w:val="left"/>
      <w:lvlText w:val="(%1)"/>
      <w:numFmt w:val="lowerLetter"/>
      <w:start w:val="19"/>
    </w:lvl>
  </w:abstractNum>
  <w:abstractNum w:abstractNumId="123">
    <w:nsid w:val="51BF6B48"/>
    <w:multiLevelType w:val="hybridMultilevel"/>
    <w:lvl w:ilvl="0">
      <w:lvlJc w:val="left"/>
      <w:lvlText w:val="(%1)"/>
      <w:numFmt w:val="lowerLetter"/>
      <w:start w:val="22"/>
    </w:lvl>
  </w:abstractNum>
  <w:abstractNum w:abstractNumId="124">
    <w:nsid w:val="7E0F6384"/>
    <w:multiLevelType w:val="hybridMultilevel"/>
    <w:lvl w:ilvl="0">
      <w:lvlJc w:val="left"/>
      <w:lvlText w:val="(%1)"/>
      <w:numFmt w:val="lowerLetter"/>
      <w:start w:val="24"/>
    </w:lvl>
  </w:abstractNum>
  <w:abstractNum w:abstractNumId="125">
    <w:nsid w:val="2B4B8B53"/>
    <w:multiLevelType w:val="hybridMultilevel"/>
    <w:lvl w:ilvl="0">
      <w:lvlJc w:val="left"/>
      <w:lvlText w:val="(%1)"/>
      <w:numFmt w:val="lowerLetter"/>
      <w:start w:val="27"/>
    </w:lvl>
  </w:abstractNum>
  <w:abstractNum w:abstractNumId="126">
    <w:nsid w:val="72E3413A"/>
    <w:multiLevelType w:val="hybridMultilevel"/>
    <w:lvl w:ilvl="0">
      <w:lvlJc w:val="left"/>
      <w:lvlText w:val="(%1)"/>
      <w:numFmt w:val="lowerLetter"/>
      <w:start w:val="28"/>
    </w:lvl>
  </w:abstractNum>
  <w:abstractNum w:abstractNumId="127">
    <w:nsid w:val="116AE494"/>
    <w:multiLevelType w:val="hybridMultilevel"/>
    <w:lvl w:ilvl="0">
      <w:lvlJc w:val="left"/>
      <w:lvlText w:val="%1"/>
      <w:numFmt w:val="lowerLetter"/>
      <w:start w:val="1"/>
    </w:lvl>
    <w:lvl w:ilvl="1">
      <w:lvlJc w:val="left"/>
      <w:lvlText w:val="(%2)"/>
      <w:numFmt w:val="lowerLetter"/>
      <w:start w:val="33"/>
    </w:lvl>
  </w:abstractNum>
  <w:abstractNum w:abstractNumId="128">
    <w:nsid w:val="3494B2FB"/>
    <w:multiLevelType w:val="hybridMultilevel"/>
    <w:lvl w:ilvl="0">
      <w:lvlJc w:val="left"/>
      <w:lvlText w:val="(%1)"/>
      <w:numFmt w:val="lowerLetter"/>
      <w:start w:val="61"/>
    </w:lvl>
    <w:lvl w:ilvl="1">
      <w:lvlJc w:val="left"/>
      <w:lvlText w:val="(%2)"/>
      <w:numFmt w:val="lowerLetter"/>
      <w:start w:val="38"/>
    </w:lvl>
  </w:abstractNum>
  <w:abstractNum w:abstractNumId="129">
    <w:nsid w:val="B13A31"/>
    <w:multiLevelType w:val="hybridMultilevel"/>
    <w:lvl w:ilvl="0">
      <w:lvlJc w:val="left"/>
      <w:lvlText w:val="(%1)"/>
      <w:numFmt w:val="lowerLetter"/>
      <w:start w:val="39"/>
    </w:lvl>
  </w:abstractNum>
  <w:abstractNum w:abstractNumId="130">
    <w:nsid w:val="64429599"/>
    <w:multiLevelType w:val="hybridMultilevel"/>
    <w:lvl w:ilvl="0">
      <w:lvlJc w:val="left"/>
      <w:lvlText w:val="(%1)"/>
      <w:numFmt w:val="lowerLetter"/>
      <w:start w:val="44"/>
    </w:lvl>
  </w:abstractNum>
  <w:abstractNum w:abstractNumId="131">
    <w:nsid w:val="631F1690"/>
    <w:multiLevelType w:val="hybridMultilevel"/>
    <w:lvl w:ilvl="0">
      <w:lvlJc w:val="left"/>
      <w:lvlText w:val="(%1)"/>
      <w:numFmt w:val="lowerLetter"/>
      <w:start w:val="47"/>
    </w:lvl>
  </w:abstractNum>
  <w:abstractNum w:abstractNumId="132">
    <w:nsid w:val="25973E32"/>
    <w:multiLevelType w:val="hybridMultilevel"/>
    <w:lvl w:ilvl="0">
      <w:lvlJc w:val="left"/>
      <w:lvlText w:val="(%1)"/>
      <w:numFmt w:val="lowerLetter"/>
      <w:start w:val="49"/>
    </w:lvl>
  </w:abstractNum>
  <w:abstractNum w:abstractNumId="133">
    <w:nsid w:val="EAD6F57"/>
    <w:multiLevelType w:val="hybridMultilevel"/>
    <w:lvl w:ilvl="0">
      <w:lvlJc w:val="left"/>
      <w:lvlText w:val="(%1)"/>
      <w:numFmt w:val="lowerLetter"/>
      <w:start w:val="1"/>
    </w:lvl>
  </w:abstractNum>
  <w:abstractNum w:abstractNumId="134">
    <w:nsid w:val="6EC9D844"/>
    <w:multiLevelType w:val="hybridMultilevel"/>
    <w:lvl w:ilvl="0">
      <w:lvlJc w:val="left"/>
      <w:lvlText w:val="(%1)"/>
      <w:numFmt w:val="lowerLetter"/>
      <w:start w:val="2"/>
    </w:lvl>
    <w:lvl w:ilvl="1">
      <w:lvlJc w:val="left"/>
      <w:lvlText w:val="(%2)"/>
      <w:numFmt w:val="lowerRoman"/>
      <w:start w:val="1"/>
    </w:lvl>
  </w:abstractNum>
  <w:abstractNum w:abstractNumId="135">
    <w:nsid w:val="5C49EAEE"/>
    <w:multiLevelType w:val="hybridMultilevel"/>
    <w:lvl w:ilvl="0">
      <w:lvlJc w:val="left"/>
      <w:lvlText w:val="(%1)"/>
      <w:numFmt w:val="lowerLetter"/>
      <w:start w:val="6"/>
    </w:lvl>
  </w:abstractNum>
  <w:abstractNum w:abstractNumId="136">
    <w:nsid w:val="64AF49B"/>
    <w:multiLevelType w:val="hybridMultilevel"/>
    <w:lvl w:ilvl="0">
      <w:lvlJc w:val="left"/>
      <w:lvlText w:val="(%1)"/>
      <w:numFmt w:val="lowerLetter"/>
      <w:start w:val="1"/>
    </w:lvl>
  </w:abstractNum>
  <w:abstractNum w:abstractNumId="137">
    <w:nsid w:val="397C46BC"/>
    <w:multiLevelType w:val="hybridMultilevel"/>
    <w:lvl w:ilvl="0">
      <w:lvlJc w:val="left"/>
      <w:lvlText w:val="(%1)"/>
      <w:numFmt w:val="lowerLetter"/>
      <w:start w:val="4"/>
    </w:lvl>
  </w:abstractNum>
  <w:abstractNum w:abstractNumId="138">
    <w:nsid w:val="7E448DE9"/>
    <w:multiLevelType w:val="hybridMultilevel"/>
    <w:lvl w:ilvl="0">
      <w:lvlJc w:val="left"/>
      <w:lvlText w:val="(%1)"/>
      <w:numFmt w:val="lowerLetter"/>
      <w:start w:val="7"/>
    </w:lvl>
  </w:abstractNum>
  <w:abstractNum w:abstractNumId="139">
    <w:nsid w:val="5A9CC3E5"/>
    <w:multiLevelType w:val="hybridMultilevel"/>
    <w:lvl w:ilvl="0">
      <w:lvlJc w:val="left"/>
      <w:lvlText w:val="%1"/>
      <w:numFmt w:val="lowerLetter"/>
      <w:start w:val="1"/>
    </w:lvl>
    <w:lvl w:ilvl="1">
      <w:lvlJc w:val="left"/>
      <w:lvlText w:val="(%2)"/>
      <w:numFmt w:val="lowerLetter"/>
      <w:start w:val="11"/>
    </w:lvl>
  </w:abstractNum>
  <w:abstractNum w:abstractNumId="140">
    <w:nsid w:val="1AFE3625"/>
    <w:multiLevelType w:val="hybridMultilevel"/>
    <w:lvl w:ilvl="0">
      <w:lvlJc w:val="left"/>
      <w:lvlText w:val="(%1)"/>
      <w:numFmt w:val="lowerLetter"/>
      <w:start w:val="61"/>
    </w:lvl>
    <w:lvl w:ilvl="1">
      <w:lvlJc w:val="left"/>
      <w:lvlText w:val="%2"/>
      <w:numFmt w:val="lowerLetter"/>
      <w:start w:val="1"/>
    </w:lvl>
  </w:abstractNum>
  <w:abstractNum w:abstractNumId="141">
    <w:nsid w:val="3CA88ECF"/>
    <w:multiLevelType w:val="hybridMultilevel"/>
    <w:lvl w:ilvl="0">
      <w:lvlJc w:val="left"/>
      <w:lvlText w:val="(%1)"/>
      <w:numFmt w:val="lowerLetter"/>
      <w:start w:val="16"/>
    </w:lvl>
  </w:abstractNum>
  <w:abstractNum w:abstractNumId="142">
    <w:nsid w:val="6EBE4208"/>
    <w:multiLevelType w:val="hybridMultilevel"/>
    <w:lvl w:ilvl="0">
      <w:lvlJc w:val="left"/>
      <w:lvlText w:val="(%1)"/>
      <w:numFmt w:val="lowerLetter"/>
      <w:start w:val="17"/>
    </w:lvl>
  </w:abstractNum>
  <w:abstractNum w:abstractNumId="143">
    <w:nsid w:val="C058DF5"/>
    <w:multiLevelType w:val="hybridMultilevel"/>
    <w:lvl w:ilvl="0">
      <w:lvlJc w:val="left"/>
      <w:lvlText w:val="(%1)"/>
      <w:numFmt w:val="lowerLetter"/>
      <w:start w:val="23"/>
    </w:lvl>
  </w:abstractNum>
  <w:abstractNum w:abstractNumId="144">
    <w:nsid w:val="CBE5BE9"/>
    <w:multiLevelType w:val="hybridMultilevel"/>
    <w:lvl w:ilvl="0">
      <w:lvlJc w:val="left"/>
      <w:lvlText w:val="(%1)"/>
      <w:numFmt w:val="lowerRoman"/>
      <w:start w:val="10"/>
    </w:lvl>
  </w:abstractNum>
  <w:abstractNum w:abstractNumId="145">
    <w:nsid w:val="3102BBE2"/>
    <w:multiLevelType w:val="hybridMultilevel"/>
    <w:lvl w:ilvl="0">
      <w:lvlJc w:val="left"/>
      <w:lvlText w:val="(%1)"/>
      <w:numFmt w:val="lowerLetter"/>
      <w:start w:val="1"/>
    </w:lvl>
    <w:lvl w:ilvl="1">
      <w:lvlJc w:val="left"/>
      <w:lvlText w:val="(%2)"/>
      <w:numFmt w:val="lowerRoman"/>
      <w:start w:val="1"/>
    </w:lvl>
  </w:abstractNum>
  <w:abstractNum w:abstractNumId="146">
    <w:nsid w:val="26A02C5E"/>
    <w:multiLevelType w:val="hybridMultilevel"/>
    <w:lvl w:ilvl="0">
      <w:lvlJc w:val="left"/>
      <w:lvlText w:val="%1"/>
      <w:numFmt w:val="lowerLetter"/>
      <w:start w:val="1"/>
    </w:lvl>
    <w:lvl w:ilvl="1">
      <w:lvlJc w:val="left"/>
      <w:lvlText w:val="(%2)"/>
      <w:numFmt w:val="lowerLetter"/>
      <w:start w:val="61"/>
    </w:lvl>
  </w:abstractNum>
  <w:abstractNum w:abstractNumId="147">
    <w:nsid w:val="541C8153"/>
    <w:multiLevelType w:val="hybridMultilevel"/>
    <w:lvl w:ilvl="0">
      <w:lvlJc w:val="left"/>
      <w:lvlText w:val="(%1)"/>
      <w:numFmt w:val="lowerLetter"/>
      <w:start w:val="3"/>
    </w:lvl>
    <w:lvl w:ilvl="1">
      <w:lvlJc w:val="left"/>
      <w:lvlText w:val="(%2)"/>
      <w:numFmt w:val="lowerLetter"/>
      <w:start w:val="9"/>
    </w:lvl>
  </w:abstractNum>
  <w:abstractNum w:abstractNumId="148">
    <w:nsid w:val="67906F60"/>
    <w:multiLevelType w:val="hybridMultilevel"/>
    <w:lvl w:ilvl="0">
      <w:lvlJc w:val="left"/>
      <w:lvlText w:val="%1"/>
      <w:numFmt w:val="lowerLetter"/>
      <w:start w:val="1"/>
    </w:lvl>
    <w:lvl w:ilvl="1">
      <w:lvlJc w:val="left"/>
      <w:lvlText w:val="(%2)"/>
      <w:numFmt w:val="lowerLetter"/>
      <w:start w:val="35"/>
    </w:lvl>
  </w:abstractNum>
  <w:abstractNum w:abstractNumId="149">
    <w:nsid w:val="10DB9DAA"/>
    <w:multiLevelType w:val="hybridMultilevel"/>
    <w:lvl w:ilvl="0">
      <w:lvlJc w:val="left"/>
      <w:lvlText w:val="(%1)"/>
      <w:numFmt w:val="lowerLetter"/>
      <w:start w:val="4"/>
    </w:lvl>
    <w:lvl w:ilvl="1">
      <w:lvlJc w:val="left"/>
      <w:lvlText w:val="(%2)"/>
      <w:numFmt w:val="lowerLetter"/>
      <w:start w:val="9"/>
    </w:lvl>
  </w:abstractNum>
  <w:abstractNum w:abstractNumId="150">
    <w:nsid w:val="697D2D2"/>
    <w:multiLevelType w:val="hybridMultilevel"/>
    <w:lvl w:ilvl="0">
      <w:lvlJc w:val="left"/>
      <w:lvlText w:val="%1"/>
      <w:numFmt w:val="lowerLetter"/>
      <w:start w:val="1"/>
    </w:lvl>
    <w:lvl w:ilvl="1">
      <w:lvlJc w:val="left"/>
      <w:lvlText w:val="(%2)"/>
      <w:numFmt w:val="lowerRoman"/>
      <w:start w:val="2"/>
    </w:lvl>
  </w:abstractNum>
  <w:abstractNum w:abstractNumId="151">
    <w:nsid w:val="6D68AB2"/>
    <w:multiLevelType w:val="hybridMultilevel"/>
    <w:lvl w:ilvl="0">
      <w:lvlJc w:val="left"/>
      <w:lvlText w:val="(%1)"/>
      <w:numFmt w:val="lowerLetter"/>
      <w:start w:val="8"/>
    </w:lvl>
    <w:lvl w:ilvl="1">
      <w:lvlJc w:val="left"/>
      <w:lvlText w:val="%2"/>
      <w:numFmt w:val="lowerRoman"/>
      <w:start w:val="1"/>
    </w:lvl>
  </w:abstractNum>
  <w:abstractNum w:abstractNumId="152">
    <w:nsid w:val="3A966CD0"/>
    <w:multiLevelType w:val="hybridMultilevel"/>
    <w:lvl w:ilvl="0">
      <w:lvlJc w:val="left"/>
      <w:lvlText w:val="(%1)"/>
      <w:numFmt w:val="lowerLetter"/>
      <w:start w:val="9"/>
    </w:lvl>
  </w:abstractNum>
  <w:abstractNum w:abstractNumId="153">
    <w:nsid w:val="63F37E85"/>
    <w:multiLevelType w:val="hybridMultilevel"/>
    <w:lvl w:ilvl="0">
      <w:lvlJc w:val="left"/>
      <w:lvlText w:val="(%1)"/>
      <w:numFmt w:val="lowerLetter"/>
      <w:start w:val="1"/>
    </w:lvl>
  </w:abstractNum>
  <w:abstractNum w:abstractNumId="154">
    <w:nsid w:val="5895F5FA"/>
    <w:multiLevelType w:val="hybridMultilevel"/>
    <w:lvl w:ilvl="0">
      <w:lvlJc w:val="left"/>
      <w:lvlText w:val="(%1)"/>
      <w:numFmt w:val="lowerLetter"/>
      <w:start w:val="2"/>
    </w:lvl>
  </w:abstractNum>
  <w:abstractNum w:abstractNumId="155">
    <w:nsid w:val="38A5D054"/>
    <w:multiLevelType w:val="hybridMultilevel"/>
    <w:lvl w:ilvl="0">
      <w:lvlJc w:val="left"/>
      <w:lvlText w:val="(%1)"/>
      <w:numFmt w:val="lowerLetter"/>
      <w:start w:val="4"/>
    </w:lvl>
  </w:abstractNum>
  <w:abstractNum w:abstractNumId="156">
    <w:nsid w:val="F3F09D8"/>
    <w:multiLevelType w:val="hybridMultilevel"/>
    <w:lvl w:ilvl="0">
      <w:lvlJc w:val="left"/>
      <w:lvlText w:val="(%1)"/>
      <w:numFmt w:val="lowerRoman"/>
      <w:start w:val="3"/>
    </w:lvl>
  </w:abstractNum>
  <w:abstractNum w:abstractNumId="157">
    <w:nsid w:val="4B793735"/>
    <w:multiLevelType w:val="hybridMultilevel"/>
    <w:lvl w:ilvl="0">
      <w:lvlJc w:val="left"/>
      <w:lvlText w:val="(%1)"/>
      <w:numFmt w:val="lowerLetter"/>
      <w:start w:val="1"/>
    </w:lvl>
  </w:abstractNum>
  <w:abstractNum w:abstractNumId="158">
    <w:nsid w:val="4A10B4E8"/>
    <w:multiLevelType w:val="hybridMultilevel"/>
    <w:lvl w:ilvl="0">
      <w:lvlJc w:val="left"/>
      <w:lvlText w:val="•"/>
      <w:numFmt w:val="bullet"/>
      <w:start w:val="1"/>
    </w:lvl>
  </w:abstractNum>
  <w:abstractNum w:abstractNumId="159">
    <w:nsid w:val="43D3BCD4"/>
    <w:multiLevelType w:val="hybridMultilevel"/>
    <w:lvl w:ilvl="0">
      <w:lvlJc w:val="left"/>
      <w:lvlText w:val="(%1)"/>
      <w:numFmt w:val="lowerRoman"/>
      <w:start w:val="1"/>
    </w:lvl>
  </w:abstractNum>
  <w:abstractNum w:abstractNumId="160">
    <w:nsid w:val="4C2A7166"/>
    <w:multiLevelType w:val="hybridMultilevel"/>
    <w:lvl w:ilvl="0">
      <w:lvlJc w:val="left"/>
      <w:lvlText w:val="•"/>
      <w:numFmt w:val="bullet"/>
      <w:start w:val="1"/>
    </w:lvl>
  </w:abstractNum>
  <w:abstractNum w:abstractNumId="161">
    <w:nsid w:val="2E534A82"/>
    <w:multiLevelType w:val="hybridMultilevel"/>
    <w:lvl w:ilvl="0">
      <w:lvlJc w:val="left"/>
      <w:lvlText w:val="•"/>
      <w:numFmt w:val="bullet"/>
      <w:start w:val="1"/>
    </w:lvl>
    <w:lvl w:ilvl="1">
      <w:lvlJc w:val="left"/>
      <w:lvlText w:val="•"/>
      <w:numFmt w:val="bullet"/>
      <w:start w:val="1"/>
    </w:lvl>
  </w:abstractNum>
  <w:abstractNum w:abstractNumId="162">
    <w:nsid w:val="26F2D364"/>
    <w:multiLevelType w:val="hybridMultilevel"/>
    <w:lvl w:ilvl="0">
      <w:lvlJc w:val="left"/>
      <w:lvlText w:val="•"/>
      <w:numFmt w:val="bullet"/>
      <w:start w:val="1"/>
    </w:lvl>
  </w:abstractNum>
  <w:abstractNum w:abstractNumId="163">
    <w:nsid w:val="71C1AF98"/>
    <w:multiLevelType w:val="hybridMultilevel"/>
    <w:lvl w:ilvl="0">
      <w:lvlJc w:val="left"/>
      <w:lvlText w:val="%1."/>
      <w:numFmt w:val="decimal"/>
      <w:start w:val="1"/>
    </w:lvl>
  </w:abstractNum>
  <w:abstractNum w:abstractNumId="164">
    <w:nsid w:val="3D00B9D9"/>
    <w:multiLevelType w:val="hybridMultilevel"/>
    <w:lvl w:ilvl="0">
      <w:lvlJc w:val="left"/>
      <w:lvlText w:val="%1."/>
      <w:numFmt w:val="decimal"/>
      <w:start w:val="3"/>
    </w:lvl>
  </w:abstractNum>
  <w:abstractNum w:abstractNumId="165">
    <w:nsid w:val="15BCABA8"/>
    <w:multiLevelType w:val="hybridMultilevel"/>
    <w:lvl w:ilvl="0">
      <w:lvlJc w:val="left"/>
      <w:lvlText w:val="(%1)"/>
      <w:numFmt w:val="lowerRoman"/>
      <w:start w:val="2"/>
    </w:lvl>
  </w:abstractNum>
  <w:abstractNum w:abstractNumId="166">
    <w:nsid w:val="4E0B9A87"/>
    <w:multiLevelType w:val="hybridMultilevel"/>
    <w:lvl w:ilvl="0">
      <w:lvlJc w:val="left"/>
      <w:lvlText w:val="(%1)"/>
      <w:numFmt w:val="lowerLetter"/>
      <w:start w:val="1"/>
    </w:lvl>
    <w:lvl w:ilvl="1">
      <w:lvlJc w:val="left"/>
      <w:lvlText w:val="(%2)"/>
      <w:numFmt w:val="lowerRoman"/>
      <w:start w:val="1"/>
    </w:lvl>
  </w:abstractNum>
  <w:abstractNum w:abstractNumId="167">
    <w:nsid w:val="434BAE75"/>
    <w:multiLevelType w:val="hybridMultilevel"/>
    <w:lvl w:ilvl="0">
      <w:lvlJc w:val="left"/>
      <w:lvlText w:val="(%1)"/>
      <w:numFmt w:val="lowerLetter"/>
      <w:start w:val="3"/>
    </w:lvl>
  </w:abstractNum>
  <w:abstractNum w:abstractNumId="168">
    <w:nsid w:val="4F38F265"/>
    <w:multiLevelType w:val="hybridMultilevel"/>
    <w:lvl w:ilvl="0">
      <w:lvlJc w:val="left"/>
      <w:lvlText w:val="%1"/>
      <w:numFmt w:val="lowerLetter"/>
      <w:start w:val="1"/>
    </w:lvl>
    <w:lvl w:ilvl="1">
      <w:lvlJc w:val="left"/>
      <w:lvlText w:val="(%2)"/>
      <w:numFmt w:val="lowerLetter"/>
      <w:start w:val="4"/>
    </w:lvl>
  </w:abstractNum>
  <w:abstractNum w:abstractNumId="169">
    <w:nsid w:val="4C502870"/>
    <w:multiLevelType w:val="hybridMultilevel"/>
    <w:lvl w:ilvl="0">
      <w:lvlJc w:val="left"/>
      <w:lvlText w:val="(%1)"/>
      <w:numFmt w:val="lowerLetter"/>
      <w:start w:val="22"/>
    </w:lvl>
    <w:lvl w:ilvl="1">
      <w:lvlJc w:val="left"/>
      <w:lvlText w:val="%2"/>
      <w:numFmt w:val="lowerLetter"/>
      <w:start w:val="1"/>
    </w:lvl>
  </w:abstractNum>
  <w:abstractNum w:abstractNumId="170">
    <w:nsid w:val="1DE8725A"/>
    <w:multiLevelType w:val="hybridMultilevel"/>
    <w:lvl w:ilvl="0">
      <w:lvlJc w:val="left"/>
      <w:lvlText w:val="(%1)"/>
      <w:numFmt w:val="lowerLetter"/>
      <w:start w:val="1"/>
    </w:lvl>
  </w:abstractNum>
  <w:abstractNum w:abstractNumId="171">
    <w:nsid w:val="6A37288A"/>
    <w:multiLevelType w:val="hybridMultilevel"/>
    <w:lvl w:ilvl="0">
      <w:lvlJc w:val="left"/>
      <w:lvlText w:val="%1"/>
      <w:numFmt w:val="lowerLetter"/>
      <w:start w:val="1"/>
    </w:lvl>
    <w:lvl w:ilvl="1">
      <w:lvlJc w:val="left"/>
      <w:lvlText w:val="(%2)"/>
      <w:numFmt w:val="lowerLetter"/>
      <w:start w:val="2"/>
    </w:lvl>
  </w:abstractNum>
  <w:abstractNum w:abstractNumId="172">
    <w:nsid w:val="8F8B73F"/>
    <w:multiLevelType w:val="hybridMultilevel"/>
    <w:lvl w:ilvl="0">
      <w:lvlJc w:val="left"/>
      <w:lvlText w:val="(%1)"/>
      <w:numFmt w:val="lowerLetter"/>
      <w:start w:val="9"/>
    </w:lvl>
    <w:lvl w:ilvl="1">
      <w:lvlJc w:val="left"/>
      <w:lvlText w:val="%2"/>
      <w:numFmt w:val="lowerLetter"/>
      <w:start w:val="1"/>
    </w:lvl>
  </w:abstractNum>
  <w:abstractNum w:abstractNumId="173">
    <w:nsid w:val="CA6B462"/>
    <w:multiLevelType w:val="hybridMultilevel"/>
    <w:lvl w:ilvl="0">
      <w:lvlJc w:val="left"/>
      <w:lvlText w:val="%1"/>
      <w:numFmt w:val="lowerLetter"/>
      <w:start w:val="1"/>
    </w:lvl>
    <w:lvl w:ilvl="1">
      <w:lvlJc w:val="left"/>
      <w:lvlText w:val="(%2)"/>
      <w:numFmt w:val="lowerLetter"/>
      <w:start w:val="4"/>
    </w:lvl>
  </w:abstractNum>
  <w:abstractNum w:abstractNumId="174">
    <w:nsid w:val="763CB680"/>
    <w:multiLevelType w:val="hybridMultilevel"/>
    <w:lvl w:ilvl="0">
      <w:lvlJc w:val="left"/>
      <w:lvlText w:val="(%1)"/>
      <w:numFmt w:val="lowerLetter"/>
      <w:start w:val="35"/>
    </w:lvl>
    <w:lvl w:ilvl="1">
      <w:lvlJc w:val="left"/>
      <w:lvlText w:val="%2"/>
      <w:numFmt w:val="lowerLetter"/>
      <w:start w:val="1"/>
    </w:lvl>
  </w:abstractNum>
  <w:abstractNum w:abstractNumId="175">
    <w:nsid w:val="15B71329"/>
    <w:multiLevelType w:val="hybridMultilevel"/>
    <w:lvl w:ilvl="0">
      <w:lvlJc w:val="left"/>
      <w:lvlText w:val="(%1)"/>
      <w:numFmt w:val="lowerLetter"/>
      <w:start w:val="1"/>
    </w:lvl>
  </w:abstractNum>
  <w:abstractNum w:abstractNumId="176">
    <w:nsid w:val="3DA97044"/>
    <w:multiLevelType w:val="hybridMultilevel"/>
    <w:lvl w:ilvl="0">
      <w:lvlJc w:val="left"/>
      <w:lvlText w:val="(%1)"/>
      <w:numFmt w:val="lowerLetter"/>
      <w:start w:val="2"/>
    </w:lvl>
    <w:lvl w:ilvl="1">
      <w:lvlJc w:val="left"/>
      <w:lvlText w:val="(%2)"/>
      <w:numFmt w:val="lowerLetter"/>
      <w:start w:val="9"/>
    </w:lvl>
  </w:abstractNum>
  <w:abstractNum w:abstractNumId="177">
    <w:nsid w:val="1CDCE2DE"/>
    <w:multiLevelType w:val="hybridMultilevel"/>
    <w:lvl w:ilvl="0">
      <w:lvlJc w:val="left"/>
      <w:lvlText w:val="(%1)"/>
      <w:numFmt w:val="lowerRoman"/>
      <w:start w:val="2"/>
    </w:lvl>
  </w:abstractNum>
  <w:abstractNum w:abstractNumId="178">
    <w:nsid w:val="69D3947C"/>
    <w:multiLevelType w:val="hybridMultilevel"/>
    <w:lvl w:ilvl="0">
      <w:lvlJc w:val="left"/>
      <w:lvlText w:val="(%1)"/>
      <w:numFmt w:val="lowerLetter"/>
      <w:start w:val="6"/>
    </w:lvl>
  </w:abstractNum>
  <w:abstractNum w:abstractNumId="179">
    <w:nsid w:val="2539DFA5"/>
    <w:multiLevelType w:val="hybridMultilevel"/>
    <w:lvl w:ilvl="0">
      <w:lvlJc w:val="left"/>
      <w:lvlText w:val="(%1)"/>
      <w:numFmt w:val="lowerLetter"/>
      <w:start w:val="1"/>
    </w:lvl>
  </w:abstractNum>
  <w:abstractNum w:abstractNumId="180">
    <w:nsid w:val="2DB88089"/>
    <w:multiLevelType w:val="hybridMultilevel"/>
    <w:lvl w:ilvl="0">
      <w:lvlJc w:val="left"/>
      <w:lvlText w:val="(%1)"/>
      <w:numFmt w:val="lowerLetter"/>
      <w:start w:val="2"/>
    </w:lvl>
  </w:abstractNum>
  <w:abstractNum w:abstractNumId="181">
    <w:nsid w:val="706B674E"/>
    <w:multiLevelType w:val="hybridMultilevel"/>
    <w:lvl w:ilvl="0">
      <w:lvlJc w:val="left"/>
      <w:lvlText w:val="%1"/>
      <w:numFmt w:val="lowerLetter"/>
      <w:start w:val="1"/>
    </w:lvl>
    <w:lvl w:ilvl="1">
      <w:lvlJc w:val="left"/>
      <w:lvlText w:val="(%2)"/>
      <w:numFmt w:val="lowerLetter"/>
      <w:start w:val="1"/>
    </w:lvl>
  </w:abstractNum>
  <w:abstractNum w:abstractNumId="182">
    <w:nsid w:val="2C106A57"/>
    <w:multiLevelType w:val="hybridMultilevel"/>
    <w:lvl w:ilvl="0">
      <w:lvlJc w:val="left"/>
      <w:lvlText w:val="(%1)"/>
      <w:numFmt w:val="lowerLetter"/>
      <w:start w:val="35"/>
    </w:lvl>
    <w:lvl w:ilvl="1">
      <w:lvlJc w:val="left"/>
      <w:lvlText w:val="(%2)"/>
      <w:numFmt w:val="lowerLetter"/>
      <w:start w:val="3"/>
    </w:lvl>
  </w:abstractNum>
  <w:abstractNum w:abstractNumId="183">
    <w:nsid w:val="684EED59"/>
    <w:multiLevelType w:val="hybridMultilevel"/>
    <w:lvl w:ilvl="0">
      <w:lvlJc w:val="left"/>
      <w:lvlText w:val="(%1)"/>
      <w:numFmt w:val="lowerLetter"/>
      <w:start w:val="4"/>
    </w:lvl>
  </w:abstractNum>
  <w:abstractNum w:abstractNumId="184">
    <w:nsid w:val="545EE5D3"/>
    <w:multiLevelType w:val="hybridMultilevel"/>
    <w:lvl w:ilvl="0">
      <w:lvlJc w:val="left"/>
      <w:lvlText w:val="(%1)"/>
      <w:numFmt w:val="lowerLetter"/>
      <w:start w:val="1"/>
    </w:lvl>
  </w:abstractNum>
  <w:abstractNum w:abstractNumId="185">
    <w:nsid w:val="4A66051"/>
    <w:multiLevelType w:val="hybridMultilevel"/>
    <w:lvl w:ilvl="0">
      <w:lvlJc w:val="left"/>
      <w:lvlText w:val="(%1)"/>
      <w:numFmt w:val="lowerLetter"/>
      <w:start w:val="4"/>
    </w:lvl>
  </w:abstractNum>
  <w:abstractNum w:abstractNumId="186">
    <w:nsid w:val="20F4BDAD"/>
    <w:multiLevelType w:val="hybridMultilevel"/>
    <w:lvl w:ilvl="0">
      <w:lvlJc w:val="left"/>
      <w:lvlText w:val="(%1)"/>
      <w:numFmt w:val="lowerLetter"/>
      <w:start w:val="1"/>
    </w:lvl>
  </w:abstractNum>
  <w:abstractNum w:abstractNumId="187">
    <w:nsid w:val="639DEFAC"/>
    <w:multiLevelType w:val="hybridMultilevel"/>
    <w:lvl w:ilvl="0">
      <w:lvlJc w:val="left"/>
      <w:lvlText w:val="(%1)"/>
      <w:numFmt w:val="lowerLetter"/>
      <w:start w:val="2"/>
    </w:lvl>
  </w:abstractNum>
  <w:abstractNum w:abstractNumId="188">
    <w:nsid w:val="501F9786"/>
    <w:multiLevelType w:val="hybridMultilevel"/>
    <w:lvl w:ilvl="0">
      <w:lvlJc w:val="left"/>
      <w:lvlText w:val="(%1)"/>
      <w:numFmt w:val="lowerLetter"/>
      <w:start w:val="1"/>
    </w:lvl>
  </w:abstractNum>
  <w:abstractNum w:abstractNumId="189">
    <w:nsid w:val="6B057295"/>
    <w:multiLevelType w:val="hybridMultilevel"/>
    <w:lvl w:ilvl="0">
      <w:lvlJc w:val="left"/>
      <w:lvlText w:val="(%1)"/>
      <w:numFmt w:val="lowerLetter"/>
      <w:start w:val="1"/>
    </w:lvl>
  </w:abstractNum>
  <w:abstractNum w:abstractNumId="190">
    <w:nsid w:val="2771AC80"/>
    <w:multiLevelType w:val="hybridMultilevel"/>
    <w:lvl w:ilvl="0">
      <w:lvlJc w:val="left"/>
      <w:lvlText w:val="(%1)"/>
      <w:numFmt w:val="lowerLetter"/>
      <w:start w:val="1"/>
    </w:lvl>
  </w:abstractNum>
  <w:abstractNum w:abstractNumId="191">
    <w:nsid w:val="1C4A08EC"/>
    <w:multiLevelType w:val="hybridMultilevel"/>
    <w:lvl w:ilvl="0">
      <w:lvlJc w:val="left"/>
      <w:lvlText w:val="(%1)"/>
      <w:numFmt w:val="lowerLetter"/>
      <w:start w:val="2"/>
    </w:lvl>
    <w:lvl w:ilvl="1">
      <w:lvlJc w:val="left"/>
      <w:lvlText w:val="(%2)"/>
      <w:numFmt w:val="lowerRoman"/>
      <w:start w:val="1"/>
    </w:lvl>
  </w:abstractNum>
  <w:abstractNum w:abstractNumId="192">
    <w:nsid w:val="1958BD17"/>
    <w:multiLevelType w:val="hybridMultilevel"/>
    <w:lvl w:ilvl="0">
      <w:lvlJc w:val="left"/>
      <w:lvlText w:val="(%1)"/>
      <w:numFmt w:val="lowerLetter"/>
      <w:start w:val="1"/>
    </w:lvl>
  </w:abstractNum>
  <w:abstractNum w:abstractNumId="193">
    <w:nsid w:val="4E647FE4"/>
    <w:multiLevelType w:val="hybridMultilevel"/>
    <w:lvl w:ilvl="0">
      <w:lvlJc w:val="left"/>
      <w:lvlText w:val="(%1)"/>
      <w:numFmt w:val="lowerLetter"/>
      <w:start w:val="3"/>
    </w:lvl>
  </w:abstractNum>
  <w:abstractNum w:abstractNumId="194">
    <w:nsid w:val="E0BB885"/>
    <w:multiLevelType w:val="hybridMultilevel"/>
    <w:lvl w:ilvl="0">
      <w:lvlJc w:val="left"/>
      <w:lvlText w:val="*"/>
      <w:numFmt w:val="bullet"/>
      <w:start w:val="1"/>
    </w:lvl>
  </w:abstractNum>
  <w:abstractNum w:abstractNumId="195">
    <w:nsid w:val="565976F1"/>
    <w:multiLevelType w:val="hybridMultilevel"/>
    <w:lvl w:ilvl="0">
      <w:lvlJc w:val="left"/>
      <w:lvlText w:val="%1."/>
      <w:numFmt w:val="decimal"/>
      <w:start w:val="1"/>
    </w:lvl>
  </w:abstractNum>
  <w:abstractNum w:abstractNumId="196">
    <w:nsid w:val="64212B8C"/>
    <w:multiLevelType w:val="hybridMultilevel"/>
    <w:lvl w:ilvl="0">
      <w:lvlJc w:val="left"/>
      <w:lvlText w:val="*"/>
      <w:numFmt w:val="bullet"/>
      <w:start w:val="1"/>
    </w:lvl>
  </w:abstractNum>
  <w:abstractNum w:abstractNumId="197">
    <w:nsid w:val="5C17530C"/>
    <w:multiLevelType w:val="hybridMultilevel"/>
    <w:lvl w:ilvl="0">
      <w:lvlJc w:val="left"/>
      <w:lvlText w:val="%1."/>
      <w:numFmt w:val="decimal"/>
      <w:start w:val="2"/>
    </w:lvl>
    <w:lvl w:ilvl="1">
      <w:lvlJc w:val="left"/>
      <w:lvlText w:val="(%2)"/>
      <w:numFmt w:val="lowerLetter"/>
      <w:start w:val="1"/>
    </w:lvl>
  </w:abstractNum>
  <w:abstractNum w:abstractNumId="198">
    <w:nsid w:val="19A52566"/>
    <w:multiLevelType w:val="hybridMultilevel"/>
    <w:lvl w:ilvl="0">
      <w:lvlJc w:val="left"/>
      <w:lvlText w:val="(%1)"/>
      <w:numFmt w:val="lowerLetter"/>
      <w:start w:val="2"/>
    </w:lvl>
  </w:abstractNum>
  <w:abstractNum w:abstractNumId="199">
    <w:nsid w:val="335A1DF1"/>
    <w:multiLevelType w:val="hybridMultilevel"/>
    <w:lvl w:ilvl="0">
      <w:lvlJc w:val="left"/>
      <w:lvlText w:val="%1"/>
      <w:numFmt w:val="decimal"/>
      <w:start w:val="1"/>
    </w:lvl>
    <w:lvl w:ilvl="1">
      <w:lvlJc w:val="left"/>
      <w:lvlText w:val="(%2)"/>
      <w:numFmt w:val="lowerLetter"/>
      <w:start w:val="3"/>
    </w:lvl>
  </w:abstractNum>
  <w:abstractNum w:abstractNumId="200">
    <w:nsid w:val="28677B7C"/>
    <w:multiLevelType w:val="hybridMultilevel"/>
    <w:lvl w:ilvl="0">
      <w:lvlJc w:val="left"/>
      <w:lvlText w:val="%1."/>
      <w:numFmt w:val="decimal"/>
      <w:start w:val="3"/>
    </w:lvl>
    <w:lvl w:ilvl="1">
      <w:lvlJc w:val="left"/>
      <w:lvlText w:val="(%2)"/>
      <w:numFmt w:val="lowerLetter"/>
      <w:start w:val="1"/>
    </w:lvl>
  </w:abstractNum>
  <w:abstractNum w:abstractNumId="201">
    <w:nsid w:val="378D97C0"/>
    <w:multiLevelType w:val="hybridMultilevel"/>
    <w:lvl w:ilvl="0">
      <w:lvlJc w:val="left"/>
      <w:lvlText w:val="%1."/>
      <w:numFmt w:val="decimal"/>
      <w:start w:val="4"/>
    </w:lvl>
  </w:abstractNum>
  <w:abstractNum w:abstractNumId="202">
    <w:nsid w:val="1D91467C"/>
    <w:multiLevelType w:val="hybridMultilevel"/>
    <w:lvl w:ilvl="0">
      <w:lvlJc w:val="left"/>
      <w:lvlText w:val="%1."/>
      <w:numFmt w:val="decimal"/>
      <w:start w:val="9"/>
    </w:lvl>
  </w:abstractNum>
  <w:abstractNum w:abstractNumId="203">
    <w:nsid w:val="316032BB"/>
    <w:multiLevelType w:val="hybridMultilevel"/>
    <w:lvl w:ilvl="0">
      <w:lvlJc w:val="left"/>
      <w:lvlText w:val="%1."/>
      <w:numFmt w:val="decimal"/>
      <w:start w:val="1"/>
    </w:lvl>
  </w:abstractNum>
  <w:abstractNum w:abstractNumId="204">
    <w:nsid w:val="44344C22"/>
    <w:multiLevelType w:val="hybridMultilevel"/>
    <w:lvl w:ilvl="0">
      <w:lvlJc w:val="left"/>
      <w:lvlText w:val="%1."/>
      <w:numFmt w:val="decimal"/>
      <w:start w:val="2"/>
    </w:lvl>
    <w:lvl w:ilvl="1">
      <w:lvlJc w:val="left"/>
      <w:lvlText w:val="(%2)"/>
      <w:numFmt w:val="lowerLetter"/>
      <w:start w:val="1"/>
    </w:lvl>
  </w:abstractNum>
  <w:abstractNum w:abstractNumId="205">
    <w:nsid w:val="13CDFCFC"/>
    <w:multiLevelType w:val="hybridMultilevel"/>
    <w:lvl w:ilvl="0">
      <w:lvlJc w:val="left"/>
      <w:lvlText w:val="(%1)"/>
      <w:numFmt w:val="lowerLetter"/>
      <w:start w:val="2"/>
    </w:lvl>
  </w:abstractNum>
  <w:abstractNum w:abstractNumId="206">
    <w:nsid w:val="471745E4"/>
    <w:multiLevelType w:val="hybridMultilevel"/>
    <w:lvl w:ilvl="0">
      <w:lvlJc w:val="left"/>
      <w:lvlText w:val="%1"/>
      <w:numFmt w:val="decimal"/>
      <w:start w:val="1"/>
    </w:lvl>
    <w:lvl w:ilvl="1">
      <w:lvlJc w:val="left"/>
      <w:lvlText w:val="(%2)"/>
      <w:numFmt w:val="lowerLetter"/>
      <w:start w:val="3"/>
    </w:lvl>
  </w:abstractNum>
  <w:abstractNum w:abstractNumId="207">
    <w:nsid w:val="1DDBC66"/>
    <w:multiLevelType w:val="hybridMultilevel"/>
    <w:lvl w:ilvl="0">
      <w:lvlJc w:val="left"/>
      <w:lvlText w:val="%1."/>
      <w:numFmt w:val="decimal"/>
      <w:start w:val="3"/>
    </w:lvl>
    <w:lvl w:ilvl="1">
      <w:lvlJc w:val="left"/>
      <w:lvlText w:val="%2"/>
      <w:numFmt w:val="lowerLetter"/>
      <w:start w:val="1"/>
    </w:lvl>
  </w:abstractNum>
  <w:abstractNum w:abstractNumId="208">
    <w:nsid w:val="30AADFDA"/>
    <w:multiLevelType w:val="hybridMultilevel"/>
    <w:lvl w:ilvl="0">
      <w:lvlJc w:val="left"/>
      <w:lvlText w:val="%1."/>
      <w:numFmt w:val="decimal"/>
      <w:start w:val="9"/>
    </w:lvl>
  </w:abstractNum>
  <w:abstractNum w:abstractNumId="209">
    <w:nsid w:val="30EADA61"/>
    <w:multiLevelType w:val="hybridMultilevel"/>
    <w:lvl w:ilvl="0">
      <w:lvlJc w:val="left"/>
      <w:lvlText w:val="%1."/>
      <w:numFmt w:val="decimal"/>
      <w:start w:val="1"/>
    </w:lvl>
  </w:abstractNum>
  <w:abstractNum w:abstractNumId="210">
    <w:nsid w:val="27179C0B"/>
    <w:multiLevelType w:val="hybridMultilevel"/>
    <w:lvl w:ilvl="0">
      <w:lvlJc w:val="left"/>
      <w:lvlText w:val="%1."/>
      <w:numFmt w:val="decimal"/>
      <w:start w:val="2"/>
    </w:lvl>
    <w:lvl w:ilvl="1">
      <w:lvlJc w:val="left"/>
      <w:lvlText w:val="(%2)"/>
      <w:numFmt w:val="lowerLetter"/>
      <w:start w:val="1"/>
    </w:lvl>
  </w:abstractNum>
  <w:abstractNum w:abstractNumId="211">
    <w:nsid w:val="5E636063"/>
    <w:multiLevelType w:val="hybridMultilevel"/>
    <w:lvl w:ilvl="0">
      <w:lvlJc w:val="left"/>
      <w:lvlText w:val="(%1)"/>
      <w:numFmt w:val="lowerLetter"/>
      <w:start w:val="2"/>
    </w:lvl>
  </w:abstractNum>
  <w:abstractNum w:abstractNumId="212">
    <w:nsid w:val="215641AF"/>
    <w:multiLevelType w:val="hybridMultilevel"/>
    <w:lvl w:ilvl="0">
      <w:lvlJc w:val="left"/>
      <w:lvlText w:val="%1"/>
      <w:numFmt w:val="decimal"/>
      <w:start w:val="1"/>
    </w:lvl>
    <w:lvl w:ilvl="1">
      <w:lvlJc w:val="left"/>
      <w:lvlText w:val="(%2)"/>
      <w:numFmt w:val="lowerLetter"/>
      <w:start w:val="3"/>
    </w:lvl>
  </w:abstractNum>
  <w:abstractNum w:abstractNumId="213">
    <w:nsid w:val="53280662"/>
    <w:multiLevelType w:val="hybridMultilevel"/>
    <w:lvl w:ilvl="0">
      <w:lvlJc w:val="left"/>
      <w:lvlText w:val="%1."/>
      <w:numFmt w:val="decimal"/>
      <w:start w:val="3"/>
    </w:lvl>
    <w:lvl w:ilvl="1">
      <w:lvlJc w:val="left"/>
      <w:lvlText w:val="(%2)"/>
      <w:numFmt w:val="lowerLetter"/>
      <w:start w:val="1"/>
    </w:lvl>
  </w:abstractNum>
  <w:abstractNum w:abstractNumId="214">
    <w:nsid w:val="46B24DBC"/>
    <w:multiLevelType w:val="hybridMultilevel"/>
    <w:lvl w:ilvl="0">
      <w:lvlJc w:val="left"/>
      <w:lvlText w:val="%1."/>
      <w:numFmt w:val="decimal"/>
      <w:start w:val="6"/>
    </w:lvl>
  </w:abstractNum>
  <w:abstractNum w:abstractNumId="215">
    <w:nsid w:val="75B52783"/>
    <w:multiLevelType w:val="hybridMultilevel"/>
    <w:lvl w:ilvl="0">
      <w:lvlJc w:val="left"/>
      <w:lvlText w:val="%1."/>
      <w:numFmt w:val="decimal"/>
      <w:start w:val="1"/>
    </w:lvl>
  </w:abstractNum>
  <w:abstractNum w:abstractNumId="216">
    <w:nsid w:val="57CE66B4"/>
    <w:multiLevelType w:val="hybridMultilevel"/>
    <w:lvl w:ilvl="0">
      <w:lvlJc w:val="left"/>
      <w:lvlText w:val="%1."/>
      <w:numFmt w:val="decimal"/>
      <w:start w:val="2"/>
    </w:lvl>
    <w:lvl w:ilvl="1">
      <w:lvlJc w:val="left"/>
      <w:lvlText w:val="(%2)"/>
      <w:numFmt w:val="lowerLetter"/>
      <w:start w:val="1"/>
    </w:lvl>
  </w:abstractNum>
  <w:abstractNum w:abstractNumId="217">
    <w:nsid w:val="67A70B69"/>
    <w:multiLevelType w:val="hybridMultilevel"/>
    <w:lvl w:ilvl="0">
      <w:lvlJc w:val="left"/>
      <w:lvlText w:val="(%1)"/>
      <w:numFmt w:val="lowerLetter"/>
      <w:start w:val="2"/>
    </w:lvl>
  </w:abstractNum>
  <w:abstractNum w:abstractNumId="218">
    <w:nsid w:val="5953172F"/>
    <w:multiLevelType w:val="hybridMultilevel"/>
    <w:lvl w:ilvl="0">
      <w:lvlJc w:val="left"/>
      <w:lvlText w:val="%1"/>
      <w:numFmt w:val="decimal"/>
      <w:start w:val="1"/>
    </w:lvl>
    <w:lvl w:ilvl="1">
      <w:lvlJc w:val="left"/>
      <w:lvlText w:val="(%2)"/>
      <w:numFmt w:val="lowerLetter"/>
      <w:start w:val="3"/>
    </w:lvl>
  </w:abstractNum>
  <w:abstractNum w:abstractNumId="219">
    <w:nsid w:val="27EDFE3A"/>
    <w:multiLevelType w:val="hybridMultilevel"/>
    <w:lvl w:ilvl="0">
      <w:lvlJc w:val="left"/>
      <w:lvlText w:val="%1."/>
      <w:numFmt w:val="decimal"/>
      <w:start w:val="3"/>
    </w:lvl>
    <w:lvl w:ilvl="1">
      <w:lvlJc w:val="left"/>
      <w:lvlText w:val="(%2)"/>
      <w:numFmt w:val="lowerLetter"/>
      <w:start w:val="1"/>
    </w:lvl>
  </w:abstractNum>
  <w:abstractNum w:abstractNumId="220">
    <w:nsid w:val="52AC7DFF"/>
    <w:multiLevelType w:val="hybridMultilevel"/>
    <w:lvl w:ilvl="0">
      <w:lvlJc w:val="left"/>
      <w:lvlText w:val="(%1)"/>
      <w:numFmt w:val="lowerLetter"/>
      <w:start w:val="4"/>
    </w:lvl>
  </w:abstractNum>
  <w:abstractNum w:abstractNumId="221">
    <w:nsid w:val="C4C3AF"/>
    <w:multiLevelType w:val="hybridMultilevel"/>
    <w:lvl w:ilvl="0">
      <w:lvlJc w:val="left"/>
      <w:lvlText w:val="%1."/>
      <w:numFmt w:val="decimal"/>
      <w:start w:val="4"/>
    </w:lvl>
  </w:abstractNum>
  <w:abstractNum w:abstractNumId="222">
    <w:nsid w:val="44380727"/>
    <w:multiLevelType w:val="hybridMultilevel"/>
    <w:lvl w:ilvl="0">
      <w:lvlJc w:val="left"/>
      <w:lvlText w:val="%1."/>
      <w:numFmt w:val="decimal"/>
      <w:start w:val="10"/>
    </w:lvl>
  </w:abstractNum>
  <w:abstractNum w:abstractNumId="223">
    <w:nsid w:val="6C053B16"/>
    <w:multiLevelType w:val="hybridMultilevel"/>
    <w:lvl w:ilvl="0">
      <w:lvlJc w:val="left"/>
      <w:lvlText w:val="%1."/>
      <w:numFmt w:val="decimal"/>
      <w:start w:val="1"/>
    </w:lvl>
    <w:lvl w:ilvl="1">
      <w:lvlJc w:val="left"/>
      <w:lvlText w:val="(%2)"/>
      <w:numFmt w:val="lowerLetter"/>
      <w:start w:val="1"/>
    </w:lvl>
  </w:abstractNum>
  <w:abstractNum w:abstractNumId="224">
    <w:nsid w:val="4F294393"/>
    <w:multiLevelType w:val="hybridMultilevel"/>
    <w:lvl w:ilvl="0">
      <w:lvlJc w:val="left"/>
      <w:lvlText w:val="%1."/>
      <w:numFmt w:val="decimal"/>
      <w:start w:val="4"/>
    </w:lvl>
  </w:abstractNum>
  <w:abstractNum w:abstractNumId="225">
    <w:nsid w:val="5243BFAC"/>
    <w:multiLevelType w:val="hybridMultilevel"/>
    <w:lvl w:ilvl="0">
      <w:lvlJc w:val="left"/>
      <w:lvlText w:val="%1."/>
      <w:numFmt w:val="decimal"/>
      <w:start w:val="9"/>
    </w:lvl>
  </w:abstractNum>
  <w:abstractNum w:abstractNumId="226">
    <w:nsid w:val="425EB207"/>
    <w:multiLevelType w:val="hybridMultilevel"/>
    <w:lvl w:ilvl="0">
      <w:lvlJc w:val="left"/>
      <w:lvlText w:val="%1."/>
      <w:numFmt w:val="decimal"/>
      <w:start w:val="1"/>
    </w:lvl>
  </w:abstractNum>
  <w:abstractNum w:abstractNumId="227">
    <w:nsid w:val="334A6F1F"/>
    <w:multiLevelType w:val="hybridMultilevel"/>
    <w:lvl w:ilvl="0">
      <w:lvlJc w:val="left"/>
      <w:lvlText w:val="%1."/>
      <w:numFmt w:val="decimal"/>
      <w:start w:val="3"/>
    </w:lvl>
  </w:abstractNum>
  <w:abstractNum w:abstractNumId="228">
    <w:nsid w:val="2E5B12B8"/>
    <w:multiLevelType w:val="hybridMultilevel"/>
    <w:lvl w:ilvl="0">
      <w:lvlJc w:val="left"/>
      <w:lvlText w:val="%1."/>
      <w:numFmt w:val="decimal"/>
      <w:start w:val="4"/>
    </w:lvl>
  </w:abstractNum>
  <w:abstractNum w:abstractNumId="229">
    <w:nsid w:val="5C03D76D"/>
    <w:multiLevelType w:val="hybridMultilevel"/>
    <w:lvl w:ilvl="0">
      <w:lvlJc w:val="left"/>
      <w:lvlText w:val="%1."/>
      <w:numFmt w:val="decimal"/>
      <w:start w:val="10"/>
    </w:lvl>
  </w:abstractNum>
  <w:abstractNum w:abstractNumId="230">
    <w:nsid w:val="66A48D11"/>
    <w:multiLevelType w:val="hybridMultilevel"/>
    <w:lvl w:ilvl="0">
      <w:lvlJc w:val="left"/>
      <w:lvlText w:val="%1."/>
      <w:numFmt w:val="decimal"/>
      <w:start w:val="1"/>
    </w:lvl>
  </w:abstractNum>
  <w:abstractNum w:abstractNumId="231">
    <w:nsid w:val="56C28E34"/>
    <w:multiLevelType w:val="hybridMultilevel"/>
    <w:lvl w:ilvl="0">
      <w:lvlJc w:val="left"/>
      <w:lvlText w:val="%1."/>
      <w:numFmt w:val="decimal"/>
      <w:start w:val="3"/>
    </w:lvl>
  </w:abstractNum>
  <w:abstractNum w:abstractNumId="232">
    <w:nsid w:val="13916F2D"/>
    <w:multiLevelType w:val="hybridMultilevel"/>
    <w:lvl w:ilvl="0">
      <w:lvlJc w:val="left"/>
      <w:lvlText w:val="%1."/>
      <w:numFmt w:val="decimal"/>
      <w:start w:val="4"/>
    </w:lvl>
  </w:abstractNum>
  <w:abstractNum w:abstractNumId="233">
    <w:nsid w:val="435D38D"/>
    <w:multiLevelType w:val="hybridMultilevel"/>
    <w:lvl w:ilvl="0">
      <w:lvlJc w:val="left"/>
      <w:lvlText w:val="(%1)"/>
      <w:numFmt w:val="lowerRoman"/>
      <w:start w:val="4"/>
    </w:lvl>
    <w:lvl w:ilvl="1">
      <w:lvlJc w:val="left"/>
      <w:lvlText w:val="%2."/>
      <w:numFmt w:val="decimal"/>
      <w:start w:val="11"/>
    </w:lvl>
  </w:abstractNum>
  <w:abstractNum w:abstractNumId="234">
    <w:nsid w:val="822C0EF"/>
    <w:multiLevelType w:val="hybridMultilevel"/>
    <w:lvl w:ilvl="0">
      <w:lvlJc w:val="left"/>
      <w:lvlText w:val="%1."/>
      <w:numFmt w:val="decimal"/>
      <w:start w:val="1"/>
    </w:lvl>
  </w:abstractNum>
  <w:abstractNum w:abstractNumId="235">
    <w:nsid w:val="57C5BB4F"/>
    <w:multiLevelType w:val="hybridMultilevel"/>
    <w:lvl w:ilvl="0">
      <w:lvlJc w:val="left"/>
      <w:lvlText w:val="%1."/>
      <w:numFmt w:val="decimal"/>
      <w:start w:val="4"/>
    </w:lvl>
    <w:lvl w:ilvl="1">
      <w:lvlJc w:val="left"/>
      <w:lvlText w:val="(%2)"/>
      <w:numFmt w:val="lowerLetter"/>
      <w:start w:val="1"/>
    </w:lvl>
  </w:abstractNum>
  <w:abstractNum w:abstractNumId="236">
    <w:nsid w:val="1803D089"/>
    <w:multiLevelType w:val="hybridMultilevel"/>
    <w:lvl w:ilvl="0">
      <w:lvlJc w:val="left"/>
      <w:lvlText w:val="%1."/>
      <w:numFmt w:val="decimal"/>
      <w:start w:val="7"/>
    </w:lvl>
  </w:abstractNum>
  <w:abstractNum w:abstractNumId="237">
    <w:nsid w:val="4F3A06D4"/>
    <w:multiLevelType w:val="hybridMultilevel"/>
    <w:lvl w:ilvl="0">
      <w:lvlJc w:val="left"/>
      <w:lvlText w:val="(%1)"/>
      <w:numFmt w:val="lowerLetter"/>
      <w:start w:val="2"/>
    </w:lvl>
  </w:abstractNum>
  <w:abstractNum w:abstractNumId="238">
    <w:nsid w:val="59A377B6"/>
    <w:multiLevelType w:val="hybridMultilevel"/>
    <w:lvl w:ilvl="0">
      <w:lvlJc w:val="left"/>
      <w:lvlText w:val="%1."/>
      <w:numFmt w:val="decimal"/>
      <w:start w:val="9"/>
    </w:lvl>
  </w:abstractNum>
  <w:abstractNum w:abstractNumId="239">
    <w:nsid w:val="48AEB063"/>
    <w:multiLevelType w:val="hybridMultilevel"/>
    <w:lvl w:ilvl="0">
      <w:lvlJc w:val="left"/>
      <w:lvlText w:val="%1."/>
      <w:numFmt w:val="decimal"/>
      <w:start w:val="10"/>
    </w:lvl>
  </w:abstractNum>
  <w:abstractNum w:abstractNumId="240">
    <w:nsid w:val="24E135"/>
    <w:multiLevelType w:val="hybridMultilevel"/>
    <w:lvl w:ilvl="0">
      <w:lvlJc w:val="left"/>
      <w:lvlText w:val="%1."/>
      <w:numFmt w:val="decimal"/>
      <w:start w:val="12"/>
    </w:lvl>
  </w:abstractNum>
  <w:abstractNum w:abstractNumId="241">
    <w:nsid w:val="BB13C1"/>
    <w:multiLevelType w:val="hybridMultilevel"/>
    <w:lvl w:ilvl="0">
      <w:lvlJc w:val="left"/>
      <w:lvlText w:val="%1."/>
      <w:numFmt w:val="decimal"/>
      <w:start w:val="13"/>
    </w:lvl>
  </w:abstractNum>
  <w:abstractNum w:abstractNumId="242">
    <w:nsid w:val="271210C7"/>
    <w:multiLevelType w:val="hybridMultilevel"/>
    <w:lvl w:ilvl="0">
      <w:lvlJc w:val="left"/>
      <w:lvlText w:val="%1."/>
      <w:numFmt w:val="decimal"/>
      <w:start w:val="20"/>
    </w:lvl>
  </w:abstractNum>
  <w:abstractNum w:abstractNumId="243">
    <w:nsid w:val="217B22E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406" Type="http://schemas.openxmlformats.org/officeDocument/2006/relationships/image" Target="media/image379.png"/><Relationship Id="rId407" Type="http://schemas.openxmlformats.org/officeDocument/2006/relationships/image" Target="media/image380.png"/><Relationship Id="rId408" Type="http://schemas.openxmlformats.org/officeDocument/2006/relationships/image" Target="media/image381.png"/><Relationship Id="rId409" Type="http://schemas.openxmlformats.org/officeDocument/2006/relationships/image" Target="media/image382.png"/><Relationship Id="rId410" Type="http://schemas.openxmlformats.org/officeDocument/2006/relationships/image" Target="media/image383.png"/><Relationship Id="rId411" Type="http://schemas.openxmlformats.org/officeDocument/2006/relationships/image" Target="media/image384.png"/><Relationship Id="rId412" Type="http://schemas.openxmlformats.org/officeDocument/2006/relationships/image" Target="media/image385.png"/><Relationship Id="rId413" Type="http://schemas.openxmlformats.org/officeDocument/2006/relationships/image" Target="media/image386.png"/><Relationship Id="rId414" Type="http://schemas.openxmlformats.org/officeDocument/2006/relationships/image" Target="media/image387.png"/><Relationship Id="rId415" Type="http://schemas.openxmlformats.org/officeDocument/2006/relationships/image" Target="media/image388.png"/><Relationship Id="rId416" Type="http://schemas.openxmlformats.org/officeDocument/2006/relationships/image" Target="media/image389.png"/><Relationship Id="rId417" Type="http://schemas.openxmlformats.org/officeDocument/2006/relationships/image" Target="media/image390.png"/><Relationship Id="rId418" Type="http://schemas.openxmlformats.org/officeDocument/2006/relationships/image" Target="media/image391.png"/><Relationship Id="rId419" Type="http://schemas.openxmlformats.org/officeDocument/2006/relationships/image" Target="media/image392.png"/><Relationship Id="rId420" Type="http://schemas.openxmlformats.org/officeDocument/2006/relationships/image" Target="media/image393.png"/><Relationship Id="rId421" Type="http://schemas.openxmlformats.org/officeDocument/2006/relationships/image" Target="media/image394.png"/><Relationship Id="rId422" Type="http://schemas.openxmlformats.org/officeDocument/2006/relationships/image" Target="media/image395.png"/><Relationship Id="rId423" Type="http://schemas.openxmlformats.org/officeDocument/2006/relationships/image" Target="media/image396.png"/><Relationship Id="rId424" Type="http://schemas.openxmlformats.org/officeDocument/2006/relationships/image" Target="media/image397.png"/><Relationship Id="rId425" Type="http://schemas.openxmlformats.org/officeDocument/2006/relationships/image" Target="media/image398.png"/><Relationship Id="rId426" Type="http://schemas.openxmlformats.org/officeDocument/2006/relationships/image" Target="media/image399.png"/><Relationship Id="rId427" Type="http://schemas.openxmlformats.org/officeDocument/2006/relationships/image" Target="media/image400.png"/><Relationship Id="rId428" Type="http://schemas.openxmlformats.org/officeDocument/2006/relationships/image" Target="media/image401.png"/><Relationship Id="rId429" Type="http://schemas.openxmlformats.org/officeDocument/2006/relationships/image" Target="media/image402.png"/><Relationship Id="rId430" Type="http://schemas.openxmlformats.org/officeDocument/2006/relationships/image" Target="media/image403.png"/><Relationship Id="rId431" Type="http://schemas.openxmlformats.org/officeDocument/2006/relationships/image" Target="media/image404.png"/><Relationship Id="rId432" Type="http://schemas.openxmlformats.org/officeDocument/2006/relationships/image" Target="media/image405.png"/><Relationship Id="rId433" Type="http://schemas.openxmlformats.org/officeDocument/2006/relationships/image" Target="media/image406.png"/><Relationship Id="rId434" Type="http://schemas.openxmlformats.org/officeDocument/2006/relationships/image" Target="media/image407.png"/><Relationship Id="rId435" Type="http://schemas.openxmlformats.org/officeDocument/2006/relationships/image" Target="media/image408.png"/><Relationship Id="rId436" Type="http://schemas.openxmlformats.org/officeDocument/2006/relationships/image" Target="media/image409.png"/><Relationship Id="rId437" Type="http://schemas.openxmlformats.org/officeDocument/2006/relationships/image" Target="media/image410.png"/><Relationship Id="rId438" Type="http://schemas.openxmlformats.org/officeDocument/2006/relationships/image" Target="media/image411.png"/><Relationship Id="rId439" Type="http://schemas.openxmlformats.org/officeDocument/2006/relationships/image" Target="media/image412.png"/><Relationship Id="rId440" Type="http://schemas.openxmlformats.org/officeDocument/2006/relationships/image" Target="media/image413.png"/><Relationship Id="rId441" Type="http://schemas.openxmlformats.org/officeDocument/2006/relationships/image" Target="media/image414.png"/><Relationship Id="rId442" Type="http://schemas.openxmlformats.org/officeDocument/2006/relationships/image" Target="media/image415.pn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png"/><Relationship Id="rId447" Type="http://schemas.openxmlformats.org/officeDocument/2006/relationships/image" Target="media/image420.png"/><Relationship Id="rId448" Type="http://schemas.openxmlformats.org/officeDocument/2006/relationships/image" Target="media/image421.png"/><Relationship Id="rId449" Type="http://schemas.openxmlformats.org/officeDocument/2006/relationships/image" Target="media/image422.png"/><Relationship Id="rId450" Type="http://schemas.openxmlformats.org/officeDocument/2006/relationships/image" Target="media/image423.png"/><Relationship Id="rId451" Type="http://schemas.openxmlformats.org/officeDocument/2006/relationships/image" Target="media/image424.png"/><Relationship Id="rId452" Type="http://schemas.openxmlformats.org/officeDocument/2006/relationships/image" Target="media/image425.png"/><Relationship Id="rId453" Type="http://schemas.openxmlformats.org/officeDocument/2006/relationships/image" Target="media/image426.png"/><Relationship Id="rId454" Type="http://schemas.openxmlformats.org/officeDocument/2006/relationships/image" Target="media/image427.png"/><Relationship Id="rId455" Type="http://schemas.openxmlformats.org/officeDocument/2006/relationships/image" Target="media/image428.png"/><Relationship Id="rId456" Type="http://schemas.openxmlformats.org/officeDocument/2006/relationships/image" Target="media/image429.png"/><Relationship Id="rId457"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460" Type="http://schemas.openxmlformats.org/officeDocument/2006/relationships/image" Target="media/image433.png"/><Relationship Id="rId461" Type="http://schemas.openxmlformats.org/officeDocument/2006/relationships/image" Target="media/image434.png"/><Relationship Id="rId462" Type="http://schemas.openxmlformats.org/officeDocument/2006/relationships/image" Target="media/image435.png"/><Relationship Id="rId463" Type="http://schemas.openxmlformats.org/officeDocument/2006/relationships/image" Target="media/image436.png"/><Relationship Id="rId464" Type="http://schemas.openxmlformats.org/officeDocument/2006/relationships/image" Target="media/image437.png"/><Relationship Id="rId465" Type="http://schemas.openxmlformats.org/officeDocument/2006/relationships/image" Target="media/image438.jpeg"/><Relationship Id="rId466" Type="http://schemas.openxmlformats.org/officeDocument/2006/relationships/image" Target="media/image439.png"/><Relationship Id="rId467" Type="http://schemas.openxmlformats.org/officeDocument/2006/relationships/image" Target="media/image440.png"/><Relationship Id="rId468" Type="http://schemas.openxmlformats.org/officeDocument/2006/relationships/image" Target="media/image441.png"/><Relationship Id="rId469" Type="http://schemas.openxmlformats.org/officeDocument/2006/relationships/image" Target="media/image442.png"/><Relationship Id="rId470" Type="http://schemas.openxmlformats.org/officeDocument/2006/relationships/image" Target="media/image443.png"/><Relationship Id="rId471" Type="http://schemas.openxmlformats.org/officeDocument/2006/relationships/image" Target="media/image444.png"/><Relationship Id="rId472" Type="http://schemas.openxmlformats.org/officeDocument/2006/relationships/image" Target="media/image445.png"/><Relationship Id="rId473" Type="http://schemas.openxmlformats.org/officeDocument/2006/relationships/image" Target="media/image446.png"/><Relationship Id="rId474" Type="http://schemas.openxmlformats.org/officeDocument/2006/relationships/image" Target="media/image447.png"/><Relationship Id="rId475" Type="http://schemas.openxmlformats.org/officeDocument/2006/relationships/image" Target="media/image448.png"/><Relationship Id="rId476" Type="http://schemas.openxmlformats.org/officeDocument/2006/relationships/image" Target="media/image449.png"/><Relationship Id="rId477" Type="http://schemas.openxmlformats.org/officeDocument/2006/relationships/image" Target="media/image450.png"/><Relationship Id="rId478" Type="http://schemas.openxmlformats.org/officeDocument/2006/relationships/image" Target="media/image451.png"/><Relationship Id="rId479" Type="http://schemas.openxmlformats.org/officeDocument/2006/relationships/image" Target="media/image452.png"/><Relationship Id="rId480" Type="http://schemas.openxmlformats.org/officeDocument/2006/relationships/image" Target="media/image453.png"/><Relationship Id="rId481" Type="http://schemas.openxmlformats.org/officeDocument/2006/relationships/image" Target="media/image454.png"/><Relationship Id="rId482" Type="http://schemas.openxmlformats.org/officeDocument/2006/relationships/image" Target="media/image455.png"/><Relationship Id="rId483" Type="http://schemas.openxmlformats.org/officeDocument/2006/relationships/image" Target="media/image456.png"/><Relationship Id="rId484" Type="http://schemas.openxmlformats.org/officeDocument/2006/relationships/image" Target="media/image457.png"/><Relationship Id="rId485" Type="http://schemas.openxmlformats.org/officeDocument/2006/relationships/image" Target="media/image458.png"/><Relationship Id="rId486" Type="http://schemas.openxmlformats.org/officeDocument/2006/relationships/image" Target="media/image459.png"/><Relationship Id="rId487" Type="http://schemas.openxmlformats.org/officeDocument/2006/relationships/image" Target="media/image460.png"/><Relationship Id="rId488" Type="http://schemas.openxmlformats.org/officeDocument/2006/relationships/image" Target="media/image461.png"/><Relationship Id="rId489" Type="http://schemas.openxmlformats.org/officeDocument/2006/relationships/image" Target="media/image462.png"/><Relationship Id="rId490" Type="http://schemas.openxmlformats.org/officeDocument/2006/relationships/image" Target="media/image463.png"/><Relationship Id="rId491" Type="http://schemas.openxmlformats.org/officeDocument/2006/relationships/image" Target="media/image464.png"/><Relationship Id="rId492" Type="http://schemas.openxmlformats.org/officeDocument/2006/relationships/image" Target="media/image465.png"/><Relationship Id="rId493" Type="http://schemas.openxmlformats.org/officeDocument/2006/relationships/image" Target="media/image466.png"/><Relationship Id="rId494" Type="http://schemas.openxmlformats.org/officeDocument/2006/relationships/image" Target="media/image467.png"/><Relationship Id="rId495" Type="http://schemas.openxmlformats.org/officeDocument/2006/relationships/image" Target="media/image468.png"/><Relationship Id="rId496" Type="http://schemas.openxmlformats.org/officeDocument/2006/relationships/image" Target="media/image469.png"/><Relationship Id="rId497" Type="http://schemas.openxmlformats.org/officeDocument/2006/relationships/image" Target="media/image470.png"/><Relationship Id="rId498" Type="http://schemas.openxmlformats.org/officeDocument/2006/relationships/image" Target="media/image471.png"/><Relationship Id="rId499" Type="http://schemas.openxmlformats.org/officeDocument/2006/relationships/image" Target="media/image472.png"/><Relationship Id="rId500" Type="http://schemas.openxmlformats.org/officeDocument/2006/relationships/image" Target="media/image473.png"/><Relationship Id="rId501" Type="http://schemas.openxmlformats.org/officeDocument/2006/relationships/image" Target="media/image474.png"/><Relationship Id="rId502" Type="http://schemas.openxmlformats.org/officeDocument/2006/relationships/image" Target="media/image475.png"/><Relationship Id="rId503" Type="http://schemas.openxmlformats.org/officeDocument/2006/relationships/image" Target="media/image476.png"/><Relationship Id="rId504" Type="http://schemas.openxmlformats.org/officeDocument/2006/relationships/image" Target="media/image477.png"/><Relationship Id="rId505" Type="http://schemas.openxmlformats.org/officeDocument/2006/relationships/image" Target="media/image478.png"/><Relationship Id="rId506" Type="http://schemas.openxmlformats.org/officeDocument/2006/relationships/image" Target="media/image479.png"/><Relationship Id="rId507" Type="http://schemas.openxmlformats.org/officeDocument/2006/relationships/image" Target="media/image480.png"/><Relationship Id="rId508" Type="http://schemas.openxmlformats.org/officeDocument/2006/relationships/image" Target="media/image481.png"/><Relationship Id="rId509" Type="http://schemas.openxmlformats.org/officeDocument/2006/relationships/image" Target="media/image482.png"/><Relationship Id="rId510" Type="http://schemas.openxmlformats.org/officeDocument/2006/relationships/image" Target="media/image483.png"/><Relationship Id="rId511" Type="http://schemas.openxmlformats.org/officeDocument/2006/relationships/image" Target="media/image484.png"/><Relationship Id="rId512" Type="http://schemas.openxmlformats.org/officeDocument/2006/relationships/image" Target="media/image485.png"/><Relationship Id="rId513" Type="http://schemas.openxmlformats.org/officeDocument/2006/relationships/image" Target="media/image486.png"/><Relationship Id="rId514" Type="http://schemas.openxmlformats.org/officeDocument/2006/relationships/image" Target="media/image487.png"/><Relationship Id="rId515" Type="http://schemas.openxmlformats.org/officeDocument/2006/relationships/image" Target="media/image488.png"/><Relationship Id="rId516" Type="http://schemas.openxmlformats.org/officeDocument/2006/relationships/image" Target="media/image489.png"/><Relationship Id="rId517" Type="http://schemas.openxmlformats.org/officeDocument/2006/relationships/image" Target="media/image490.png"/><Relationship Id="rId518" Type="http://schemas.openxmlformats.org/officeDocument/2006/relationships/image" Target="media/image491.png"/><Relationship Id="rId519" Type="http://schemas.openxmlformats.org/officeDocument/2006/relationships/image" Target="media/image492.png"/><Relationship Id="rId520" Type="http://schemas.openxmlformats.org/officeDocument/2006/relationships/image" Target="media/image493.png"/><Relationship Id="rId521" Type="http://schemas.openxmlformats.org/officeDocument/2006/relationships/image" Target="media/image494.png"/><Relationship Id="rId522" Type="http://schemas.openxmlformats.org/officeDocument/2006/relationships/image" Target="media/image495.png"/><Relationship Id="rId523" Type="http://schemas.openxmlformats.org/officeDocument/2006/relationships/image" Target="media/image496.png"/><Relationship Id="rId524" Type="http://schemas.openxmlformats.org/officeDocument/2006/relationships/image" Target="media/image497.png"/><Relationship Id="rId525" Type="http://schemas.openxmlformats.org/officeDocument/2006/relationships/image" Target="media/image498.png"/><Relationship Id="rId526" Type="http://schemas.openxmlformats.org/officeDocument/2006/relationships/image" Target="media/image499.png"/><Relationship Id="rId527" Type="http://schemas.openxmlformats.org/officeDocument/2006/relationships/image" Target="media/image500.png"/><Relationship Id="rId528" Type="http://schemas.openxmlformats.org/officeDocument/2006/relationships/image" Target="media/image501.png"/><Relationship Id="rId529" Type="http://schemas.openxmlformats.org/officeDocument/2006/relationships/image" Target="media/image502.png"/><Relationship Id="rId530" Type="http://schemas.openxmlformats.org/officeDocument/2006/relationships/image" Target="media/image503.png"/><Relationship Id="rId531" Type="http://schemas.openxmlformats.org/officeDocument/2006/relationships/image" Target="media/image504.png"/><Relationship Id="rId532" Type="http://schemas.openxmlformats.org/officeDocument/2006/relationships/image" Target="media/image505.png"/><Relationship Id="rId533" Type="http://schemas.openxmlformats.org/officeDocument/2006/relationships/image" Target="media/image506.png"/><Relationship Id="rId534" Type="http://schemas.openxmlformats.org/officeDocument/2006/relationships/image" Target="media/image507.png"/><Relationship Id="rId535" Type="http://schemas.openxmlformats.org/officeDocument/2006/relationships/image" Target="media/image508.png"/><Relationship Id="rId536" Type="http://schemas.openxmlformats.org/officeDocument/2006/relationships/image" Target="media/image509.png"/><Relationship Id="rId537" Type="http://schemas.openxmlformats.org/officeDocument/2006/relationships/image" Target="media/image510.png"/><Relationship Id="rId538" Type="http://schemas.openxmlformats.org/officeDocument/2006/relationships/image" Target="media/image511.png"/><Relationship Id="rId539" Type="http://schemas.openxmlformats.org/officeDocument/2006/relationships/image" Target="media/image512.png"/><Relationship Id="rId540" Type="http://schemas.openxmlformats.org/officeDocument/2006/relationships/image" Target="media/image513.png"/><Relationship Id="rId541" Type="http://schemas.openxmlformats.org/officeDocument/2006/relationships/image" Target="media/image514.png"/><Relationship Id="rId542" Type="http://schemas.openxmlformats.org/officeDocument/2006/relationships/image" Target="media/image515.png"/><Relationship Id="rId543" Type="http://schemas.openxmlformats.org/officeDocument/2006/relationships/image" Target="media/image516.png"/><Relationship Id="rId544" Type="http://schemas.openxmlformats.org/officeDocument/2006/relationships/image" Target="media/image517.png"/><Relationship Id="rId545" Type="http://schemas.openxmlformats.org/officeDocument/2006/relationships/image" Target="media/image518.png"/><Relationship Id="rId546" Type="http://schemas.openxmlformats.org/officeDocument/2006/relationships/image" Target="media/image519.png"/><Relationship Id="rId547" Type="http://schemas.openxmlformats.org/officeDocument/2006/relationships/image" Target="media/image520.png"/><Relationship Id="rId548" Type="http://schemas.openxmlformats.org/officeDocument/2006/relationships/image" Target="media/image521.png"/><Relationship Id="rId549" Type="http://schemas.openxmlformats.org/officeDocument/2006/relationships/image" Target="media/image522.png"/><Relationship Id="rId550" Type="http://schemas.openxmlformats.org/officeDocument/2006/relationships/image" Target="media/image523.png"/><Relationship Id="rId551" Type="http://schemas.openxmlformats.org/officeDocument/2006/relationships/image" Target="media/image524.png"/><Relationship Id="rId552" Type="http://schemas.openxmlformats.org/officeDocument/2006/relationships/image" Target="media/image525.png"/><Relationship Id="rId553" Type="http://schemas.openxmlformats.org/officeDocument/2006/relationships/image" Target="media/image526.png"/><Relationship Id="rId554" Type="http://schemas.openxmlformats.org/officeDocument/2006/relationships/image" Target="media/image527.png"/><Relationship Id="rId555" Type="http://schemas.openxmlformats.org/officeDocument/2006/relationships/image" Target="media/image528.png"/><Relationship Id="rId556" Type="http://schemas.openxmlformats.org/officeDocument/2006/relationships/image" Target="media/image529.png"/><Relationship Id="rId557" Type="http://schemas.openxmlformats.org/officeDocument/2006/relationships/image" Target="media/image530.png"/><Relationship Id="rId558" Type="http://schemas.openxmlformats.org/officeDocument/2006/relationships/image" Target="media/image531.png"/><Relationship Id="rId559" Type="http://schemas.openxmlformats.org/officeDocument/2006/relationships/image" Target="media/image532.png"/><Relationship Id="rId560" Type="http://schemas.openxmlformats.org/officeDocument/2006/relationships/image" Target="media/image533.png"/><Relationship Id="rId561" Type="http://schemas.openxmlformats.org/officeDocument/2006/relationships/image" Target="media/image534.png"/><Relationship Id="rId562" Type="http://schemas.openxmlformats.org/officeDocument/2006/relationships/image" Target="media/image535.png"/><Relationship Id="rId563" Type="http://schemas.openxmlformats.org/officeDocument/2006/relationships/image" Target="media/image536.png"/><Relationship Id="rId564" Type="http://schemas.openxmlformats.org/officeDocument/2006/relationships/image" Target="media/image537.png"/><Relationship Id="rId565" Type="http://schemas.openxmlformats.org/officeDocument/2006/relationships/image" Target="media/image538.png"/><Relationship Id="rId566" Type="http://schemas.openxmlformats.org/officeDocument/2006/relationships/image" Target="media/image539.png"/><Relationship Id="rId567" Type="http://schemas.openxmlformats.org/officeDocument/2006/relationships/image" Target="media/image540.png"/><Relationship Id="rId568" Type="http://schemas.openxmlformats.org/officeDocument/2006/relationships/image" Target="media/image541.png"/><Relationship Id="rId569" Type="http://schemas.openxmlformats.org/officeDocument/2006/relationships/image" Target="media/image542.png"/><Relationship Id="rId570" Type="http://schemas.openxmlformats.org/officeDocument/2006/relationships/image" Target="media/image543.png"/><Relationship Id="rId571" Type="http://schemas.openxmlformats.org/officeDocument/2006/relationships/image" Target="media/image544.png"/><Relationship Id="rId572" Type="http://schemas.openxmlformats.org/officeDocument/2006/relationships/image" Target="media/image545.png"/><Relationship Id="rId573" Type="http://schemas.openxmlformats.org/officeDocument/2006/relationships/image" Target="media/image546.png"/><Relationship Id="rId574" Type="http://schemas.openxmlformats.org/officeDocument/2006/relationships/image" Target="media/image547.png"/><Relationship Id="rId575" Type="http://schemas.openxmlformats.org/officeDocument/2006/relationships/image" Target="media/image548.png"/><Relationship Id="rId576" Type="http://schemas.openxmlformats.org/officeDocument/2006/relationships/image" Target="media/image549.png"/><Relationship Id="rId577" Type="http://schemas.openxmlformats.org/officeDocument/2006/relationships/image" Target="media/image550.png"/><Relationship Id="rId386" Type="http://schemas.openxmlformats.org/officeDocument/2006/relationships/hyperlink" Target="http://www.sec.gov/Archives/edgar/data/0001662579/000119312520243234/d772024dex31.htm" TargetMode="External"/><Relationship Id="rId387" Type="http://schemas.openxmlformats.org/officeDocument/2006/relationships/hyperlink" Target="http://www.sec.gov/Archives/edgar/data/0001662579/000119312520243234/d772024dex33.htm" TargetMode="External"/><Relationship Id="rId388" Type="http://schemas.openxmlformats.org/officeDocument/2006/relationships/hyperlink" Target="http://www.sec.gov/Archives/edgar/data/0001662579/000119312520243234/d772024dex34.htm" TargetMode="External"/><Relationship Id="rId389" Type="http://schemas.openxmlformats.org/officeDocument/2006/relationships/hyperlink" Target="http://www.sec.gov/Archives/edgar/data/0001662579/000119312520243234/d772024dex35.htm" TargetMode="External"/><Relationship Id="rId390" Type="http://schemas.openxmlformats.org/officeDocument/2006/relationships/hyperlink" Target="http://www.sec.gov/Archives/edgar/data/0001662579/000119312520243234/d772024dex41.htm" TargetMode="External"/><Relationship Id="rId391" Type="http://schemas.openxmlformats.org/officeDocument/2006/relationships/hyperlink" Target="http://www.sec.gov/Archives/edgar/data/0001662579/000119312520243234/d772024dex42.htm" TargetMode="External"/><Relationship Id="rId392" Type="http://schemas.openxmlformats.org/officeDocument/2006/relationships/hyperlink" Target="http://www.sec.gov/Archives/edgar/data/0001662579/000119312520243234/d772024dex101.htm" TargetMode="External"/><Relationship Id="rId393" Type="http://schemas.openxmlformats.org/officeDocument/2006/relationships/hyperlink" Target="http://www.sec.gov/Archives/edgar/data/0001662579/000119312520243234/d772024dex104.htm" TargetMode="External"/><Relationship Id="rId394" Type="http://schemas.openxmlformats.org/officeDocument/2006/relationships/hyperlink" Target="http://www.sec.gov/Archives/edgar/data/0001662579/000119312520243234/d772024dex105.htm" TargetMode="External"/><Relationship Id="rId395" Type="http://schemas.openxmlformats.org/officeDocument/2006/relationships/hyperlink" Target="http://www.sec.gov/Archives/edgar/data/0001662579/000119312520243234/d772024dex106.htm" TargetMode="External"/><Relationship Id="rId396" Type="http://schemas.openxmlformats.org/officeDocument/2006/relationships/hyperlink" Target="http://www.sec.gov/Archives/edgar/data/0001662579/000119312520243234/d772024dex107.htm" TargetMode="External"/><Relationship Id="rId397" Type="http://schemas.openxmlformats.org/officeDocument/2006/relationships/hyperlink" Target="http://www.sec.gov/Archives/edgar/data/0001662579/000119312520243234/d772024dex108.htm" TargetMode="External"/><Relationship Id="rId398" Type="http://schemas.openxmlformats.org/officeDocument/2006/relationships/hyperlink" Target="http://www.sec.gov/Archives/edgar/data/0001662579/000119312520243234/d772024dex109.htm" TargetMode="External"/><Relationship Id="rId399" Type="http://schemas.openxmlformats.org/officeDocument/2006/relationships/hyperlink" Target="http://www.sec.gov/Archives/edgar/data/0001662579/000119312520243234/d772024dex1010.htm" TargetMode="External"/><Relationship Id="rId400" Type="http://schemas.openxmlformats.org/officeDocument/2006/relationships/hyperlink" Target="http://www.sec.gov/Archives/edgar/data/0001662579/000119312520243234/d772024dex1011.htm" TargetMode="External"/><Relationship Id="rId401" Type="http://schemas.openxmlformats.org/officeDocument/2006/relationships/hyperlink" Target="http://www.sec.gov/Archives/edgar/data/0001662579/000119312520243234/d772024dex1012.htm" TargetMode="External"/><Relationship Id="rId402" Type="http://schemas.openxmlformats.org/officeDocument/2006/relationships/hyperlink" Target="http://www.sec.gov/Archives/edgar/data/0001662579/000119312520243234/d772024dex1013.htm" TargetMode="External"/><Relationship Id="rId403" Type="http://schemas.openxmlformats.org/officeDocument/2006/relationships/hyperlink" Target="http://www.sec.gov/Archives/edgar/data/0001662579/000119312520243234/d772024dex1014.htm" TargetMode="External"/><Relationship Id="rId404" Type="http://schemas.openxmlformats.org/officeDocument/2006/relationships/hyperlink" Target="http://www.sec.gov/Archives/edgar/data/0001662579/000119312520243234/d772024dex211.htm" TargetMode="External"/><Relationship Id="rId405" Type="http://schemas.openxmlformats.org/officeDocument/2006/relationships/hyperlink" Target="http://www.sec.gov/Archives/edgar/data/1662579/000119312520243234/d772024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2020-09-28T05:34:03Z</dcterms:created>
  <dcterms:modified xsi:type="dcterms:W3CDTF">2020-09-28T05:34:03Z</dcterms:modified>
</cp:coreProperties>
</file>