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212529"/>
        </w:rPr>
        <w:drawing>
          <wp:anchor simplePos="0" relativeHeight="251657728" behindDoc="1" locked="0" layoutInCell="0" allowOverlap="1">
            <wp:simplePos x="0" y="0"/>
            <wp:positionH relativeFrom="page">
              <wp:posOffset>200025</wp:posOffset>
            </wp:positionH>
            <wp:positionV relativeFrom="page">
              <wp:posOffset>681990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701675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12529"/>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12529"/>
        </w:rPr>
        <w:t>WASHINGTON, D.C. 20549</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12529"/>
        </w:rPr>
        <w:t>FORM 8-K</w:t>
      </w:r>
    </w:p>
    <w:p>
      <w:pPr>
        <w:spacing w:after="0" w:line="45"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12529"/>
        </w:rPr>
        <w:t>CURRENT REPORT</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12529"/>
        </w:rPr>
        <w:t>Pursuant to Section 13 or 15(d) of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12529"/>
        </w:rPr>
        <w:t>Date of Report (Date of earliest event reported): April 10, 2026 (April 9, 2026)</w:t>
      </w:r>
    </w:p>
    <w:p>
      <w:pPr>
        <w:spacing w:after="0" w:line="23"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212529"/>
        </w:rPr>
        <w:t>C4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212529"/>
        </w:rPr>
        <w:t>(Exact name of Registrant as Specified in Its Charter)</w:t>
      </w:r>
    </w:p>
    <w:p>
      <w:pPr>
        <w:spacing w:after="0" w:line="8" w:lineRule="exact"/>
        <w:rPr>
          <w:sz w:val="24"/>
          <w:szCs w:val="24"/>
          <w:color w:val="auto"/>
        </w:rPr>
      </w:pPr>
    </w:p>
    <w:p>
      <w:pPr>
        <w:ind w:left="4100"/>
        <w:spacing w:after="0"/>
        <w:rPr>
          <w:sz w:val="20"/>
          <w:szCs w:val="20"/>
          <w:color w:val="auto"/>
        </w:rPr>
      </w:pPr>
      <w:r>
        <w:rPr>
          <w:rFonts w:ascii="Arial" w:cs="Arial" w:eastAsia="Arial" w:hAnsi="Arial"/>
          <w:sz w:val="8"/>
          <w:szCs w:val="8"/>
          <w:color w:val="auto"/>
        </w:rPr>
        <w:t>_________________________________________________________________</w:t>
      </w:r>
    </w:p>
    <w:p>
      <w:pPr>
        <w:sectPr>
          <w:pgSz w:w="11900" w:h="16838" w:orient="portrait"/>
          <w:cols w:equalWidth="0" w:num="1">
            <w:col w:w="11260"/>
          </w:cols>
          <w:pgMar w:left="300" w:top="1332" w:right="339" w:bottom="1440" w:gutter="0" w:footer="0" w:header="0"/>
        </w:sectPr>
      </w:pPr>
    </w:p>
    <w:p>
      <w:pPr>
        <w:spacing w:after="0" w:line="218"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9"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53"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490 Arsenal Way,  Suite 120</w:t>
      </w:r>
    </w:p>
    <w:p>
      <w:pPr>
        <w:spacing w:after="0" w:line="6" w:lineRule="exact"/>
        <w:rPr>
          <w:sz w:val="24"/>
          <w:szCs w:val="24"/>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Watertown, MA</w:t>
      </w:r>
    </w:p>
    <w:p>
      <w:pPr>
        <w:spacing w:after="0" w:line="2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001-39567</w:t>
      </w:r>
    </w:p>
    <w:p>
      <w:pPr>
        <w:spacing w:after="0" w:line="1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1"/>
          <w:szCs w:val="11"/>
          <w:b w:val="1"/>
          <w:bCs w:val="1"/>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3"/>
          <w:szCs w:val="13"/>
          <w:b w:val="1"/>
          <w:bCs w:val="1"/>
          <w:color w:val="212529"/>
        </w:rPr>
        <w:t>Registrant’s Telephone Number, Including Area Code: (617) 231-0700</w:t>
      </w:r>
    </w:p>
    <w:p>
      <w:pPr>
        <w:spacing w:after="0" w:line="19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212529"/>
        </w:rPr>
        <w:t>Not Applicable</w:t>
      </w:r>
    </w:p>
    <w:p>
      <w:pPr>
        <w:spacing w:after="0" w:line="2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1"/>
          <w:szCs w:val="11"/>
          <w:b w:val="1"/>
          <w:bCs w:val="1"/>
          <w:color w:val="212529"/>
        </w:rPr>
        <w:t>(Former Name or Former Address, if Changed Since Last Report)</w:t>
      </w:r>
    </w:p>
    <w:p>
      <w:pPr>
        <w:spacing w:after="0" w:line="8" w:lineRule="exact"/>
        <w:rPr>
          <w:sz w:val="24"/>
          <w:szCs w:val="24"/>
          <w:color w:val="auto"/>
        </w:rPr>
      </w:pPr>
    </w:p>
    <w:p>
      <w:pPr>
        <w:ind w:left="560"/>
        <w:spacing w:after="0"/>
        <w:rPr>
          <w:sz w:val="20"/>
          <w:szCs w:val="20"/>
          <w:color w:val="auto"/>
        </w:rPr>
      </w:pPr>
      <w:r>
        <w:rPr>
          <w:rFonts w:ascii="Arial" w:cs="Arial" w:eastAsia="Arial" w:hAnsi="Arial"/>
          <w:sz w:val="8"/>
          <w:szCs w:val="8"/>
          <w:color w:val="auto"/>
        </w:rPr>
        <w:t>_________________________________________________________________</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47-5617627</w:t>
      </w:r>
    </w:p>
    <w:p>
      <w:pPr>
        <w:spacing w:after="0" w:line="4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80"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02472</w:t>
      </w:r>
    </w:p>
    <w:p>
      <w:pPr>
        <w:spacing w:after="0" w:line="4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204" w:lineRule="exact"/>
        <w:rPr>
          <w:sz w:val="24"/>
          <w:szCs w:val="24"/>
          <w:color w:val="auto"/>
        </w:rPr>
      </w:pPr>
    </w:p>
    <w:p>
      <w:pPr>
        <w:sectPr>
          <w:pgSz w:w="11900" w:h="16838" w:orient="portrait"/>
          <w:cols w:equalWidth="0" w:num="3">
            <w:col w:w="2860" w:space="680"/>
            <w:col w:w="4700" w:space="720"/>
            <w:col w:w="2300"/>
          </w:cols>
          <w:pgMar w:left="300" w:top="133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212529"/>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72" w:lineRule="exact"/>
        <w:rPr>
          <w:rFonts w:ascii="Wingdings" w:cs="Wingdings" w:eastAsia="Wingdings" w:hAnsi="Wingdings"/>
          <w:sz w:val="14"/>
          <w:szCs w:val="14"/>
          <w:b w:val="1"/>
          <w:bCs w:val="1"/>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72" w:lineRule="exact"/>
        <w:rPr>
          <w:rFonts w:ascii="Wingdings" w:cs="Wingdings" w:eastAsia="Wingdings" w:hAnsi="Wingdings"/>
          <w:sz w:val="14"/>
          <w:szCs w:val="14"/>
          <w:b w:val="1"/>
          <w:bCs w:val="1"/>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72" w:lineRule="exact"/>
        <w:rPr>
          <w:rFonts w:ascii="Wingdings" w:cs="Wingdings" w:eastAsia="Wingdings" w:hAnsi="Wingdings"/>
          <w:sz w:val="14"/>
          <w:szCs w:val="14"/>
          <w:b w:val="1"/>
          <w:bCs w:val="1"/>
          <w:color w:val="auto"/>
        </w:rPr>
      </w:pPr>
    </w:p>
    <w:p>
      <w:pPr>
        <w:ind w:left="600" w:hanging="581"/>
        <w:spacing w:after="0"/>
        <w:tabs>
          <w:tab w:leader="none" w:pos="60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12529"/>
        </w:rPr>
        <w:t>Securities registered pursuant to Section 12(b) of the Act:</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vMerge w:val="restart"/>
          </w:tcPr>
          <w:p>
            <w:pPr>
              <w:spacing w:after="0"/>
              <w:rPr>
                <w:sz w:val="10"/>
                <w:szCs w:val="10"/>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44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3"/>
        </w:trPr>
        <w:tc>
          <w:tcPr>
            <w:tcW w:w="44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3"/>
                <w:szCs w:val="13"/>
                <w:color w:val="auto"/>
              </w:rPr>
            </w:pPr>
          </w:p>
        </w:tc>
        <w:tc>
          <w:tcPr>
            <w:tcW w:w="4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CCCC</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262" w:lineRule="exact"/>
        <w:rPr>
          <w:sz w:val="24"/>
          <w:szCs w:val="24"/>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212529"/>
        </w:rPr>
        <w:t>Indicate by check mark whether the registrant is an emerging growth company as defined in Rule 405 of the Securities Act of 1933 (§ 230.405 of this chapter) or Rule 12b-2 of the Securities Exchange Act of 1934 (§ 240.12b-2 of this chapter).</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Emerging growth company </w:t>
      </w:r>
      <w:r>
        <w:rPr>
          <w:rFonts w:ascii="Wingdings" w:cs="Wingdings" w:eastAsia="Wingdings" w:hAnsi="Wingdings"/>
          <w:sz w:val="14"/>
          <w:szCs w:val="14"/>
          <w:b w:val="1"/>
          <w:bCs w:val="1"/>
          <w:color w:val="212529"/>
        </w:rPr>
        <w:t>o</w:t>
      </w:r>
    </w:p>
    <w:p>
      <w:pPr>
        <w:spacing w:after="0" w:line="179" w:lineRule="exact"/>
        <w:rPr>
          <w:sz w:val="24"/>
          <w:szCs w:val="24"/>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628015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60"/>
          </w:cols>
          <w:pgMar w:left="300" w:top="13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212529"/>
        </w:rPr>
        <w:t xml:space="preserve">Item 5.03 </w:t>
      </w:r>
      <w:r>
        <w:rPr>
          <w:rFonts w:ascii="Times New Roman" w:cs="Times New Roman" w:eastAsia="Times New Roman" w:hAnsi="Times New Roman"/>
          <w:sz w:val="14"/>
          <w:szCs w:val="14"/>
          <w:b w:val="1"/>
          <w:bCs w:val="1"/>
          <w:color w:val="000000"/>
        </w:rPr>
        <w:t>Amendments to Articles of Incorporation or By-laws; Change in Fiscal Year.</w:t>
      </w:r>
    </w:p>
    <w:p>
      <w:pPr>
        <w:spacing w:after="0" w:line="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April 9, 2026, the Board of Directors (the “Board”) of C4 Therapeutics, Inc. (the “Company”) approved an amendment to the Company’s second amended and restated by-laws (the “By-laws Amendment”), effective immediately, to designate the United States District Court for the District of Massachusetts and the United States District Court for the District of Delaware as the exclusive forums for resolving any complaint asserting a cause of action arising under the Securities Act of 1933, as amended, the Securities Exchange Act of 1934, as amended, or the respective rules and regulations promulgated thereunder, unless the Company consents in writing to the selection of an alternative forum. The Board approved the By-laws Amendment in response to recent amendments to the Generate Corporation Law of the State of Delaware regarding such forum selection provisions.</w:t>
      </w:r>
    </w:p>
    <w:p>
      <w:pPr>
        <w:spacing w:after="0" w:line="5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By-laws Amendment does not purport to be complete and is qualified in its entirety by reference to the full text of the By-laws Amendment, a copy of which is filed as Exhibit 3.1 to this Current Report on Form 8-K and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Item 9.01 Financial Statements and Exhibits.</w:t>
      </w:r>
    </w:p>
    <w:p>
      <w:pPr>
        <w:spacing w:after="0" w:line="181" w:lineRule="exact"/>
        <w:rPr>
          <w:sz w:val="20"/>
          <w:szCs w:val="20"/>
          <w:color w:val="auto"/>
        </w:rPr>
      </w:pPr>
    </w:p>
    <w:p>
      <w:pPr>
        <w:ind w:firstLine="5"/>
        <w:spacing w:after="0" w:line="287" w:lineRule="auto"/>
        <w:tabs>
          <w:tab w:leader="none" w:pos="200" w:val="left"/>
        </w:tabs>
        <w:numPr>
          <w:ilvl w:val="0"/>
          <w:numId w:val="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u w:val="single" w:color="auto"/>
          <w:color w:val="212529"/>
        </w:rPr>
        <w:t>Exhibits</w:t>
      </w:r>
      <w:r>
        <w:rPr>
          <w:rFonts w:ascii="Times New Roman" w:cs="Times New Roman" w:eastAsia="Times New Roman" w:hAnsi="Times New Roman"/>
          <w:sz w:val="14"/>
          <w:szCs w:val="14"/>
          <w:color w:val="212529"/>
        </w:rPr>
        <w:t>. The exhibits shall be deemed to be filed or furnished, depending on the relevant item requiring such exhibit, in accordance with the provisions of Item 601 of Regulation S-K (17 CFR 229.601) and Instruction B.2 to this form.</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20" w:type="dxa"/>
            <w:vAlign w:val="bottom"/>
          </w:tcPr>
          <w:p>
            <w:pPr>
              <w:spacing w:after="0"/>
              <w:rPr>
                <w:sz w:val="11"/>
                <w:szCs w:val="11"/>
                <w:color w:val="auto"/>
              </w:rPr>
            </w:pPr>
          </w:p>
        </w:tc>
        <w:tc>
          <w:tcPr>
            <w:tcW w:w="10300" w:type="dxa"/>
            <w:vAlign w:val="bottom"/>
            <w:gridSpan w:val="2"/>
            <w:vMerge w:val="restart"/>
          </w:tcPr>
          <w:p>
            <w:pPr>
              <w:ind w:left="48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300" w:type="dxa"/>
            <w:vAlign w:val="bottom"/>
            <w:tcBorders>
              <w:bottom w:val="single" w:sz="8" w:color="auto"/>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Amendment No. 1 to Second Amended and Restated By-laws of C4 Therapeutics, Inc.</w:t>
            </w:r>
          </w:p>
        </w:tc>
        <w:tc>
          <w:tcPr>
            <w:tcW w:w="5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r>
        <w:trPr>
          <w:trHeight w:val="797"/>
        </w:trPr>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 w:name="page3"/>
    <w:bookmarkEnd w:id="2"/>
    <w:p>
      <w:pPr>
        <w:ind w:left="5180"/>
        <w:spacing w:after="0"/>
        <w:rPr>
          <w:sz w:val="20"/>
          <w:szCs w:val="20"/>
          <w:color w:val="auto"/>
        </w:rPr>
      </w:pPr>
      <w:r>
        <w:rPr>
          <w:rFonts w:ascii="Times New Roman" w:cs="Times New Roman" w:eastAsia="Times New Roman" w:hAnsi="Times New Roman"/>
          <w:sz w:val="14"/>
          <w:szCs w:val="14"/>
          <w:b w:val="1"/>
          <w:bCs w:val="1"/>
          <w:color w:val="212529"/>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Pursuant to the requirements of the Securities Exchange Act of 1934, the registrant has duly caused this report to be signed on its behalf by the undersigned thereunto duly authorized.</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C4 Therapeutics, Inc.</w:t>
      </w:r>
    </w:p>
    <w:p>
      <w:pPr>
        <w:spacing w:after="0" w:line="285" w:lineRule="exact"/>
        <w:rPr>
          <w:sz w:val="20"/>
          <w:szCs w:val="20"/>
          <w:color w:val="auto"/>
        </w:rPr>
      </w:pPr>
    </w:p>
    <w:p>
      <w:pPr>
        <w:ind w:left="20"/>
        <w:spacing w:after="0"/>
        <w:tabs>
          <w:tab w:leader="none" w:pos="5420" w:val="left"/>
          <w:tab w:leader="none" w:pos="5820" w:val="left"/>
        </w:tabs>
        <w:rPr>
          <w:sz w:val="20"/>
          <w:szCs w:val="20"/>
          <w:color w:val="auto"/>
        </w:rPr>
      </w:pPr>
      <w:r>
        <w:rPr>
          <w:rFonts w:ascii="Times New Roman" w:cs="Times New Roman" w:eastAsia="Times New Roman" w:hAnsi="Times New Roman"/>
          <w:sz w:val="14"/>
          <w:szCs w:val="14"/>
          <w:color w:val="auto"/>
        </w:rPr>
        <w:t xml:space="preserve">Date: </w:t>
      </w:r>
      <w:r>
        <w:rPr>
          <w:rFonts w:ascii="Times New Roman" w:cs="Times New Roman" w:eastAsia="Times New Roman" w:hAnsi="Times New Roman"/>
          <w:sz w:val="14"/>
          <w:szCs w:val="14"/>
          <w:color w:val="212529"/>
        </w:rPr>
        <w:t>April 10, 2026</w:t>
      </w:r>
      <w:r>
        <w:rPr>
          <w:sz w:val="20"/>
          <w:szCs w:val="20"/>
          <w:color w:val="auto"/>
        </w:rPr>
        <w:tab/>
      </w:r>
      <w:r>
        <w:rPr>
          <w:rFonts w:ascii="Times New Roman" w:cs="Times New Roman" w:eastAsia="Times New Roman" w:hAnsi="Times New Roman"/>
          <w:sz w:val="14"/>
          <w:szCs w:val="14"/>
          <w:color w:val="auto"/>
        </w:rPr>
        <w:t>By:</w:t>
        <w:tab/>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34925</wp:posOffset>
            </wp:positionV>
            <wp:extent cx="34493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49320" cy="6985"/>
                    </a:xfrm>
                    <a:prstGeom prst="rect">
                      <a:avLst/>
                    </a:prstGeom>
                    <a:noFill/>
                  </pic:spPr>
                </pic:pic>
              </a:graphicData>
            </a:graphic>
          </wp:anchor>
        </w:drawing>
      </w:r>
    </w:p>
    <w:p>
      <w:pPr>
        <w:spacing w:after="0" w:line="6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Kendra R. Adams</w:t>
      </w:r>
    </w:p>
    <w:p>
      <w:pPr>
        <w:spacing w:after="0" w:line="7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sectPr>
          <w:pgSz w:w="11900" w:h="16838" w:orient="portrait"/>
          <w:cols w:equalWidth="0" w:num="1">
            <w:col w:w="10320"/>
          </w:cols>
          <w:pgMar w:left="300" w:top="929" w:right="12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2026-04-10T06:19:45Z</dcterms:created>
  <dcterms:modified xsi:type="dcterms:W3CDTF">2026-04-10T06:19:45Z</dcterms:modified>
</cp:coreProperties>
</file>