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212529"/>
        </w:rPr>
        <w:drawing>
          <wp:anchor simplePos="0" relativeHeight="251657728" behindDoc="1" locked="0" layoutInCell="0" allowOverlap="1">
            <wp:simplePos x="0" y="0"/>
            <wp:positionH relativeFrom="page">
              <wp:posOffset>191135</wp:posOffset>
            </wp:positionH>
            <wp:positionV relativeFrom="page">
              <wp:posOffset>591820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608965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212529"/>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WASHINGTON, D.C. 20549</w:t>
      </w:r>
    </w:p>
    <w:p>
      <w:pPr>
        <w:spacing w:after="0" w:line="5" w:lineRule="exact"/>
        <w:rPr>
          <w:sz w:val="24"/>
          <w:szCs w:val="24"/>
          <w:color w:val="auto"/>
        </w:rPr>
      </w:pPr>
    </w:p>
    <w:p>
      <w:pPr>
        <w:ind w:left="434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FORM 8-K</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CURRENT REPORT</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Pursuant to Section 13 or 15(d) of the Securities Exchange Act of 1934</w:t>
      </w:r>
    </w:p>
    <w:p>
      <w:pPr>
        <w:sectPr>
          <w:pgSz w:w="11900" w:h="16838" w:orient="portrait"/>
          <w:cols w:equalWidth="0" w:num="1">
            <w:col w:w="11280"/>
          </w:cols>
          <w:pgMar w:left="300" w:top="1152"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36"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0"/>
          <w:szCs w:val="10"/>
          <w:b w:val="1"/>
          <w:bCs w:val="1"/>
          <w:color w:val="auto"/>
        </w:rPr>
        <w:t>(State or Other Jurisdiction</w:t>
      </w:r>
    </w:p>
    <w:p>
      <w:pPr>
        <w:jc w:val="center"/>
        <w:ind w:left="620"/>
        <w:spacing w:after="0" w:line="236" w:lineRule="auto"/>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39"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2"/>
          <w:szCs w:val="12"/>
          <w:b w:val="1"/>
          <w:bCs w:val="1"/>
          <w:color w:val="auto"/>
        </w:rPr>
        <w:t>490 Arsenal Way,  Suite 120</w:t>
      </w:r>
    </w:p>
    <w:p>
      <w:pPr>
        <w:spacing w:after="0" w:line="4"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2"/>
          <w:szCs w:val="12"/>
          <w:b w:val="1"/>
          <w:bCs w:val="1"/>
          <w:color w:val="auto"/>
        </w:rPr>
        <w:t>Watertown, MA</w:t>
      </w:r>
    </w:p>
    <w:p>
      <w:pPr>
        <w:spacing w:after="0" w:line="15"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2"/>
          <w:szCs w:val="12"/>
          <w:b w:val="1"/>
          <w:bCs w:val="1"/>
          <w:color w:val="212529"/>
        </w:rPr>
        <w:t>Date of Report (Date of earliest event reported): June 11, 2026</w:t>
      </w:r>
    </w:p>
    <w:p>
      <w:pPr>
        <w:spacing w:after="0" w:line="19" w:lineRule="exact"/>
        <w:rPr>
          <w:sz w:val="24"/>
          <w:szCs w:val="24"/>
          <w:color w:val="auto"/>
        </w:rPr>
      </w:pPr>
    </w:p>
    <w:p>
      <w:pPr>
        <w:ind w:left="48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12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29"/>
          <w:szCs w:val="29"/>
          <w:b w:val="1"/>
          <w:bCs w:val="1"/>
          <w:color w:val="212529"/>
        </w:rPr>
        <w:t>C4 THERAPEUTICS, INC.</w:t>
      </w:r>
    </w:p>
    <w:p>
      <w:pPr>
        <w:spacing w:after="0" w:line="36"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0"/>
          <w:szCs w:val="10"/>
          <w:b w:val="1"/>
          <w:bCs w:val="1"/>
          <w:color w:val="212529"/>
        </w:rPr>
        <w:t>(Exact name of Registrant as Specified in Its Charter)</w:t>
      </w:r>
    </w:p>
    <w:p>
      <w:pPr>
        <w:ind w:left="48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18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001-39567</w:t>
      </w:r>
    </w:p>
    <w:p>
      <w:pPr>
        <w:spacing w:after="0" w:line="1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0"/>
          <w:szCs w:val="10"/>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1"/>
          <w:szCs w:val="11"/>
          <w:b w:val="1"/>
          <w:bCs w:val="1"/>
          <w:color w:val="212529"/>
        </w:rPr>
        <w:t>Registrant’s Telephone Number, Including Area Code: (617) 231-0700</w:t>
      </w:r>
    </w:p>
    <w:p>
      <w:pPr>
        <w:spacing w:after="0" w:line="16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2"/>
          <w:szCs w:val="12"/>
          <w:b w:val="1"/>
          <w:bCs w:val="1"/>
          <w:color w:val="212529"/>
        </w:rPr>
        <w:t>Not Applicable</w:t>
      </w:r>
    </w:p>
    <w:p>
      <w:pPr>
        <w:spacing w:after="0" w:line="1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0"/>
          <w:szCs w:val="10"/>
          <w:b w:val="1"/>
          <w:bCs w:val="1"/>
          <w:color w:val="212529"/>
        </w:rPr>
        <w:t>(Former Name or Former Address, if Changed Since Last Report)</w:t>
      </w:r>
    </w:p>
    <w:p>
      <w:pPr>
        <w:ind w:left="48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2"/>
          <w:szCs w:val="12"/>
          <w:b w:val="1"/>
          <w:bCs w:val="1"/>
          <w:color w:val="auto"/>
        </w:rPr>
        <w:t>47-5617627</w:t>
      </w:r>
    </w:p>
    <w:p>
      <w:pPr>
        <w:spacing w:after="0" w:line="3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50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68"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2"/>
          <w:szCs w:val="12"/>
          <w:b w:val="1"/>
          <w:bCs w:val="1"/>
          <w:color w:val="auto"/>
        </w:rPr>
        <w:t>02472</w:t>
      </w:r>
    </w:p>
    <w:p>
      <w:pPr>
        <w:spacing w:after="0" w:line="40"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1015" w:lineRule="exact"/>
        <w:rPr>
          <w:sz w:val="24"/>
          <w:szCs w:val="24"/>
          <w:color w:val="auto"/>
        </w:rPr>
      </w:pPr>
    </w:p>
    <w:p>
      <w:pPr>
        <w:sectPr>
          <w:pgSz w:w="11900" w:h="16838" w:orient="portrait"/>
          <w:cols w:equalWidth="0" w:num="3">
            <w:col w:w="3140" w:space="720"/>
            <w:col w:w="4460" w:space="720"/>
            <w:col w:w="2240"/>
          </w:cols>
          <w:pgMar w:left="300" w:top="115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212529"/>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0" w:lineRule="exact"/>
        <w:rPr>
          <w:rFonts w:ascii="Wingdings" w:cs="Wingdings" w:eastAsia="Wingdings" w:hAnsi="Wingdings"/>
          <w:sz w:val="12"/>
          <w:szCs w:val="12"/>
          <w:b w:val="1"/>
          <w:bCs w:val="1"/>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0" w:lineRule="exact"/>
        <w:rPr>
          <w:rFonts w:ascii="Wingdings" w:cs="Wingdings" w:eastAsia="Wingdings" w:hAnsi="Wingdings"/>
          <w:sz w:val="12"/>
          <w:szCs w:val="12"/>
          <w:b w:val="1"/>
          <w:bCs w:val="1"/>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0" w:lineRule="exact"/>
        <w:rPr>
          <w:rFonts w:ascii="Wingdings" w:cs="Wingdings" w:eastAsia="Wingdings" w:hAnsi="Wingdings"/>
          <w:sz w:val="12"/>
          <w:szCs w:val="12"/>
          <w:b w:val="1"/>
          <w:bCs w:val="1"/>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212529"/>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80" w:type="dxa"/>
            <w:vAlign w:val="bottom"/>
            <w:vMerge w:val="restart"/>
          </w:tcPr>
          <w:p>
            <w:pPr>
              <w:spacing w:after="0"/>
              <w:rPr>
                <w:sz w:val="10"/>
                <w:szCs w:val="10"/>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129"/>
        </w:trPr>
        <w:tc>
          <w:tcPr>
            <w:tcW w:w="44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80" w:type="dxa"/>
            <w:vAlign w:val="bottom"/>
          </w:tcPr>
          <w:p>
            <w:pPr>
              <w:spacing w:after="0"/>
              <w:rPr>
                <w:sz w:val="11"/>
                <w:szCs w:val="11"/>
                <w:color w:val="auto"/>
              </w:rPr>
            </w:pPr>
          </w:p>
        </w:tc>
        <w:tc>
          <w:tcPr>
            <w:tcW w:w="4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CCCC</w:t>
            </w:r>
          </w:p>
        </w:tc>
        <w:tc>
          <w:tcPr>
            <w:tcW w:w="4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c>
          <w:tcPr>
            <w:tcW w:w="0" w:type="dxa"/>
            <w:vAlign w:val="bottom"/>
          </w:tcPr>
          <w:p>
            <w:pPr>
              <w:spacing w:after="0"/>
              <w:rPr>
                <w:sz w:val="1"/>
                <w:szCs w:val="1"/>
                <w:color w:val="auto"/>
              </w:rPr>
            </w:pPr>
          </w:p>
        </w:tc>
      </w:tr>
    </w:tbl>
    <w:p>
      <w:pPr>
        <w:spacing w:after="0" w:line="223" w:lineRule="exact"/>
        <w:rPr>
          <w:sz w:val="24"/>
          <w:szCs w:val="24"/>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212529"/>
        </w:rPr>
        <w:t xml:space="preserve">Emerging growth company </w:t>
      </w:r>
      <w:r>
        <w:rPr>
          <w:rFonts w:ascii="Wingdings" w:cs="Wingdings" w:eastAsia="Wingdings" w:hAnsi="Wingdings"/>
          <w:sz w:val="12"/>
          <w:szCs w:val="12"/>
          <w:b w:val="1"/>
          <w:bCs w:val="1"/>
          <w:color w:val="212529"/>
        </w:rPr>
        <w:t>o</w:t>
      </w:r>
    </w:p>
    <w:p>
      <w:pPr>
        <w:spacing w:after="0" w:line="150"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212529"/>
        </w:rPr>
        <w:t>Item 7.01 Regulation FD Disclosure.</w:t>
      </w:r>
    </w:p>
    <w:p>
      <w:pPr>
        <w:spacing w:after="0" w:line="82" w:lineRule="exact"/>
        <w:rPr>
          <w:sz w:val="20"/>
          <w:szCs w:val="20"/>
          <w:color w:val="auto"/>
        </w:rPr>
      </w:pPr>
    </w:p>
    <w:p>
      <w:pPr>
        <w:ind w:left="8" w:right="220"/>
        <w:spacing w:after="0" w:line="279" w:lineRule="auto"/>
        <w:rPr>
          <w:sz w:val="20"/>
          <w:szCs w:val="20"/>
          <w:color w:val="auto"/>
        </w:rPr>
      </w:pPr>
      <w:r>
        <w:rPr>
          <w:rFonts w:ascii="Times New Roman" w:cs="Times New Roman" w:eastAsia="Times New Roman" w:hAnsi="Times New Roman"/>
          <w:sz w:val="12"/>
          <w:szCs w:val="12"/>
          <w:color w:val="auto"/>
        </w:rPr>
        <w:t>On June 11, 2026, C4 Therapeutics, Inc. (the “Company”) posted a a corporate presentation on its website at https://ir.c4therapeutics.com/events-presentations. A copy of the presentation is furnished herewith as Exhibit 99.1 to this Current Report on Form 8-K.</w:t>
      </w:r>
    </w:p>
    <w:p>
      <w:pPr>
        <w:spacing w:after="0" w:line="39" w:lineRule="exact"/>
        <w:rPr>
          <w:sz w:val="20"/>
          <w:szCs w:val="20"/>
          <w:color w:val="auto"/>
        </w:rPr>
      </w:pPr>
    </w:p>
    <w:p>
      <w:pPr>
        <w:ind w:left="8" w:right="180"/>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7.01 of this Current Report on Form 8-K and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 The furnishing of this information hereby shall not be deemed an admission as to the materiality of any such information.</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82"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On June 11, 2026, the Company posted on its website a poster presentation with further analysis from its fully enrolled Phase 1 trial of cemsidomide, a next-generation oral IKZF1/3 degrader, in combination with dexamethasone for the treatment of relapsed/refractory multiple myeloma (“RRMM”), to be presented at the European Hematology Association 2026 Congress (“EHA 2026 Congress”). A copy of the poster presentation, which has been published to the “Events &amp; Presentations” section of the Company’s website, is filed as Exhibit 99.2 to this Current Report on Form 8-K and is incorporated herein by reference.</w:t>
      </w:r>
    </w:p>
    <w:p>
      <w:pPr>
        <w:spacing w:after="0" w:line="47" w:lineRule="exact"/>
        <w:rPr>
          <w:sz w:val="20"/>
          <w:szCs w:val="20"/>
          <w:color w:val="auto"/>
        </w:rPr>
      </w:pPr>
    </w:p>
    <w:p>
      <w:pPr>
        <w:ind w:left="8" w:right="240"/>
        <w:spacing w:after="0" w:line="279" w:lineRule="auto"/>
        <w:rPr>
          <w:sz w:val="20"/>
          <w:szCs w:val="20"/>
          <w:color w:val="auto"/>
        </w:rPr>
      </w:pPr>
      <w:r>
        <w:rPr>
          <w:rFonts w:ascii="Times New Roman" w:cs="Times New Roman" w:eastAsia="Times New Roman" w:hAnsi="Times New Roman"/>
          <w:sz w:val="12"/>
          <w:szCs w:val="12"/>
          <w:color w:val="auto"/>
        </w:rPr>
        <w:t>On June 11, 2026, the Company also issued a Press Release reporting further analysis from the Phase 1 trial of cemsidomide in combination with dexamethasone for the treatment of RRMM to be presented at the EHA Congress. A copy of the Press Release is filed as Exhibit 99.3 to this Current Report on Form 8-K and is incorporated herein by reference.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212529"/>
        </w:rPr>
        <w:t>Item 9.01 Financial Statements and Exhibits.</w:t>
      </w:r>
    </w:p>
    <w:p>
      <w:pPr>
        <w:spacing w:after="0" w:line="154" w:lineRule="exact"/>
        <w:rPr>
          <w:sz w:val="20"/>
          <w:szCs w:val="20"/>
          <w:color w:val="auto"/>
        </w:rPr>
      </w:pPr>
    </w:p>
    <w:p>
      <w:pPr>
        <w:ind w:left="8" w:hanging="8"/>
        <w:spacing w:after="0" w:line="279" w:lineRule="auto"/>
        <w:tabs>
          <w:tab w:leader="none" w:pos="178" w:val="left"/>
        </w:tabs>
        <w:numPr>
          <w:ilvl w:val="0"/>
          <w:numId w:val="2"/>
        </w:numPr>
        <w:rPr>
          <w:rFonts w:ascii="Times New Roman" w:cs="Times New Roman" w:eastAsia="Times New Roman" w:hAnsi="Times New Roman"/>
          <w:sz w:val="12"/>
          <w:szCs w:val="12"/>
          <w:color w:val="212529"/>
        </w:rPr>
      </w:pPr>
      <w:r>
        <w:rPr>
          <w:rFonts w:ascii="Times New Roman" w:cs="Times New Roman" w:eastAsia="Times New Roman" w:hAnsi="Times New Roman"/>
          <w:sz w:val="12"/>
          <w:szCs w:val="12"/>
          <w:u w:val="single" w:color="auto"/>
          <w:color w:val="212529"/>
        </w:rPr>
        <w:t>Exhibits</w:t>
      </w:r>
      <w:r>
        <w:rPr>
          <w:rFonts w:ascii="Times New Roman" w:cs="Times New Roman" w:eastAsia="Times New Roman" w:hAnsi="Times New Roman"/>
          <w:sz w:val="12"/>
          <w:szCs w:val="12"/>
          <w:color w:val="212529"/>
        </w:rPr>
        <w:t>. The exhibits shall be deemed to be filed or furnished, depending on the relevant item requiring such exhibit, in accordance with the provisions of Item 601 of Regulation S-K (17 CFR 229.601) and Instruction B.2 to this form.</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960" w:type="dxa"/>
            <w:vAlign w:val="bottom"/>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9"/>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60" w:type="dxa"/>
            <w:vAlign w:val="bottom"/>
            <w:tcBorders>
              <w:top w:val="single" w:sz="8" w:color="auto"/>
            </w:tcBorders>
          </w:tcPr>
          <w:p>
            <w:pPr>
              <w:jc w:val="right"/>
              <w:ind w:right="585"/>
              <w:spacing w:after="0"/>
              <w:rPr>
                <w:sz w:val="20"/>
                <w:szCs w:val="20"/>
                <w:color w:val="auto"/>
              </w:rPr>
            </w:pPr>
            <w:r>
              <w:rPr>
                <w:rFonts w:ascii="Times New Roman" w:cs="Times New Roman" w:eastAsia="Times New Roman" w:hAnsi="Times New Roman"/>
                <w:sz w:val="12"/>
                <w:szCs w:val="12"/>
                <w:color w:val="auto"/>
                <w:w w:val="95"/>
              </w:rPr>
              <w:t>99.1</w:t>
            </w:r>
          </w:p>
        </w:tc>
        <w:tc>
          <w:tcPr>
            <w:tcW w:w="80" w:type="dxa"/>
            <w:vAlign w:val="bottom"/>
          </w:tcPr>
          <w:p>
            <w:pPr>
              <w:spacing w:after="0"/>
              <w:rPr>
                <w:sz w:val="14"/>
                <w:szCs w:val="14"/>
                <w:color w:val="auto"/>
              </w:rPr>
            </w:pPr>
          </w:p>
        </w:tc>
        <w:tc>
          <w:tcPr>
            <w:tcW w:w="272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Corporate presentation of the Company dated June 2026</w:t>
            </w:r>
          </w:p>
        </w:tc>
        <w:tc>
          <w:tcPr>
            <w:tcW w:w="762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60" w:type="dxa"/>
            <w:vAlign w:val="bottom"/>
          </w:tcPr>
          <w:p>
            <w:pPr>
              <w:jc w:val="right"/>
              <w:ind w:right="585"/>
              <w:spacing w:after="0"/>
              <w:rPr>
                <w:sz w:val="20"/>
                <w:szCs w:val="20"/>
                <w:color w:val="auto"/>
              </w:rPr>
            </w:pPr>
            <w:r>
              <w:rPr>
                <w:rFonts w:ascii="Times New Roman" w:cs="Times New Roman" w:eastAsia="Times New Roman" w:hAnsi="Times New Roman"/>
                <w:sz w:val="12"/>
                <w:szCs w:val="12"/>
                <w:color w:val="auto"/>
                <w:w w:val="95"/>
              </w:rPr>
              <w:t>99.2</w:t>
            </w:r>
          </w:p>
        </w:tc>
        <w:tc>
          <w:tcPr>
            <w:tcW w:w="80" w:type="dxa"/>
            <w:vAlign w:val="bottom"/>
          </w:tcPr>
          <w:p>
            <w:pPr>
              <w:spacing w:after="0"/>
              <w:rPr>
                <w:sz w:val="15"/>
                <w:szCs w:val="15"/>
                <w:color w:val="auto"/>
              </w:rPr>
            </w:pPr>
          </w:p>
        </w:tc>
        <w:tc>
          <w:tcPr>
            <w:tcW w:w="4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Poster from C4 Therapeutics, Inc.’s EHA 2026 Congress Presentation, dated June 11, 2026</w:t>
            </w:r>
          </w:p>
        </w:tc>
        <w:tc>
          <w:tcPr>
            <w:tcW w:w="5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60" w:type="dxa"/>
            <w:vAlign w:val="bottom"/>
          </w:tcPr>
          <w:p>
            <w:pPr>
              <w:jc w:val="right"/>
              <w:ind w:right="585"/>
              <w:spacing w:after="0"/>
              <w:rPr>
                <w:sz w:val="20"/>
                <w:szCs w:val="20"/>
                <w:color w:val="auto"/>
              </w:rPr>
            </w:pPr>
            <w:r>
              <w:rPr>
                <w:rFonts w:ascii="Times New Roman" w:cs="Times New Roman" w:eastAsia="Times New Roman" w:hAnsi="Times New Roman"/>
                <w:sz w:val="12"/>
                <w:szCs w:val="12"/>
                <w:color w:val="auto"/>
                <w:w w:val="95"/>
              </w:rPr>
              <w:t>99.3</w:t>
            </w:r>
          </w:p>
        </w:tc>
        <w:tc>
          <w:tcPr>
            <w:tcW w:w="80" w:type="dxa"/>
            <w:vAlign w:val="bottom"/>
          </w:tcPr>
          <w:p>
            <w:pPr>
              <w:spacing w:after="0"/>
              <w:rPr>
                <w:sz w:val="15"/>
                <w:szCs w:val="15"/>
                <w:color w:val="auto"/>
              </w:rPr>
            </w:pPr>
          </w:p>
        </w:tc>
        <w:tc>
          <w:tcPr>
            <w:tcW w:w="1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issued June 11, 2026</w:t>
            </w:r>
          </w:p>
        </w:tc>
        <w:tc>
          <w:tcPr>
            <w:tcW w:w="86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ind w:left="948" w:hanging="936"/>
        <w:spacing w:after="0" w:line="187" w:lineRule="auto"/>
        <w:tabs>
          <w:tab w:leader="none" w:pos="948"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Cover Page Interactive Data File (embedded within the Inline XBRL document)</w:t>
      </w:r>
    </w:p>
    <w:p>
      <w:pPr>
        <w:spacing w:after="0" w:line="61" w:lineRule="exact"/>
        <w:rPr>
          <w:rFonts w:ascii="Times New Roman" w:cs="Times New Roman" w:eastAsia="Times New Roman" w:hAnsi="Times New Roman"/>
          <w:sz w:val="24"/>
          <w:szCs w:val="24"/>
          <w:color w:val="auto"/>
          <w:vertAlign w:val="superscript"/>
        </w:rPr>
      </w:pPr>
    </w:p>
    <w:p>
      <w:pPr>
        <w:ind w:left="8"/>
        <w:spacing w:after="0"/>
        <w:rPr>
          <w:rFonts w:ascii="Times New Roman" w:cs="Times New Roman" w:eastAsia="Times New Roman" w:hAnsi="Times New Roman"/>
          <w:sz w:val="24"/>
          <w:szCs w:val="24"/>
          <w:color w:val="auto"/>
          <w:vertAlign w:val="superscript"/>
        </w:rPr>
      </w:pPr>
      <w:r>
        <w:rPr>
          <w:rFonts w:ascii="Arial" w:cs="Arial" w:eastAsia="Arial" w:hAnsi="Arial"/>
          <w:sz w:val="13"/>
          <w:szCs w:val="13"/>
          <w:color w:val="auto"/>
        </w:rPr>
        <w:t>Sounds goofd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379730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37" w:right="31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212529"/>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12529"/>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color w:val="auto"/>
        </w:rPr>
        <w:t>C4 Therapeutics, Inc.</w:t>
      </w:r>
    </w:p>
    <w:p>
      <w:pPr>
        <w:spacing w:after="0" w:line="240" w:lineRule="exact"/>
        <w:rPr>
          <w:sz w:val="20"/>
          <w:szCs w:val="20"/>
          <w:color w:val="auto"/>
        </w:rPr>
      </w:pPr>
    </w:p>
    <w:p>
      <w:pPr>
        <w:spacing w:after="0"/>
        <w:tabs>
          <w:tab w:leader="none" w:pos="5420" w:val="left"/>
          <w:tab w:leader="none" w:pos="5820" w:val="left"/>
        </w:tabs>
        <w:rPr>
          <w:sz w:val="20"/>
          <w:szCs w:val="20"/>
          <w:color w:val="auto"/>
        </w:rPr>
      </w:pPr>
      <w:r>
        <w:rPr>
          <w:rFonts w:ascii="Times New Roman" w:cs="Times New Roman" w:eastAsia="Times New Roman" w:hAnsi="Times New Roman"/>
          <w:sz w:val="12"/>
          <w:szCs w:val="12"/>
          <w:color w:val="auto"/>
        </w:rPr>
        <w:t xml:space="preserve">Date: </w:t>
      </w:r>
      <w:r>
        <w:rPr>
          <w:rFonts w:ascii="Times New Roman" w:cs="Times New Roman" w:eastAsia="Times New Roman" w:hAnsi="Times New Roman"/>
          <w:sz w:val="12"/>
          <w:szCs w:val="12"/>
          <w:color w:val="212529"/>
        </w:rPr>
        <w:t>June 11,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27940</wp:posOffset>
            </wp:positionV>
            <wp:extent cx="34575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b w:val="1"/>
          <w:bCs w:val="1"/>
          <w:color w:val="auto"/>
        </w:rPr>
        <w:t>Kendra R. Adams</w:t>
      </w:r>
    </w:p>
    <w:p>
      <w:pPr>
        <w:spacing w:after="0" w:line="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b w:val="1"/>
          <w:bCs w:val="1"/>
          <w:color w:val="auto"/>
        </w:rPr>
        <w:t>Chief Financial Officer and Treasurer</w:t>
      </w:r>
    </w:p>
    <w:p>
      <w:pPr>
        <w:sectPr>
          <w:pgSz w:w="11900" w:h="16838" w:orient="portrait"/>
          <w:cols w:equalWidth="0" w:num="1">
            <w:col w:w="10159"/>
          </w:cols>
          <w:pgMar w:left="300" w:top="80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387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387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2026-06-11T06:06:49Z</dcterms:created>
  <dcterms:modified xsi:type="dcterms:W3CDTF">2026-06-11T06:06:49Z</dcterms:modified>
</cp:coreProperties>
</file>