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212529"/>
          <w:sz w:val="36"/>
        </w:rPr>
      </w:pPr>
      <w:r>
        <w:rPr>
          <w:rFonts w:ascii="Times New Roman;serif" w:hAnsi="Times New Roman;serif"/>
          <w:b/>
          <w:color w:val="212529"/>
          <w:sz w:val="36"/>
        </w:rPr>
        <w:t>UNITED STATES</w:t>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SECURITIES AND EXCHANGE COMMISSION</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WASHINGTON, D.C. 20549</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center"/>
        <w:rPr>
          <w:rFonts w:ascii="Times New Roman;serif" w:hAnsi="Times New Roman;serif"/>
          <w:b/>
          <w:color w:val="212529"/>
          <w:sz w:val="36"/>
        </w:rPr>
      </w:pPr>
      <w:r>
        <w:rPr>
          <w:rFonts w:ascii="Times New Roman;serif" w:hAnsi="Times New Roman;serif"/>
          <w:b/>
          <w:color w:val="212529"/>
          <w:sz w:val="36"/>
        </w:rPr>
        <w:t>FORM 8-K</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CURRENT REPORT</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Date of Report (Date of earliest event reported): August 11, 2026</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center"/>
        <w:rPr>
          <w:rFonts w:ascii="Times New Roman;serif" w:hAnsi="Times New Roman;serif"/>
          <w:b/>
          <w:color w:val="212529"/>
          <w:sz w:val="48"/>
        </w:rPr>
      </w:pPr>
      <w:r>
        <w:rPr>
          <w:rFonts w:ascii="Times New Roman;serif" w:hAnsi="Times New Roman;serif"/>
          <w:b/>
          <w:color w:val="212529"/>
          <w:sz w:val="48"/>
        </w:rPr>
        <w:t>C4 THERAPEUTICS, INC.</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(Exact name of Registrant as Specified in Its Charter)</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tbl>
      <w:tblPr>
        <w:tblW w:w="6538" w:type="dxa"/>
        <w:jc w:val="center"/>
        <w:tblInd w:w="0" w:type="dxa"/>
        <w:tblLayout w:type="fixed"/>
        <w:tblCellMar>
          <w:top w:w="28" w:type="dxa"/>
          <w:left w:w="28" w:type="dxa"/>
          <w:bottom w:w="28" w:type="dxa"/>
          <w:right w:w="28" w:type="dxa"/>
        </w:tblCellMar>
      </w:tblPr>
      <w:tblGrid>
        <w:gridCol w:w="1092"/>
        <w:gridCol w:w="955"/>
        <w:gridCol w:w="968"/>
        <w:gridCol w:w="677"/>
        <w:gridCol w:w="677"/>
        <w:gridCol w:w="685"/>
        <w:gridCol w:w="433"/>
        <w:gridCol w:w="433"/>
        <w:gridCol w:w="618"/>
      </w:tblGrid>
      <w:tr>
        <w:trPr/>
        <w:tc>
          <w:tcPr>
            <w:tcW w:w="109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001-39567</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47-5617627</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490 Arsenal Way,  Suite 120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Watertown,  MA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02472</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Registrant’s Telephone Number, Including Area Code: (617) 231-0700</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Not Applicable</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(Former Name or Former Address, if Changed Since Last Report)</w:t>
      </w:r>
    </w:p>
    <w:p>
      <w:pPr>
        <w:pStyle w:val="TextBody"/>
        <w:bidi w:val="0"/>
        <w:spacing w:lineRule="auto" w:line="288" w:before="0" w:after="0"/>
        <w:jc w:val="center"/>
        <w:rPr>
          <w:rFonts w:ascii="sans-serif" w:hAnsi="sans-serif"/>
          <w:b w:val="false"/>
          <w:color w:val="000000"/>
          <w:sz w:val="12"/>
        </w:rPr>
      </w:pPr>
      <w:r>
        <w:rPr>
          <w:rFonts w:ascii="sans-serif" w:hAnsi="sans-serif"/>
          <w:b w:val="false"/>
          <w:color w:val="000000"/>
          <w:sz w:val="12"/>
        </w:rPr>
        <w:t>_________________________________________________________________</w:t>
      </w:r>
    </w:p>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CCCC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40" w:after="283"/>
        <w:jc w:val="left"/>
        <w:rPr/>
      </w:pPr>
      <w:r>
        <w:rPr>
          <w:rFonts w:ascii="Times New Roman;serif" w:hAnsi="Times New Roman;serif"/>
          <w:b w:val="false"/>
          <w:color w:val="212529"/>
          <w:sz w:val="20"/>
        </w:rPr>
        <w:t>Emerging growth company </w:t>
      </w:r>
      <w:r>
        <w:rPr>
          <w:rFonts w:ascii="Wingdings;sans-serif" w:hAnsi="Wingdings;sans-serif"/>
          <w:b w:val="false"/>
          <w:color w:val="212529"/>
          <w:sz w:val="20"/>
        </w:rPr>
        <w:t>o</w:t>
      </w:r>
    </w:p>
    <w:p>
      <w:pPr>
        <w:pStyle w:val="TextBody"/>
        <w:bidi w:val="0"/>
        <w:spacing w:lineRule="auto" w:line="288" w:before="240" w:after="283"/>
        <w:jc w:val="left"/>
        <w:rPr/>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212529"/>
        </w:rPr>
      </w:pPr>
      <w:r>
        <w:rPr>
          <w:color w:val="212529"/>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120" w:after="2"/>
        <w:jc w:val="left"/>
        <w:rPr/>
      </w:pPr>
      <w:r>
        <w:rPr/>
      </w:r>
    </w:p>
    <w:p>
      <w:pPr>
        <w:pStyle w:val="TextBody"/>
        <w:bidi w:val="0"/>
        <w:spacing w:lineRule="auto" w:line="288" w:before="120" w:after="283"/>
        <w:jc w:val="both"/>
        <w:rPr>
          <w:rFonts w:ascii="Times New Roman;serif" w:hAnsi="Times New Roman;serif"/>
          <w:b/>
          <w:color w:val="212529"/>
          <w:sz w:val="20"/>
        </w:rPr>
      </w:pPr>
      <w:r>
        <w:rPr>
          <w:rFonts w:ascii="Times New Roman;serif" w:hAnsi="Times New Roman;serif"/>
          <w:b/>
          <w:color w:val="212529"/>
          <w:sz w:val="20"/>
        </w:rPr>
        <w:t>Item 2.02 Results of Operations and Financial Condition.</w:t>
      </w:r>
    </w:p>
    <w:p>
      <w:pPr>
        <w:pStyle w:val="TextBody"/>
        <w:bidi w:val="0"/>
        <w:spacing w:lineRule="auto" w:line="288" w:before="120" w:after="283"/>
        <w:jc w:val="both"/>
        <w:rPr/>
      </w:pPr>
      <w:r>
        <w:rPr>
          <w:rFonts w:ascii="Times New Roman;serif" w:hAnsi="Times New Roman;serif"/>
          <w:b w:val="false"/>
          <w:color w:val="212529"/>
          <w:sz w:val="20"/>
        </w:rPr>
        <w:t>On August 11, 2026, C4 Therapeutics, Inc. (the “</w:t>
      </w:r>
      <w:r>
        <w:rPr>
          <w:rFonts w:ascii="Times New Roman;serif" w:hAnsi="Times New Roman;serif"/>
          <w:b/>
          <w:color w:val="212529"/>
          <w:sz w:val="20"/>
        </w:rPr>
        <w:t>Company</w:t>
      </w:r>
      <w:r>
        <w:rPr>
          <w:color w:val="212529"/>
        </w:rPr>
        <w:t>”</w:t>
      </w:r>
      <w:r>
        <w:rPr>
          <w:rFonts w:ascii="Times New Roman;serif" w:hAnsi="Times New Roman;serif"/>
          <w:b w:val="false"/>
          <w:color w:val="212529"/>
          <w:sz w:val="20"/>
        </w:rPr>
        <w:t>) issued a press release announcing its financial results and business highlights for the quarter ended June 30, 2026. A copy of the press release is being furnished as Exhibit 99.1 to this Current Report on Form 8-K.</w:t>
      </w:r>
    </w:p>
    <w:p>
      <w:pPr>
        <w:pStyle w:val="TextBody"/>
        <w:bidi w:val="0"/>
        <w:spacing w:lineRule="auto" w:line="288" w:before="120" w:after="283"/>
        <w:jc w:val="both"/>
        <w:rPr/>
      </w:pPr>
      <w:r>
        <w:rPr>
          <w:rFonts w:ascii="Times New Roman;serif" w:hAnsi="Times New Roman;serif"/>
          <w:b w:val="false"/>
          <w:color w:val="212529"/>
          <w:sz w:val="20"/>
        </w:rPr>
        <w:t>The information contained in Item 2.02 of this Current Report on Form 8-K and Exhibit 99.1 attached hereto is intended to be furnished and shall not be deemed “filed” for purposes of Section 18 of the Securities Exchange Act of 1934 (the “</w:t>
      </w:r>
      <w:r>
        <w:rPr>
          <w:rFonts w:ascii="Times New Roman;serif" w:hAnsi="Times New Roman;serif"/>
          <w:b/>
          <w:color w:val="212529"/>
          <w:sz w:val="20"/>
        </w:rPr>
        <w:t>Exchange Act</w:t>
      </w:r>
      <w:r>
        <w:rPr>
          <w:color w:val="212529"/>
        </w:rPr>
        <w:t>”</w:t>
      </w:r>
      <w:r>
        <w:rPr>
          <w:rFonts w:ascii="Times New Roman;serif" w:hAnsi="Times New Roman;serif"/>
          <w:b w:val="false"/>
          <w:color w:val="212529"/>
          <w:sz w:val="20"/>
        </w:rPr>
        <w:t>) or otherwise subject to the liabilities of that section, nor shall it be deemed incorporated by reference in any filing under the Securities Act of 1933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12529"/>
          <w:sz w:val="20"/>
        </w:rPr>
      </w:pPr>
      <w:r>
        <w:rPr>
          <w:rFonts w:ascii="Times New Roman;serif" w:hAnsi="Times New Roman;serif"/>
          <w:b/>
          <w:color w:val="212529"/>
          <w:sz w:val="20"/>
        </w:rPr>
        <w:t>Item 9.01 Financial Statements and Exhibits.</w:t>
      </w:r>
    </w:p>
    <w:p>
      <w:pPr>
        <w:pStyle w:val="TextBody"/>
        <w:bidi w:val="0"/>
        <w:spacing w:lineRule="auto" w:line="288" w:before="240" w:after="283"/>
        <w:jc w:val="both"/>
        <w:rPr/>
      </w:pPr>
      <w:r>
        <w:rPr>
          <w:rFonts w:ascii="Times New Roman;serif" w:hAnsi="Times New Roman;serif"/>
          <w:b w:val="false"/>
          <w:color w:val="212529"/>
          <w:sz w:val="20"/>
        </w:rPr>
        <w:t>(d) </w:t>
      </w:r>
      <w:r>
        <w:rPr>
          <w:rFonts w:ascii="Times New Roman;serif" w:hAnsi="Times New Roman;serif"/>
          <w:b w:val="false"/>
          <w:color w:val="212529"/>
          <w:sz w:val="20"/>
          <w:u w:val="single"/>
        </w:rPr>
        <w:t>Exhibits</w:t>
      </w:r>
      <w:r>
        <w:rPr>
          <w:rFonts w:ascii="Times New Roman;serif" w:hAnsi="Times New Roman;serif"/>
          <w:b w:val="false"/>
          <w:color w:val="212529"/>
          <w:sz w:val="20"/>
        </w:rPr>
        <w:t>. The exhibits shall be deemed to be filed or furnished, depending on the relevant item requiring such exhibit, in accordance with the provisions of Item 601 of Regulation S-K (17 CFR 229.601) and Instruction B.2 to this form.</w:t>
      </w:r>
    </w:p>
    <w:tbl>
      <w:tblPr>
        <w:tblW w:w="763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6"/>
        <w:gridCol w:w="1926"/>
        <w:gridCol w:w="274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ccc-20260811xexx991.htm">
              <w:r>
                <w:rPr>
                  <w:rStyle w:val="InternetLink"/>
                  <w:rFonts w:ascii="Times New Roman;serif" w:hAnsi="Times New Roman;serif"/>
                  <w:b w:val="false"/>
                  <w:color w:val="0000FF"/>
                  <w:sz w:val="20"/>
                  <w:u w:val="single"/>
                </w:rPr>
                <w:t>Press release issued August 11, 2026</w:t>
              </w:r>
            </w:hyperlink>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9"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120" w:after="2"/>
        <w:jc w:val="left"/>
        <w:rPr/>
      </w:pPr>
      <w:r>
        <w:rPr/>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SIGNATURES</w:t>
      </w:r>
    </w:p>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report to be signed on its behalf by the undersigned thereunto duly authorized.</w:t>
      </w:r>
    </w:p>
    <w:tbl>
      <w:tblPr>
        <w:tblW w:w="8554" w:type="dxa"/>
        <w:jc w:val="left"/>
        <w:tblInd w:w="0" w:type="dxa"/>
        <w:tblLayout w:type="fixed"/>
        <w:tblCellMar>
          <w:top w:w="28" w:type="dxa"/>
          <w:left w:w="28" w:type="dxa"/>
          <w:bottom w:w="28" w:type="dxa"/>
          <w:right w:w="28" w:type="dxa"/>
        </w:tblCellMar>
      </w:tblPr>
      <w:tblGrid>
        <w:gridCol w:w="705"/>
        <w:gridCol w:w="620"/>
        <w:gridCol w:w="624"/>
        <w:gridCol w:w="292"/>
        <w:gridCol w:w="292"/>
        <w:gridCol w:w="292"/>
        <w:gridCol w:w="1674"/>
        <w:gridCol w:w="1674"/>
        <w:gridCol w:w="2381"/>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C4 Therapeutics, Inc.</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 xml:space="preserve">Date: </w:t>
            </w:r>
            <w:r>
              <w:rPr>
                <w:rFonts w:ascii="Times New Roman;serif" w:hAnsi="Times New Roman;serif"/>
                <w:b w:val="false"/>
                <w:color w:val="212529"/>
                <w:sz w:val="20"/>
              </w:rPr>
              <w:t>August 11, 2026</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Kendra R. Adams</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Kendra R. Adams</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Chief Financial Officer, Head of Corporate Affairs,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120" w:after="283"/>
        <w:jc w:val="left"/>
        <w:rPr/>
      </w:pPr>
      <w:r>
        <w:rPr/>
        <w:drawing>
          <wp:inline distT="0" distB="0" distL="0" distR="0">
            <wp:extent cx="1781175" cy="266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81175" cy="266700"/>
                    </a:xfrm>
                    <a:prstGeom prst="rect">
                      <a:avLst/>
                    </a:prstGeom>
                  </pic:spPr>
                </pic:pic>
              </a:graphicData>
            </a:graphic>
          </wp:inline>
        </w:drawing>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C4 Therapeutics Reports Second Quarter 2026 Financial Results and Recent Business Highlights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Cemsidomide’s Ongoing Phase 2 MOMENTUM Trial and Phase 1b Trial in Combination With Elranatamab Remain on Track to Deliver Clinical Data Readouts in 2027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Phase 1 Data Presented at European Hematology Association (EHA) 2026 Congress Further Support Cemsidomide’s Potential Best-in-Class Profile in Multiple Myeloma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Phase 1b Trial of Cemsidomide in Combination With Approved Standard of Care Multiple Myeloma Therapies On Track to Initiate in 1H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WATERTOWN, Mass., August 11, 2026 (GLOBE NEWSWIRE) -- C4 Therapeutics, Inc. (C4T) (Nasdaq: CCCC), a clinical-stage biopharmaceutical company dedicated to advancing targeted protein degradation (TPD) science, today reported financial results for the second quarter ended June 30, 2026, as well as recent business highlights.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The first half of 2026 was a period of execution for cemsidomide, our next-generation IKZF1/3 degrader, and our clinical development plan. At the EHA Congress in June, we presented clinical data that further supported cemsidomide’s differentiated and potential best-in-class profile for the treatment of relapsed refractory multiple myeloma. In addition, insights from our June KOL webinar underscored the importance of IKZF1/3 degradation as a foundational mechanism in multiple myeloma and highlighted the potential for next-generation IKZF1/3 degraders to become a cornerstone therapy across the disease continuum,” said Andrew Hirsch, president and chief executive officer of C4 Therapeutics. “As we enter the second half of the year, we remain focused on advancing the Phase 2 MOMENTUM trial, the Phase 1b combination trial with elranatamab and start-up activities for our additional Phase 1b combination trial with approved standard-of-care multiple myeloma therapies. Together, these studies are expected to generate clinical milestones in 2027 and beyond and will support our vision of establishing cemsidomide as a potential backbone therapy for combination regimens in multiple myeloma.”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SECOND QUARTER 2026 UPDATES AND RECENT ACHIEVEMENTS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The ongoing Phase 2 MOMENTUM trial evaluating cemsidomide in combination with dexamethasone in late-line multiple myeloma (MM) treatment is on track to complete enrollment in the first quarter of 2027. The initial investigator-assessed overall response rate (ORR) data are expected in the second half of 2027. </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4"/>
        </w:rPr>
        <w:t>The ongoing Phase 1b trial evaluating cemsidomide and dexamethasone in combination with elranatamab (ELREXFIO</w:t>
      </w:r>
      <w:r>
        <w:rPr>
          <w:rFonts w:ascii="Times New Roman;serif" w:hAnsi="Times New Roman;serif"/>
          <w:b w:val="false"/>
          <w:color w:val="000000"/>
          <w:sz w:val="13"/>
        </w:rPr>
        <w:t>®</w:t>
      </w:r>
      <w:r>
        <w:rPr>
          <w:rFonts w:ascii="Times New Roman;serif" w:hAnsi="Times New Roman;serif"/>
          <w:b w:val="false"/>
          <w:color w:val="000000"/>
          <w:sz w:val="24"/>
        </w:rPr>
        <w:t>), a B-cell maturation antigen CD3 targeted bispecific antibody, in earlier lines of MM treatment continues to progress. C4T expects to provide an update on the dose escalation progress in the second half of 2026 with data from all cohorts expected in mid-2027.</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Study start-up activities are underway for an additional Phase 1b trial evaluating cemsidomide across two treatment arms for relapsed refractory MM patients: (1) cemsidomide, dexamethasone, daratumumab, a CD38 antibody, and (2) cemsidomide, dexamethasone, carfilzomib, a proteasome inhibitor. The trial is expected to initiate in the first half of 2027 with the goal to characterize cemsidomide’s dose and safety with approved standard of care MM therapies.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A poster presentation was accepted at the International Myeloma Society (IMS) Annual Meeting, featuring additional biomarker data on cemsidomide’s immunomodulatory effects on T cells and natural killer (NK) cells in combination with dexamethasone. These data further support cemsidomide’s potential as a combination partner for immune-based therapies. The meeting will take place September 23–26, 2026, in Glasgow, Scotland.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Further analysis from the Phase 1 trial evaluating cemsidomide in combination with dexamethasone was presented at the EHA 2026 Congress supporting its differentiated safety profile and compelling anti-myeloma activity in a heavily pretreated relapsed refractory MM patient population. At the two highest dose levels evaluated (75 µg and 100 µg), responses deepened over time and demonstrated a 40% ORR and a 53% ORR, respectively, including one stringent complete response and two complete responses. Two patients also achieved minimal residual disease negativity. Across all doses there were no cemsidomide-related discontinuations and minimal dose reductions were observed. These data further support cemsidomide’s potential best-in-class profile.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C4T entered into a new collaboration agreement with Roche in April 2026 to advance research in the emerging degrader-antibody conjugate (DAC) modality. C4T and Roche are combining antibody-drug conjugation and targeted protein degradation to develop a new way to treat cancers. In May 2026, C4T received an upfront payment of $20 million.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C4T raised approximately $33.5 million in net proceeds in the second quarter through its at-the-market (ATM) program. The proceeds are expected to support the continued advancement of cemsidomide, including the additional Phase 1b trial and Phase 3 trial planning activities and execution efforts.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C4T hosted an educational KOL webinar featuring Nisha Joseph, M.D.,</w:t>
      </w:r>
      <w:r>
        <w:rPr>
          <w:color w:val="000000"/>
          <w:shd w:fill="FFFFFF" w:val="clear"/>
        </w:rPr>
        <w:t xml:space="preserve"> </w:t>
      </w:r>
      <w:r>
        <w:rPr>
          <w:rFonts w:ascii="Times New Roman;serif" w:hAnsi="Times New Roman;serif"/>
          <w:b w:val="false"/>
          <w:color w:val="000000"/>
          <w:sz w:val="24"/>
        </w:rPr>
        <w:t xml:space="preserve">associate professor at the Winship Cancer Institute at Emory University and investigator in the cemsidomide clinical trials. The event highlighted the evolving MM landscape, the foundational role of IKZF1/3 degradation and cemsidomide’s differentiated profile. An archived replay of the webinar is available under “Events and Presentations” within the Investors section of C4T’s website.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UPCOMING MILESTONES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IMS Annual Meeting, September 23 - 26, 2026:</w:t>
      </w:r>
      <w:r>
        <w:rPr>
          <w:color w:val="000000"/>
        </w:rPr>
        <w:t xml:space="preserve"> </w:t>
      </w:r>
      <w:r>
        <w:rPr>
          <w:rFonts w:ascii="Times New Roman;serif" w:hAnsi="Times New Roman;serif"/>
          <w:b w:val="false"/>
          <w:color w:val="000000"/>
          <w:sz w:val="24"/>
        </w:rPr>
        <w:t>Present a poster featuring additional biomarker data on cemsidomide’s immunomodulatory effects on T cells and NK cells in combination with dexamethasone.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2H 2026:</w:t>
      </w:r>
      <w:r>
        <w:rPr>
          <w:color w:val="000000"/>
        </w:rPr>
        <w:t xml:space="preserve"> </w:t>
      </w:r>
      <w:r>
        <w:rPr>
          <w:rFonts w:ascii="Times New Roman;serif" w:hAnsi="Times New Roman;serif"/>
          <w:b w:val="false"/>
          <w:color w:val="000000"/>
          <w:sz w:val="24"/>
        </w:rPr>
        <w:t>Provide an update on the dose escalation progress from the Phase 1b trial evaluating the combination of cemsidomide, dexamethasone, and elranatamab.</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By year-end 2026:</w:t>
      </w:r>
      <w:r>
        <w:rPr>
          <w:color w:val="000000"/>
        </w:rPr>
        <w:t xml:space="preserve"> </w:t>
      </w:r>
      <w:r>
        <w:rPr>
          <w:rFonts w:ascii="Times New Roman;serif" w:hAnsi="Times New Roman;serif"/>
          <w:b w:val="false"/>
          <w:color w:val="000000"/>
          <w:sz w:val="24"/>
        </w:rPr>
        <w:t>Deliver at least one development candidate to a collaboration partner and advance collaborations toward key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UPCOMING INVESTOR EVENTS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September 9, 2026:</w:t>
      </w:r>
      <w:r>
        <w:rPr>
          <w:color w:val="000000"/>
        </w:rPr>
        <w:t xml:space="preserve"> </w:t>
      </w:r>
      <w:r>
        <w:rPr>
          <w:rFonts w:ascii="Times New Roman;serif" w:hAnsi="Times New Roman;serif"/>
          <w:b w:val="false"/>
          <w:color w:val="000000"/>
          <w:sz w:val="24"/>
        </w:rPr>
        <w:t>Management will participate in the 2026 Cantor Global Healthcare Conference taking place in New York, NY from September 9 – September 11,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4"/>
        </w:rPr>
        <w:t xml:space="preserve">September 10, 2026, at 11:00 am ET: </w:t>
      </w:r>
      <w:r>
        <w:rPr>
          <w:rFonts w:ascii="Times New Roman;serif" w:hAnsi="Times New Roman;serif"/>
          <w:b w:val="false"/>
          <w:color w:val="000000"/>
          <w:sz w:val="24"/>
        </w:rPr>
        <w:t>Management will participate in a fireside chat at the 2026 Wells Fargo Healthcare Conference taking place in Boston, MA from September 8 – September 10,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SECOND QUARTER 2026 FINANCIAL RESULTS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Revenue: </w:t>
      </w:r>
      <w:r>
        <w:rPr>
          <w:rFonts w:ascii="Times New Roman;serif" w:hAnsi="Times New Roman;serif"/>
          <w:b w:val="false"/>
          <w:color w:val="000000"/>
          <w:sz w:val="24"/>
        </w:rPr>
        <w:t xml:space="preserve">Total revenue for the second quarter of 2026 was $6.6 million, compared to $6.5 million for the second quarter of 2025. The increase was primarily related to revenue recognized under the new Roche DAC collaboration agreement, offset by a decrease in revenue from the conclusion of certain research activities associated with the collaborations with Merck and Merck KGaA, Darmstadt Germany.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Research and Development (R&amp;D) Expense: </w:t>
      </w:r>
      <w:r>
        <w:rPr>
          <w:rFonts w:ascii="Times New Roman;serif" w:hAnsi="Times New Roman;serif"/>
          <w:b w:val="false"/>
          <w:color w:val="000000"/>
          <w:sz w:val="24"/>
        </w:rPr>
        <w:t>R&amp;D expense for the second quarter of 2026 was $24.5 million, compared to $26.2 million for the second quarter of 2025. The decrease in R&amp;D expense was primarily due to lower personnel costs resulting from reduced stock-based compensation expense.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General and Administrative (G&amp;A) Expense: </w:t>
      </w:r>
      <w:r>
        <w:rPr>
          <w:rFonts w:ascii="Times New Roman;serif" w:hAnsi="Times New Roman;serif"/>
          <w:b w:val="false"/>
          <w:color w:val="000000"/>
          <w:sz w:val="24"/>
        </w:rPr>
        <w:t>G&amp;A expense for the second quarter of 2026 was $8.6 million, compared to $8.8 million for the second quarter of 2025. The decrease in G&amp;A expense was primarily due to lower personnel costs resulting from reduced stock-based compensation expense.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Net Loss and Net Loss per Share: </w:t>
      </w:r>
      <w:r>
        <w:rPr>
          <w:rFonts w:ascii="Times New Roman;serif" w:hAnsi="Times New Roman;serif"/>
          <w:b w:val="false"/>
          <w:color w:val="000000"/>
          <w:sz w:val="24"/>
        </w:rPr>
        <w:t>Net loss for the second quarter of 2026 was $23.6 million, compared to $26.0 million for the second quarter of 2025. Net loss per share for the second quarter of 2026 was $0.18, compared to $0.37 for the second quarter of 2025.</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Cash Position and Financial Guidance: </w:t>
      </w:r>
      <w:r>
        <w:rPr>
          <w:rFonts w:ascii="Times New Roman;serif" w:hAnsi="Times New Roman;serif"/>
          <w:b w:val="false"/>
          <w:color w:val="000000"/>
          <w:sz w:val="24"/>
        </w:rPr>
        <w:t xml:space="preserve">Cash, cash equivalents and marketable securities as of June 30, 2026, were $300.4 million, compared to $268.3 million as of March 31, 2026, and $297.1 million as of December 31, 2025. The increase in cash, cash </w:t>
      </w:r>
      <w:r>
        <w:rPr>
          <w:rFonts w:ascii="Times New Roman;serif" w:hAnsi="Times New Roman;serif"/>
          <w:b w:val="false"/>
          <w:color w:val="467886"/>
          <w:sz w:val="24"/>
        </w:rPr>
        <w:t>equivalents</w:t>
      </w:r>
      <w:r>
        <w:rPr>
          <w:color w:val="000000"/>
        </w:rPr>
        <w:t xml:space="preserve"> </w:t>
      </w:r>
      <w:r>
        <w:rPr>
          <w:rFonts w:ascii="Times New Roman;serif" w:hAnsi="Times New Roman;serif"/>
          <w:b w:val="false"/>
          <w:color w:val="000000"/>
          <w:sz w:val="24"/>
        </w:rPr>
        <w:t>and marketable securities during the second quarter of 2026 primarily reflects $33.5 million in net proceeds from the company’s ATM program and a $20.0 million upfront payment related to its collaboration with Roche, offset by cash used to fund operations and advance programs. The company expects that its current cash, cash equivalents and marketable securities will fund its operations to the end of 2028.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Cemsidomide</w:t>
      </w:r>
    </w:p>
    <w:p>
      <w:pPr>
        <w:pStyle w:val="TextBody"/>
        <w:bidi w:val="0"/>
        <w:spacing w:lineRule="auto" w:line="268" w:before="0" w:after="0"/>
        <w:jc w:val="left"/>
        <w:rPr/>
      </w:pPr>
      <w:r>
        <w:rPr>
          <w:rFonts w:ascii="Times New Roman;serif" w:hAnsi="Times New Roman;serif"/>
          <w:b w:val="false"/>
          <w:color w:val="000000"/>
          <w:sz w:val="24"/>
        </w:rPr>
        <w:t>Cemsidomide is an investigational, next-generation orally bioavailable MonoDAC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4"/>
        </w:rPr>
        <w:t xml:space="preserve">degrader (molecular glue) of IKZF1/3, transcription factors foundational to multiple myeloma biology. Data from the fully enrolled Phase 1 trial show cemsidomide’s differentiated safety and tolerability profile and potentially class-leading anti-myeloma activity that supports the potential for durable outcomes.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the MOMENTUM Trial</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MOMENTUM (Multi-center trial Of cemsidoMidE iN relapsed/refracTory mUltiple Myeloma) is a Phase 2, open-label, single-arm study to evaluate the efficacy and safety of cemsidomide in combination with dexamethasone in patients with relapsed/refractory multiple myeloma. Data from the Phase 1 trial identified 100 µg as the recommended Phase 2 dose. The primary endpoint is overall response rate per International Myeloma Working Group response criteria, as assessed by an independent review committee. Approximately 100 patients who have received at least three prior anti-myeloma regimens that must have included an IKZF1/3 degrader, a proteasome inhibitor, an anti-CD38 antibody, and a T-cell engager or CAR-T therapy will be enrolled in the trial. More information is available at clinicaltrials.gov (NCT07284758).</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About Cemsidomide in Combination With Elranatamab (ELREXFIO</w:t>
      </w:r>
      <w:r>
        <w:rPr>
          <w:rFonts w:ascii="Times New Roman;serif" w:hAnsi="Times New Roman;serif"/>
          <w:b/>
          <w:color w:val="000000"/>
          <w:sz w:val="16"/>
        </w:rPr>
        <w:t>®</w:t>
      </w:r>
      <w:r>
        <w:rPr>
          <w:rFonts w:ascii="Times New Roman;serif" w:hAnsi="Times New Roman;serif"/>
          <w:b/>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Phase 1b trial is designed to evaluate the safety, tolerability and preliminary efficacy of cemsidomide and dexamethasone in combination with elranatamab, an FDA-approved B-cell maturation antigen CD3 targeted bispecific antibody. Data generated from the cemsidomide Phase 1 trial in relapsed/refractory multiple myeloma demonstrate robust T-cell activation and cytokine expression across multiple doses. By activating immune T-cells, cemsidomide, when combined with a BCMAxCD3 bispecific such as elranatamab, may amplify the anti-myeloma immune response and lead to deeper and more durable responses. The study will evaluate different cemsidomide dose levels (beginning with 75 µg, with the opportunity to simultaneously explore 50 µg and 100 µg) in patients who have received one to four prior lines of therapy, which must have consisted of at least one IKZF1/3 degrader. Exclusion criteria for patients include those who have received prior treatment with a BCMA-directed T-cell engager or BCMA-directed CAR-T therapy. More information is available at clinicaltrials.gov (NCT07280013).</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Multiple Myeloma</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Multiple myeloma is a blood cancer that affects plasma cells in the bone marrow. It is the second most common blood cancer, with approximately 36,000 people in the United States diagnosed each year. Multiple myeloma is characterized by cycles of remission and relapses, which leads to patients needing multiple lines of therapy to manage this persistent disease. More than 175,000 patients in the United States are estimated to be living with or in remission from myeloma. However, despite treatment advances, approximately 40% of patients do not survive beyond five years.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C4 Therapeutics</w:t>
      </w:r>
    </w:p>
    <w:p>
      <w:pPr>
        <w:pStyle w:val="TextBody"/>
        <w:bidi w:val="0"/>
        <w:spacing w:lineRule="auto" w:line="268"/>
        <w:jc w:val="left"/>
        <w:rPr/>
      </w:pPr>
      <w:r>
        <w:rPr>
          <w:rFonts w:ascii="Times New Roman;serif" w:hAnsi="Times New Roman;serif"/>
          <w:b w:val="false"/>
          <w:color w:val="000000"/>
          <w:sz w:val="24"/>
        </w:rPr>
        <w:t>C4 Therapeutics (C4T) (Nasdaq: CCCC) is a clinical-stage biopharmaceutical company dedicated to delivering on the promise of targeted protein degradation science to create a new generation of medicines that transforms patients’ lives. C4T is progressing targeted oncology programs through clinical studies and leveraging its TORPEDO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4"/>
        </w:rPr>
        <w:t xml:space="preserve">platform to efficiently design and optimize small-molecule medicines to address difficult-to-treat diseases. C4T’s degrader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medicines are designed to harness the body’s natural protein recycling system to rapidly degrade disease-causing proteins, offering the potential to overcome drug resistance, drug undruggable targets and improve patient outcomes. For more information, please visit www.c4therapeutics.com.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Forward Looking Statements</w:t>
      </w:r>
    </w:p>
    <w:p>
      <w:pPr>
        <w:pStyle w:val="TextBody"/>
        <w:bidi w:val="0"/>
        <w:spacing w:lineRule="auto" w:line="268" w:before="0" w:after="0"/>
        <w:jc w:val="left"/>
        <w:rPr/>
      </w:pPr>
      <w:r>
        <w:rPr>
          <w:rFonts w:ascii="Times New Roman;serif" w:hAnsi="Times New Roman;serif"/>
          <w:b w:val="false"/>
          <w:color w:val="000000"/>
          <w:sz w:val="24"/>
        </w:rPr>
        <w:t>This press release contains “forward-looking statements” of C4 Therapeutics, Inc., within the meaning of the Private Securities Litigation Reform Act of 1995. These forward-looking statements may include, but may not be limited to, express or implied statements regarding the Company’s ability to develop potential therapies for patients; the design and potential efficacy of the Company’s therapeutic approaches; the predictive capability of the Company’s TORPEDO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4"/>
        </w:rPr>
        <w:t>platform in the development of novel, selective, orally bioavailable BiDAC™ and MonoDAC</w:t>
      </w:r>
      <w:r>
        <w:rPr>
          <w:rFonts w:ascii="Times New Roman;serif" w:hAnsi="Times New Roman;serif"/>
          <w:b w:val="false"/>
          <w:color w:val="000000"/>
          <w:sz w:val="13"/>
        </w:rPr>
        <w:t xml:space="preserve">® </w:t>
      </w:r>
      <w:r>
        <w:rPr>
          <w:rFonts w:ascii="Times New Roman;serif" w:hAnsi="Times New Roman;serif"/>
          <w:b w:val="false"/>
          <w:color w:val="000000"/>
          <w:sz w:val="24"/>
        </w:rPr>
        <w:t xml:space="preserve">degraders; the potential timing, design and advancement of the Company’s preclinical studies and clinical trials, including the Company’s Phase 2 MOMENTUM trial, Phase 1b combination trials, and Phase 3 trial planning activities, and the potential timing for and receipt of regulatory authorization, clinical trial initiation and patient enrollment; the potential timing and/or receipt of regulatory approval for the Company’s product candidates; the anticipated timing and content of presentations of data from the Company’s clinical trials; and expectations for the Company’s uses of capital, expenses and financial results, including its cash runway to the end of 2028. 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initiation, timing, advancement and conduct of preclinical and clinical studies and other development requirements for the Company’s product candidates; the risk that any one or more of the Company’s product candidates will cost more to develop or may not be successfully developed and commercialized; and the risk that sufficient capital to fund the Company’s future operations will be available to the Company on acceptable terms or at the times required. For a discussion of these and other risks and uncertainties, and other important factors, any of which could cause the Company’s actual results to differ from those contained in the forward-looking statements, see the section entitled “Risk Factors” in C4 Therapeutics’ most recent Annual Report on Form 10-K and/or Quarterly Report on Form 10-Q, as filed with the Securities and Exchange Commission. All information in this press release is as of the date of the release, and C4 Therapeutics undertakes no duty to update this information unless required by law.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Investors: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Courtney Solberg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Associate Director, Investor Relations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CSolberg@c4therapeutics.com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Media: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Loraine Spreen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Senior Director, Corporate Communications &amp; Patient Advocacy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LSpreen@c4therapeutics.com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pPr>
      <w:r>
        <w:rPr>
          <w:rFonts w:ascii="Times New Roman;serif" w:hAnsi="Times New Roman;serif"/>
          <w:b/>
          <w:color w:val="000000"/>
          <w:sz w:val="22"/>
        </w:rPr>
        <w:t>Condensed Consolidated Balance Sheet Data</w:t>
      </w:r>
      <w:r>
        <w:rPr>
          <w:color w:val="000000"/>
        </w:rPr>
        <w:t> </w:t>
      </w:r>
    </w:p>
    <w:p>
      <w:pPr>
        <w:pStyle w:val="TextBody"/>
        <w:bidi w:val="0"/>
        <w:spacing w:lineRule="auto" w:line="288" w:before="120" w:after="283"/>
        <w:jc w:val="center"/>
        <w:rPr/>
      </w:pPr>
      <w:r>
        <w:rPr>
          <w:rFonts w:ascii="Times New Roman;serif" w:hAnsi="Times New Roman;serif"/>
          <w:b/>
          <w:color w:val="000000"/>
          <w:sz w:val="22"/>
        </w:rPr>
        <w:t>(in thousands)</w:t>
      </w:r>
      <w:r>
        <w:rPr>
          <w:color w:val="000000"/>
        </w:rPr>
        <w:t> </w:t>
      </w:r>
    </w:p>
    <w:p>
      <w:pPr>
        <w:pStyle w:val="TextBody"/>
        <w:bidi w:val="0"/>
        <w:spacing w:before="120" w:after="283"/>
        <w:jc w:val="right"/>
        <w:rPr/>
      </w:pPr>
      <w:r>
        <w:rPr/>
      </w:r>
    </w:p>
    <w:tbl>
      <w:tblPr>
        <w:tblW w:w="7082" w:type="dxa"/>
        <w:jc w:val="center"/>
        <w:tblInd w:w="0" w:type="dxa"/>
        <w:tblLayout w:type="fixed"/>
        <w:tblCellMar>
          <w:top w:w="28" w:type="dxa"/>
          <w:left w:w="28" w:type="dxa"/>
          <w:bottom w:w="28" w:type="dxa"/>
          <w:right w:w="28" w:type="dxa"/>
        </w:tblCellMar>
      </w:tblPr>
      <w:tblGrid>
        <w:gridCol w:w="1472"/>
        <w:gridCol w:w="1293"/>
        <w:gridCol w:w="1300"/>
        <w:gridCol w:w="211"/>
        <w:gridCol w:w="826"/>
        <w:gridCol w:w="109"/>
        <w:gridCol w:w="109"/>
        <w:gridCol w:w="109"/>
        <w:gridCol w:w="109"/>
        <w:gridCol w:w="273"/>
        <w:gridCol w:w="1072"/>
        <w:gridCol w:w="199"/>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14232C"/>
                <w:sz w:val="20"/>
              </w:rPr>
            </w:pPr>
            <w:r>
              <w:rPr>
                <w:rFonts w:ascii="Times New Roman;serif" w:hAnsi="Times New Roman;serif"/>
                <w:b w:val="false"/>
                <w:color w:val="14232C"/>
                <w:sz w:val="20"/>
              </w:rPr>
              <w:t>Cash, cash equivalents and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14232C"/>
                <w:sz w:val="20"/>
              </w:rPr>
            </w:pPr>
            <w:r>
              <w:rPr>
                <w:rFonts w:ascii="Times New Roman;serif" w:hAnsi="Times New Roman;serif"/>
                <w:b w:val="false"/>
                <w:color w:val="14232C"/>
                <w:sz w:val="20"/>
              </w:rPr>
              <w:t>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14232C"/>
                <w:sz w:val="20"/>
              </w:rPr>
            </w:pPr>
            <w:r>
              <w:rPr>
                <w:rFonts w:ascii="Times New Roman;serif" w:hAnsi="Times New Roman;serif"/>
                <w:b w:val="false"/>
                <w:color w:val="14232C"/>
                <w:sz w:val="20"/>
              </w:rPr>
              <w:t>Total 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2"/>
        </w:rPr>
        <w:t>Condensed Consolidated Statements of Operations</w:t>
      </w:r>
      <w:r>
        <w:rPr>
          <w:color w:val="000000"/>
        </w:rPr>
        <w:t>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66"/>
        <w:gridCol w:w="1317"/>
        <w:gridCol w:w="1324"/>
        <w:gridCol w:w="264"/>
        <w:gridCol w:w="922"/>
        <w:gridCol w:w="109"/>
        <w:gridCol w:w="109"/>
        <w:gridCol w:w="109"/>
        <w:gridCol w:w="109"/>
        <w:gridCol w:w="240"/>
        <w:gridCol w:w="841"/>
        <w:gridCol w:w="109"/>
        <w:gridCol w:w="109"/>
        <w:gridCol w:w="109"/>
        <w:gridCol w:w="109"/>
        <w:gridCol w:w="264"/>
        <w:gridCol w:w="922"/>
        <w:gridCol w:w="109"/>
        <w:gridCol w:w="109"/>
        <w:gridCol w:w="109"/>
        <w:gridCol w:w="109"/>
        <w:gridCol w:w="240"/>
        <w:gridCol w:w="841"/>
        <w:gridCol w:w="156"/>
      </w:tblGrid>
      <w:tr>
        <w:trPr/>
        <w:tc>
          <w:tcPr>
            <w:tcW w:w="156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collaboration agreements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 and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130,696,742 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71,005,743 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128,398,417 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70,919,871 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2903</Words>
  <Characters>17186</Characters>
  <CharactersWithSpaces>19938</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