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212529"/>
        </w:rPr>
        <w:drawing>
          <wp:anchor simplePos="0" relativeHeight="251657728" behindDoc="1" locked="0" layoutInCell="0" allowOverlap="1">
            <wp:simplePos x="0" y="0"/>
            <wp:positionH relativeFrom="page">
              <wp:posOffset>191135</wp:posOffset>
            </wp:positionH>
            <wp:positionV relativeFrom="page">
              <wp:posOffset>591820</wp:posOffset>
            </wp:positionV>
            <wp:extent cx="71666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608965</wp:posOffset>
            </wp:positionV>
            <wp:extent cx="716661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571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212529"/>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12529"/>
        </w:rPr>
        <w:t>WASHINGTON, D.C. 20549</w:t>
      </w:r>
    </w:p>
    <w:p>
      <w:pPr>
        <w:spacing w:after="0" w:line="5" w:lineRule="exact"/>
        <w:rPr>
          <w:sz w:val="24"/>
          <w:szCs w:val="24"/>
          <w:color w:val="auto"/>
        </w:rPr>
      </w:pPr>
    </w:p>
    <w:p>
      <w:pPr>
        <w:ind w:left="4340"/>
        <w:spacing w:after="0"/>
        <w:rPr>
          <w:sz w:val="20"/>
          <w:szCs w:val="20"/>
          <w:color w:val="auto"/>
        </w:rPr>
      </w:pPr>
      <w:r>
        <w:rPr>
          <w:rFonts w:ascii="Arial" w:cs="Arial" w:eastAsia="Arial" w:hAnsi="Arial"/>
          <w:sz w:val="7"/>
          <w:szCs w:val="7"/>
          <w:color w:val="auto"/>
        </w:rPr>
        <w:t>_________________________________________________________________</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12529"/>
        </w:rPr>
        <w:t>FORM 8-K</w:t>
      </w:r>
    </w:p>
    <w:p>
      <w:pPr>
        <w:spacing w:after="0" w:line="28" w:lineRule="exact"/>
        <w:rPr>
          <w:sz w:val="24"/>
          <w:szCs w:val="24"/>
          <w:color w:val="auto"/>
        </w:rPr>
      </w:pPr>
    </w:p>
    <w:p>
      <w:pPr>
        <w:ind w:left="4340"/>
        <w:spacing w:after="0"/>
        <w:rPr>
          <w:sz w:val="20"/>
          <w:szCs w:val="20"/>
          <w:color w:val="auto"/>
        </w:rPr>
      </w:pPr>
      <w:r>
        <w:rPr>
          <w:rFonts w:ascii="Arial" w:cs="Arial" w:eastAsia="Arial" w:hAnsi="Arial"/>
          <w:sz w:val="7"/>
          <w:szCs w:val="7"/>
          <w:color w:val="auto"/>
        </w:rPr>
        <w:t>_________________________________________________________________</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12529"/>
        </w:rPr>
        <w:t>CURRENT REPORT</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12529"/>
        </w:rPr>
        <w:t>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12529"/>
        </w:rPr>
        <w:t>Date of Report (Date of earliest event reported): April 9, 2026 (April 8, 2026)</w:t>
      </w:r>
    </w:p>
    <w:p>
      <w:pPr>
        <w:spacing w:after="0" w:line="19" w:lineRule="exact"/>
        <w:rPr>
          <w:sz w:val="24"/>
          <w:szCs w:val="24"/>
          <w:color w:val="auto"/>
        </w:rPr>
      </w:pPr>
    </w:p>
    <w:p>
      <w:pPr>
        <w:ind w:left="4340"/>
        <w:spacing w:after="0"/>
        <w:rPr>
          <w:sz w:val="20"/>
          <w:szCs w:val="20"/>
          <w:color w:val="auto"/>
        </w:rPr>
      </w:pPr>
      <w:r>
        <w:rPr>
          <w:rFonts w:ascii="Arial" w:cs="Arial" w:eastAsia="Arial" w:hAnsi="Arial"/>
          <w:sz w:val="7"/>
          <w:szCs w:val="7"/>
          <w:color w:val="auto"/>
        </w:rPr>
        <w:t>_________________________________________________________________</w:t>
      </w:r>
    </w:p>
    <w:p>
      <w:pPr>
        <w:sectPr>
          <w:pgSz w:w="11900" w:h="16838" w:orient="portrait"/>
          <w:cols w:equalWidth="0" w:num="1">
            <w:col w:w="11280"/>
          </w:cols>
          <w:pgMar w:left="300" w:top="1152"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36"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0"/>
          <w:szCs w:val="10"/>
          <w:b w:val="1"/>
          <w:bCs w:val="1"/>
          <w:color w:val="auto"/>
        </w:rPr>
        <w:t>(State or Other Jurisdiction</w:t>
      </w:r>
    </w:p>
    <w:p>
      <w:pPr>
        <w:jc w:val="center"/>
        <w:ind w:left="620"/>
        <w:spacing w:after="0" w:line="236" w:lineRule="auto"/>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39"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2"/>
          <w:szCs w:val="12"/>
          <w:b w:val="1"/>
          <w:bCs w:val="1"/>
          <w:color w:val="auto"/>
        </w:rPr>
        <w:t>490 Arsenal Way,  Suite 120</w:t>
      </w:r>
    </w:p>
    <w:p>
      <w:pPr>
        <w:spacing w:after="0" w:line="4"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2"/>
          <w:szCs w:val="12"/>
          <w:b w:val="1"/>
          <w:bCs w:val="1"/>
          <w:color w:val="auto"/>
        </w:rPr>
        <w:t>Watertown, MA</w:t>
      </w:r>
    </w:p>
    <w:p>
      <w:pPr>
        <w:spacing w:after="0" w:line="15"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29"/>
          <w:szCs w:val="29"/>
          <w:b w:val="1"/>
          <w:bCs w:val="1"/>
          <w:color w:val="212529"/>
        </w:rPr>
        <w:t>C4 THERAPEUTICS, INC.</w:t>
      </w:r>
    </w:p>
    <w:p>
      <w:pPr>
        <w:spacing w:after="0" w:line="36"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0"/>
          <w:szCs w:val="10"/>
          <w:b w:val="1"/>
          <w:bCs w:val="1"/>
          <w:color w:val="212529"/>
        </w:rPr>
        <w:t>(Exact name of Registrant as Specified in Its Charter)</w:t>
      </w:r>
    </w:p>
    <w:p>
      <w:pPr>
        <w:ind w:left="480"/>
        <w:spacing w:after="0"/>
        <w:rPr>
          <w:sz w:val="20"/>
          <w:szCs w:val="20"/>
          <w:color w:val="auto"/>
        </w:rPr>
      </w:pPr>
      <w:r>
        <w:rPr>
          <w:rFonts w:ascii="Arial" w:cs="Arial" w:eastAsia="Arial" w:hAnsi="Arial"/>
          <w:sz w:val="7"/>
          <w:szCs w:val="7"/>
          <w:color w:val="auto"/>
        </w:rPr>
        <w:t>_________________________________________________________________</w:t>
      </w:r>
    </w:p>
    <w:p>
      <w:pPr>
        <w:spacing w:after="0" w:line="183"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2"/>
          <w:szCs w:val="12"/>
          <w:b w:val="1"/>
          <w:bCs w:val="1"/>
          <w:color w:val="auto"/>
        </w:rPr>
        <w:t>001-39567</w:t>
      </w:r>
    </w:p>
    <w:p>
      <w:pPr>
        <w:spacing w:after="0" w:line="12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0"/>
          <w:szCs w:val="10"/>
          <w:b w:val="1"/>
          <w:bCs w:val="1"/>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1"/>
          <w:szCs w:val="11"/>
          <w:b w:val="1"/>
          <w:bCs w:val="1"/>
          <w:color w:val="212529"/>
        </w:rPr>
        <w:t>Registrant’s Telephone Number, Including Area Code: (617) 231-0700</w:t>
      </w:r>
    </w:p>
    <w:p>
      <w:pPr>
        <w:spacing w:after="0" w:line="162"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2"/>
          <w:szCs w:val="12"/>
          <w:b w:val="1"/>
          <w:bCs w:val="1"/>
          <w:color w:val="212529"/>
        </w:rPr>
        <w:t>Not Applicable</w:t>
      </w:r>
    </w:p>
    <w:p>
      <w:pPr>
        <w:spacing w:after="0" w:line="15"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0"/>
          <w:szCs w:val="10"/>
          <w:b w:val="1"/>
          <w:bCs w:val="1"/>
          <w:color w:val="212529"/>
        </w:rPr>
        <w:t>(Former Name or Former Address, if Changed Since Last Report)</w:t>
      </w:r>
    </w:p>
    <w:p>
      <w:pPr>
        <w:ind w:left="480"/>
        <w:spacing w:after="0"/>
        <w:rPr>
          <w:sz w:val="20"/>
          <w:szCs w:val="20"/>
          <w:color w:val="auto"/>
        </w:rPr>
      </w:pPr>
      <w:r>
        <w:rPr>
          <w:rFonts w:ascii="Arial" w:cs="Arial" w:eastAsia="Arial" w:hAnsi="Arial"/>
          <w:sz w:val="7"/>
          <w:szCs w:val="7"/>
          <w:color w:val="auto"/>
        </w:rPr>
        <w:t>_________________________________________________________________</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2"/>
          <w:szCs w:val="12"/>
          <w:b w:val="1"/>
          <w:bCs w:val="1"/>
          <w:color w:val="auto"/>
        </w:rPr>
        <w:t>47-5617627</w:t>
      </w:r>
    </w:p>
    <w:p>
      <w:pPr>
        <w:spacing w:after="0" w:line="36"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500"/>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168"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2"/>
          <w:szCs w:val="12"/>
          <w:b w:val="1"/>
          <w:bCs w:val="1"/>
          <w:color w:val="auto"/>
        </w:rPr>
        <w:t>02472</w:t>
      </w:r>
    </w:p>
    <w:p>
      <w:pPr>
        <w:spacing w:after="0" w:line="40"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0"/>
          <w:szCs w:val="10"/>
          <w:b w:val="1"/>
          <w:bCs w:val="1"/>
          <w:color w:val="auto"/>
        </w:rPr>
        <w:t>(Zip Code)</w:t>
      </w:r>
    </w:p>
    <w:p>
      <w:pPr>
        <w:spacing w:after="0" w:line="1015" w:lineRule="exact"/>
        <w:rPr>
          <w:sz w:val="24"/>
          <w:szCs w:val="24"/>
          <w:color w:val="auto"/>
        </w:rPr>
      </w:pPr>
    </w:p>
    <w:p>
      <w:pPr>
        <w:sectPr>
          <w:pgSz w:w="11900" w:h="16838" w:orient="portrait"/>
          <w:cols w:equalWidth="0" w:num="3">
            <w:col w:w="3140" w:space="720"/>
            <w:col w:w="4460" w:space="720"/>
            <w:col w:w="2240"/>
          </w:cols>
          <w:pgMar w:left="300" w:top="1152"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212529"/>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580" w:hanging="576"/>
        <w:spacing w:after="0"/>
        <w:tabs>
          <w:tab w:leader="none" w:pos="5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0" w:lineRule="exact"/>
        <w:rPr>
          <w:rFonts w:ascii="Wingdings" w:cs="Wingdings" w:eastAsia="Wingdings" w:hAnsi="Wingdings"/>
          <w:sz w:val="12"/>
          <w:szCs w:val="12"/>
          <w:b w:val="1"/>
          <w:bCs w:val="1"/>
          <w:color w:val="auto"/>
        </w:rPr>
      </w:pPr>
    </w:p>
    <w:p>
      <w:pPr>
        <w:ind w:left="580" w:hanging="576"/>
        <w:spacing w:after="0"/>
        <w:tabs>
          <w:tab w:leader="none" w:pos="5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0" w:lineRule="exact"/>
        <w:rPr>
          <w:rFonts w:ascii="Wingdings" w:cs="Wingdings" w:eastAsia="Wingdings" w:hAnsi="Wingdings"/>
          <w:sz w:val="12"/>
          <w:szCs w:val="12"/>
          <w:b w:val="1"/>
          <w:bCs w:val="1"/>
          <w:color w:val="auto"/>
        </w:rPr>
      </w:pPr>
    </w:p>
    <w:p>
      <w:pPr>
        <w:ind w:left="580" w:hanging="576"/>
        <w:spacing w:after="0"/>
        <w:tabs>
          <w:tab w:leader="none" w:pos="5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0" w:lineRule="exact"/>
        <w:rPr>
          <w:rFonts w:ascii="Wingdings" w:cs="Wingdings" w:eastAsia="Wingdings" w:hAnsi="Wingdings"/>
          <w:sz w:val="12"/>
          <w:szCs w:val="12"/>
          <w:b w:val="1"/>
          <w:bCs w:val="1"/>
          <w:color w:val="auto"/>
        </w:rPr>
      </w:pPr>
    </w:p>
    <w:p>
      <w:pPr>
        <w:ind w:left="580" w:hanging="576"/>
        <w:spacing w:after="0"/>
        <w:tabs>
          <w:tab w:leader="none" w:pos="58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212529"/>
        </w:rPr>
        <w:t>Securities registered pursuant to Section 12(b) of the Act:</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44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80" w:type="dxa"/>
            <w:vAlign w:val="bottom"/>
            <w:vMerge w:val="restart"/>
          </w:tcPr>
          <w:p>
            <w:pPr>
              <w:spacing w:after="0"/>
              <w:rPr>
                <w:sz w:val="10"/>
                <w:szCs w:val="10"/>
                <w:color w:val="auto"/>
              </w:rPr>
            </w:pP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c>
          <w:tcPr>
            <w:tcW w:w="0" w:type="dxa"/>
            <w:vAlign w:val="bottom"/>
          </w:tcPr>
          <w:p>
            <w:pPr>
              <w:spacing w:after="0"/>
              <w:rPr>
                <w:sz w:val="1"/>
                <w:szCs w:val="1"/>
                <w:color w:val="auto"/>
              </w:rPr>
            </w:pPr>
          </w:p>
        </w:tc>
      </w:tr>
      <w:tr>
        <w:trPr>
          <w:trHeight w:val="129"/>
        </w:trPr>
        <w:tc>
          <w:tcPr>
            <w:tcW w:w="44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Symbol(s)</w:t>
            </w:r>
          </w:p>
        </w:tc>
        <w:tc>
          <w:tcPr>
            <w:tcW w:w="80" w:type="dxa"/>
            <w:vAlign w:val="bottom"/>
          </w:tcPr>
          <w:p>
            <w:pPr>
              <w:spacing w:after="0"/>
              <w:rPr>
                <w:sz w:val="11"/>
                <w:szCs w:val="11"/>
                <w:color w:val="auto"/>
              </w:rPr>
            </w:pPr>
          </w:p>
        </w:tc>
        <w:tc>
          <w:tcPr>
            <w:tcW w:w="4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Common Stock, $0.0001 par value per share</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CCCC</w:t>
            </w:r>
          </w:p>
        </w:tc>
        <w:tc>
          <w:tcPr>
            <w:tcW w:w="4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Global Select Market</w:t>
            </w:r>
          </w:p>
        </w:tc>
        <w:tc>
          <w:tcPr>
            <w:tcW w:w="0" w:type="dxa"/>
            <w:vAlign w:val="bottom"/>
          </w:tcPr>
          <w:p>
            <w:pPr>
              <w:spacing w:after="0"/>
              <w:rPr>
                <w:sz w:val="1"/>
                <w:szCs w:val="1"/>
                <w:color w:val="auto"/>
              </w:rPr>
            </w:pPr>
          </w:p>
        </w:tc>
      </w:tr>
    </w:tbl>
    <w:p>
      <w:pPr>
        <w:spacing w:after="0" w:line="223" w:lineRule="exact"/>
        <w:rPr>
          <w:sz w:val="24"/>
          <w:szCs w:val="24"/>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212529"/>
        </w:rPr>
        <w:t>Indicate by check mark whether the registrant is an emerging growth company as defined in Rule 405 of the Securities Act of 1933 (§ 230.405 of this chapter) or Rule 12b-2 of the Securities Exchange Act of 1934 (§ 240.12b-2 of this chapter).</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212529"/>
        </w:rPr>
        <w:t xml:space="preserve">Emerging growth company </w:t>
      </w:r>
      <w:r>
        <w:rPr>
          <w:rFonts w:ascii="Wingdings" w:cs="Wingdings" w:eastAsia="Wingdings" w:hAnsi="Wingdings"/>
          <w:sz w:val="12"/>
          <w:szCs w:val="12"/>
          <w:b w:val="1"/>
          <w:bCs w:val="1"/>
          <w:color w:val="212529"/>
        </w:rPr>
        <w:t>o</w:t>
      </w:r>
    </w:p>
    <w:p>
      <w:pPr>
        <w:spacing w:after="0" w:line="150"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212529"/>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533400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71666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117475</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280"/>
          </w:cols>
          <w:pgMar w:left="300" w:top="1152" w:right="319" w:bottom="1440" w:gutter="0" w:footer="0" w:header="0"/>
          <w:type w:val="continuous"/>
        </w:sectPr>
      </w:pPr>
    </w:p>
    <w:bookmarkStart w:id="1" w:name="page2"/>
    <w:bookmarkEnd w:id="1"/>
    <w:p>
      <w:pPr>
        <w:ind w:left="8"/>
        <w:spacing w:after="0"/>
        <w:rPr>
          <w:sz w:val="20"/>
          <w:szCs w:val="20"/>
          <w:color w:val="auto"/>
        </w:rPr>
      </w:pPr>
      <w:r>
        <w:rPr>
          <w:rFonts w:ascii="Times New Roman" w:cs="Times New Roman" w:eastAsia="Times New Roman" w:hAnsi="Times New Roman"/>
          <w:sz w:val="12"/>
          <w:szCs w:val="12"/>
          <w:b w:val="1"/>
          <w:bCs w:val="1"/>
          <w:color w:val="212529"/>
        </w:rPr>
        <w:t>Item 1.01 Entry into a Material Definitive Agreement.</w:t>
      </w:r>
    </w:p>
    <w:p>
      <w:pPr>
        <w:spacing w:after="0" w:line="78"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2"/>
          <w:szCs w:val="12"/>
          <w:color w:val="auto"/>
        </w:rPr>
        <w:t>On April 8, 2026, C4 Therapeutics, Inc. (“</w:t>
      </w:r>
      <w:r>
        <w:rPr>
          <w:rFonts w:ascii="Times New Roman" w:cs="Times New Roman" w:eastAsia="Times New Roman" w:hAnsi="Times New Roman"/>
          <w:sz w:val="12"/>
          <w:szCs w:val="12"/>
          <w:b w:val="1"/>
          <w:bCs w:val="1"/>
          <w:color w:val="auto"/>
        </w:rPr>
        <w:t>C4T</w:t>
      </w:r>
      <w:r>
        <w:rPr>
          <w:rFonts w:ascii="Times New Roman" w:cs="Times New Roman" w:eastAsia="Times New Roman" w:hAnsi="Times New Roman"/>
          <w:sz w:val="12"/>
          <w:szCs w:val="12"/>
          <w:color w:val="auto"/>
        </w:rPr>
        <w:t>”) entered into a Research Collaboration and License Agreement (the “</w:t>
      </w:r>
      <w:r>
        <w:rPr>
          <w:rFonts w:ascii="Times New Roman" w:cs="Times New Roman" w:eastAsia="Times New Roman" w:hAnsi="Times New Roman"/>
          <w:sz w:val="12"/>
          <w:szCs w:val="12"/>
          <w:b w:val="1"/>
          <w:bCs w:val="1"/>
          <w:color w:val="auto"/>
        </w:rPr>
        <w:t>License Agreement</w:t>
      </w:r>
      <w:r>
        <w:rPr>
          <w:rFonts w:ascii="Times New Roman" w:cs="Times New Roman" w:eastAsia="Times New Roman" w:hAnsi="Times New Roman"/>
          <w:sz w:val="12"/>
          <w:szCs w:val="12"/>
          <w:color w:val="auto"/>
        </w:rPr>
        <w:t>”) with F. Hoffmann-La Roche Ltd. (“</w:t>
      </w:r>
      <w:r>
        <w:rPr>
          <w:rFonts w:ascii="Times New Roman" w:cs="Times New Roman" w:eastAsia="Times New Roman" w:hAnsi="Times New Roman"/>
          <w:sz w:val="12"/>
          <w:szCs w:val="12"/>
          <w:b w:val="1"/>
          <w:bCs w:val="1"/>
          <w:color w:val="auto"/>
        </w:rPr>
        <w:t>Roche Basel</w:t>
      </w:r>
      <w:r>
        <w:rPr>
          <w:rFonts w:ascii="Times New Roman" w:cs="Times New Roman" w:eastAsia="Times New Roman" w:hAnsi="Times New Roman"/>
          <w:sz w:val="12"/>
          <w:szCs w:val="12"/>
          <w:color w:val="auto"/>
        </w:rPr>
        <w:t>”) and Hoffmann-La Roche Inc. (“</w:t>
      </w:r>
      <w:r>
        <w:rPr>
          <w:rFonts w:ascii="Times New Roman" w:cs="Times New Roman" w:eastAsia="Times New Roman" w:hAnsi="Times New Roman"/>
          <w:sz w:val="12"/>
          <w:szCs w:val="12"/>
          <w:b w:val="1"/>
          <w:bCs w:val="1"/>
          <w:color w:val="auto"/>
        </w:rPr>
        <w:t>Roche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and together with Roche Basel, “</w:t>
      </w:r>
      <w:r>
        <w:rPr>
          <w:rFonts w:ascii="Times New Roman" w:cs="Times New Roman" w:eastAsia="Times New Roman" w:hAnsi="Times New Roman"/>
          <w:sz w:val="12"/>
          <w:szCs w:val="12"/>
          <w:b w:val="1"/>
          <w:bCs w:val="1"/>
          <w:color w:val="auto"/>
        </w:rPr>
        <w:t>Roche</w:t>
      </w:r>
      <w:r>
        <w:rPr>
          <w:rFonts w:ascii="Times New Roman" w:cs="Times New Roman" w:eastAsia="Times New Roman" w:hAnsi="Times New Roman"/>
          <w:sz w:val="12"/>
          <w:szCs w:val="12"/>
          <w:color w:val="auto"/>
        </w:rPr>
        <w:t>”) to collaborate on the discovery, development and commercialization of degrader-antibody conjugates (“</w:t>
      </w:r>
      <w:r>
        <w:rPr>
          <w:rFonts w:ascii="Times New Roman" w:cs="Times New Roman" w:eastAsia="Times New Roman" w:hAnsi="Times New Roman"/>
          <w:sz w:val="12"/>
          <w:szCs w:val="12"/>
          <w:b w:val="1"/>
          <w:bCs w:val="1"/>
          <w:color w:val="auto"/>
        </w:rPr>
        <w:t>DACs</w:t>
      </w:r>
      <w:r>
        <w:rPr>
          <w:rFonts w:ascii="Times New Roman" w:cs="Times New Roman" w:eastAsia="Times New Roman" w:hAnsi="Times New Roman"/>
          <w:sz w:val="12"/>
          <w:szCs w:val="12"/>
          <w:color w:val="auto"/>
        </w:rPr>
        <w:t>”), an emerging modality designed to selectively target and neutralize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disease-causing proteins in cancer cells. C4T and Roche have a pre-existing material relationship arising from the Amended and Restated License Agreement entered into by and between C4T and Roche dated as of December 20, 2018, as amended, pursuant to which the parties have been collaborating on targeted protein degradation research since 2016.</w:t>
      </w:r>
    </w:p>
    <w:p>
      <w:pPr>
        <w:spacing w:after="0" w:line="49"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Pursuant to the terms of the License Agreement, C4T grants Roche a worldwide, exclusive license under certain of C4T’s intellectual property rights to develop, manufacture and commercialize DACs directed to two initial undisclosed oncology targets. Roche is responsible for all development, regulatory approval, manufacturing and commercialization costs. Under the terms of the License Agreement, Roche has agreed to make an upfront cash payment of $20.0 million. Roche is also obligated to make certain additional payments upon the achievement of specified research and development milestones, including payments upon advancement of programs through defined research stages. In addition, across the collaboration, C4T is eligible to receive over $1.0 billion in aggregate development, regulatory and commercial milestone payments, plus tiered royalties on net sales. Royalties payable from Roche to C4T range from mid-single digit to low-double digit percent, subject to customary product-by-product and country-by-country basis termination and reductions under certain circumstances as described in the License Agreement.</w:t>
      </w:r>
    </w:p>
    <w:p>
      <w:pPr>
        <w:spacing w:after="0" w:line="53"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In addition, as part of the collaboration, C4T grants Roche an option to obtain a worldwide, exclusive license under certain of C4T’s intellectual property rights to develop, manufacture and commercialize DACs directed to one additional target exercisable within a specified period following the effective date of the License Agreement, subject to payment of an option exercise fee. If Roche exercises this option, this additional program would also provide for additional potential milestones and royalties.</w:t>
      </w:r>
    </w:p>
    <w:p>
      <w:pPr>
        <w:spacing w:after="0" w:line="4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License Agreement includes customary representations and warranties, covenants, and indemnification obligations for a transaction of this nature. The License Agreement became effective upon signing and will continue in full force and effect on a product-by-product and country-by-country basis until the expiration of all applicable royalty terms, unless earlier terminated. Under the terms of the License Agreement, each of C4T and Roche has the right to terminate the agreement for material breach by, or insolvency of, the other party. Roche may also terminate the License Agreement in its entirety, or on a target-by-target basis, for convenience upon ninety (90) days’ notice.</w:t>
      </w:r>
    </w:p>
    <w:p>
      <w:pPr>
        <w:spacing w:after="0" w:line="47"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License Agreement is only a summary and is qualified in its entirety by reference to the License Agreement, a copy of which C4T intends to file as an exhibit to C4T’s Quarterly Report on Form 10-Q for the period ending June 30, 2026.</w:t>
      </w:r>
    </w:p>
    <w:p>
      <w:pPr>
        <w:spacing w:after="0" w:line="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212529"/>
        </w:rPr>
        <w:t>Item 7.01 Regulation FD Disclosure.</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April 9, 2026, C4T issued a press release relating to the License Agreement. A copy of this press release is attached hereto as Exhibit 99.1 and is incorporated herein by reference.</w:t>
      </w:r>
    </w:p>
    <w:p>
      <w:pPr>
        <w:spacing w:after="0" w:line="78"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 xml:space="preserve">On April 9, 2026, the Company also posted a corporate presentation on its website at </w:t>
      </w:r>
      <w:r>
        <w:rPr>
          <w:rFonts w:ascii="Times New Roman" w:cs="Times New Roman" w:eastAsia="Times New Roman" w:hAnsi="Times New Roman"/>
          <w:sz w:val="12"/>
          <w:szCs w:val="12"/>
          <w:color w:val="0000FF"/>
        </w:rPr>
        <w:t>https://ir.c4therapeutics.com/events-presentations</w:t>
      </w:r>
      <w:r>
        <w:rPr>
          <w:rFonts w:ascii="Times New Roman" w:cs="Times New Roman" w:eastAsia="Times New Roman" w:hAnsi="Times New Roman"/>
          <w:sz w:val="12"/>
          <w:szCs w:val="12"/>
          <w:color w:val="auto"/>
        </w:rPr>
        <w:t>. A copy of the presentation is furnished herewith as Exhibit 99.2 to this Current Report on Form 8-K.</w:t>
      </w:r>
    </w:p>
    <w:p>
      <w:pPr>
        <w:spacing w:after="0" w:line="39"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information in Item 7.01 of this Current Report on Form 8-K, including Exhibits 99.1 and 99.2, is being furnished and shall not be deemed “filed” for the purposes of Section 18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212529"/>
        </w:rPr>
        <w:t>Item 9.01 Financial Statements and Exhibits.</w:t>
      </w:r>
    </w:p>
    <w:p>
      <w:pPr>
        <w:spacing w:after="0" w:line="154" w:lineRule="exact"/>
        <w:rPr>
          <w:sz w:val="20"/>
          <w:szCs w:val="20"/>
          <w:color w:val="auto"/>
        </w:rPr>
      </w:pPr>
    </w:p>
    <w:p>
      <w:pPr>
        <w:ind w:left="8" w:right="20" w:hanging="8"/>
        <w:spacing w:after="0" w:line="279" w:lineRule="auto"/>
        <w:tabs>
          <w:tab w:leader="none" w:pos="178" w:val="left"/>
        </w:tabs>
        <w:numPr>
          <w:ilvl w:val="0"/>
          <w:numId w:val="2"/>
        </w:numPr>
        <w:rPr>
          <w:rFonts w:ascii="Times New Roman" w:cs="Times New Roman" w:eastAsia="Times New Roman" w:hAnsi="Times New Roman"/>
          <w:sz w:val="12"/>
          <w:szCs w:val="12"/>
          <w:color w:val="212529"/>
        </w:rPr>
      </w:pPr>
      <w:r>
        <w:rPr>
          <w:rFonts w:ascii="Times New Roman" w:cs="Times New Roman" w:eastAsia="Times New Roman" w:hAnsi="Times New Roman"/>
          <w:sz w:val="12"/>
          <w:szCs w:val="12"/>
          <w:u w:val="single" w:color="auto"/>
          <w:color w:val="212529"/>
        </w:rPr>
        <w:t>Exhibits</w:t>
      </w:r>
      <w:r>
        <w:rPr>
          <w:rFonts w:ascii="Times New Roman" w:cs="Times New Roman" w:eastAsia="Times New Roman" w:hAnsi="Times New Roman"/>
          <w:sz w:val="12"/>
          <w:szCs w:val="12"/>
          <w:color w:val="212529"/>
        </w:rPr>
        <w:t>. The exhibits shall be deemed to be filed or furnished, depending on the relevant item requiring such exhibit, in accordance with the provisions of Item 601 of Regulation S-K (17 CFR 229.601) and Instruction B.2 to this form.</w:t>
      </w:r>
    </w:p>
    <w:p>
      <w:pPr>
        <w:spacing w:after="0" w:line="11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16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460" w:type="dxa"/>
            <w:vAlign w:val="bottom"/>
            <w:vMerge w:val="restart"/>
          </w:tcPr>
          <w:p>
            <w:pPr>
              <w:ind w:left="206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80" w:type="dxa"/>
            <w:vAlign w:val="bottom"/>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746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14"/>
                <w:szCs w:val="14"/>
                <w:color w:val="auto"/>
              </w:rPr>
            </w:pPr>
          </w:p>
        </w:tc>
        <w:tc>
          <w:tcPr>
            <w:tcW w:w="1036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issued April 9, 2026</w:t>
            </w: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Corporate presentation of the Company dated April 9, 2026</w:t>
            </w:r>
          </w:p>
        </w:tc>
        <w:tc>
          <w:tcPr>
            <w:tcW w:w="74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7"/>
                <w:szCs w:val="17"/>
                <w:color w:val="auto"/>
              </w:rPr>
            </w:pPr>
          </w:p>
        </w:tc>
        <w:tc>
          <w:tcPr>
            <w:tcW w:w="103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675"/>
        </w:trPr>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37"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212529"/>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212529"/>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2"/>
          <w:szCs w:val="12"/>
          <w:color w:val="auto"/>
        </w:rPr>
        <w:t>C4 Therapeutics, Inc.</w:t>
      </w:r>
    </w:p>
    <w:p>
      <w:pPr>
        <w:spacing w:after="0" w:line="240" w:lineRule="exact"/>
        <w:rPr>
          <w:sz w:val="20"/>
          <w:szCs w:val="20"/>
          <w:color w:val="auto"/>
        </w:rPr>
      </w:pPr>
    </w:p>
    <w:p>
      <w:pPr>
        <w:spacing w:after="0"/>
        <w:tabs>
          <w:tab w:leader="none" w:pos="5420" w:val="left"/>
          <w:tab w:leader="none" w:pos="5820" w:val="left"/>
        </w:tabs>
        <w:rPr>
          <w:sz w:val="20"/>
          <w:szCs w:val="20"/>
          <w:color w:val="auto"/>
        </w:rPr>
      </w:pPr>
      <w:r>
        <w:rPr>
          <w:rFonts w:ascii="Times New Roman" w:cs="Times New Roman" w:eastAsia="Times New Roman" w:hAnsi="Times New Roman"/>
          <w:sz w:val="12"/>
          <w:szCs w:val="12"/>
          <w:color w:val="auto"/>
        </w:rPr>
        <w:t xml:space="preserve">Date: </w:t>
      </w:r>
      <w:r>
        <w:rPr>
          <w:rFonts w:ascii="Times New Roman" w:cs="Times New Roman" w:eastAsia="Times New Roman" w:hAnsi="Times New Roman"/>
          <w:sz w:val="12"/>
          <w:szCs w:val="12"/>
          <w:color w:val="212529"/>
        </w:rPr>
        <w:t>April 9,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Kendra R.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27940</wp:posOffset>
            </wp:positionV>
            <wp:extent cx="345757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4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b w:val="1"/>
          <w:bCs w:val="1"/>
          <w:color w:val="auto"/>
        </w:rPr>
        <w:t>Kendra R. Adams</w:t>
      </w:r>
    </w:p>
    <w:p>
      <w:pPr>
        <w:spacing w:after="0" w:line="6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b w:val="1"/>
          <w:bCs w:val="1"/>
          <w:color w:val="auto"/>
        </w:rPr>
        <w:t>Chief Financial Officer and Treasurer</w:t>
      </w:r>
    </w:p>
    <w:p>
      <w:pPr>
        <w:sectPr>
          <w:pgSz w:w="11900" w:h="16838" w:orient="portrait"/>
          <w:cols w:equalWidth="0" w:num="1">
            <w:col w:w="10159"/>
          </w:cols>
          <w:pgMar w:left="300" w:top="809"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1068705" cy="16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8705" cy="1600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C4 Therapeutics Expands Long-Term Partnership with Roche Through New Collaboration Agreement Focused on Discovering and Developing Degrader-Antibody Conjugates (DACs)</w:t>
      </w:r>
    </w:p>
    <w:p>
      <w:pPr>
        <w:spacing w:after="0" w:line="310" w:lineRule="exact"/>
        <w:rPr>
          <w:sz w:val="20"/>
          <w:szCs w:val="20"/>
          <w:color w:val="auto"/>
        </w:rPr>
      </w:pPr>
    </w:p>
    <w:p>
      <w:pPr>
        <w:jc w:val="center"/>
        <w:spacing w:after="0" w:line="395" w:lineRule="auto"/>
        <w:rPr>
          <w:sz w:val="20"/>
          <w:szCs w:val="20"/>
          <w:color w:val="auto"/>
        </w:rPr>
      </w:pPr>
      <w:r>
        <w:rPr>
          <w:rFonts w:ascii="Times New Roman" w:cs="Times New Roman" w:eastAsia="Times New Roman" w:hAnsi="Times New Roman"/>
          <w:sz w:val="13"/>
          <w:szCs w:val="13"/>
          <w:i w:val="1"/>
          <w:iCs w:val="1"/>
          <w:color w:val="auto"/>
        </w:rPr>
        <w:t>Agreement Focused on Developing DACs With Payloads For Two Oncology Targets, With an Option for a Third Target C4T to Develop Degraders With Payload Properties; Roche to Conjugate Payloads to Targeted Antibodies C4T to Receive $20 Million Upfront Payment and Eligible to Receive Over $1 Billion in Discovery, Development and Commercial Milestones, in Addition to Future Royalties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WATERTOWN, Mass., - April 9, 2026 - </w:t>
      </w:r>
      <w:r>
        <w:rPr>
          <w:rFonts w:ascii="Times New Roman" w:cs="Times New Roman" w:eastAsia="Times New Roman" w:hAnsi="Times New Roman"/>
          <w:sz w:val="13"/>
          <w:szCs w:val="13"/>
          <w:color w:val="auto"/>
        </w:rPr>
        <w:t>C4 Therapeutics, Inc. (C4T) (Nasdaq: CCCC), a clinical-stage biopharmaceutical company dedicated to advancing targeted protein degradation science today announced</w:t>
      </w:r>
    </w:p>
    <w:p>
      <w:pPr>
        <w:spacing w:after="0" w:line="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that it has entered into a new collaboration agreement with Roche (SIX: RO, ROP; OTCQX: RHHBY) to advance research in the emerging degrader-antibody conjugate (DAC) modality. Working together, C4T and Roche will combine antibody-drug conjugation (ADC) and targeted protein degradation (TPD) to develop a new way to treat cancers that leverages both the specificity and catalytic efficiency of degraders with the delivery capabilities of ADCs.</w:t>
      </w:r>
    </w:p>
    <w:p>
      <w:pPr>
        <w:spacing w:after="0" w:line="50"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3"/>
          <w:szCs w:val="13"/>
          <w:color w:val="auto"/>
        </w:rPr>
        <w:t>“For the past decade, C4T and Roche have worked together to drive research in targeted protein degradation and to establish this modality as a new way to treat cancer,” said Andrew Hirsch, president and chief executive officer of C4 Therapeutics. “Our new collaboration leverages C4T’s ability to design highly catalytic and selective degraders, as well as degrader payloads for DACs, alongside Roche’s extensive experience developing ADCs with specific binding. Together, these capabilities build a powerful new modality that can offer transformative medicines for patients.”</w:t>
      </w:r>
    </w:p>
    <w:p>
      <w:pPr>
        <w:spacing w:after="0" w:line="3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3"/>
          <w:szCs w:val="13"/>
          <w:color w:val="auto"/>
        </w:rPr>
        <w:t>“Roche has been a believer in targeted protein degradation and its potential for differentiation early on, when partnering with C4T for the first time in 2016,” said Boris Zaïtra, head of corporate business development, Roche. “Our relationship with C4 Therapeutics is built on a decade of trust and shared scientific ambition. We are pleased to enter into our third collaboration, expanding our long-standing partnership to pioneer the emerging modality of degrader-antibody conjugates (DACs).”</w:t>
      </w:r>
    </w:p>
    <w:p>
      <w:pPr>
        <w:spacing w:after="0" w:line="31" w:lineRule="exact"/>
        <w:rPr>
          <w:sz w:val="20"/>
          <w:szCs w:val="20"/>
          <w:color w:val="auto"/>
        </w:rPr>
      </w:pPr>
    </w:p>
    <w:p>
      <w:pPr>
        <w:jc w:val="both"/>
        <w:ind w:right="360"/>
        <w:spacing w:after="0" w:line="236" w:lineRule="auto"/>
        <w:rPr>
          <w:sz w:val="20"/>
          <w:szCs w:val="20"/>
          <w:color w:val="auto"/>
        </w:rPr>
      </w:pPr>
      <w:r>
        <w:rPr>
          <w:rFonts w:ascii="Times New Roman" w:cs="Times New Roman" w:eastAsia="Times New Roman" w:hAnsi="Times New Roman"/>
          <w:sz w:val="13"/>
          <w:szCs w:val="13"/>
          <w:color w:val="auto"/>
        </w:rPr>
        <w:t>Under the joint research plan, C4T and Roche will collaborate on two programs to develop DACs against undisclosed oncology targets exclusive to the collaboration. C4T will use its proprietary TORPEDO</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platform to design degrader payload candidates. Roche will select and design the antibody as well as conjugate the antibody to the degrader payload. Roche will be responsible for advancing DAC candidates through preclinical and clinical development as well as commercialization.</w:t>
      </w:r>
    </w:p>
    <w:p>
      <w:pPr>
        <w:spacing w:after="0" w:line="63"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3"/>
          <w:szCs w:val="13"/>
          <w:color w:val="auto"/>
        </w:rPr>
        <w:t>C4T will receive a $20 million upfront payment for the two programs. Should Roche exercise its option for a third target, C4T will receive an additional payment. Across the collaboration, C4T will receive near-term discovery milestone payments. C4T is eligible to receive over $1 billion in discovery, regulatory and commercial milestone payments. In addition, C4T is entitled to tiered royalties on future sales, subject to reductions under certain circumstances as described in the collaboration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Degrader-Antibody Conjugates (DACs)</w:t>
      </w:r>
    </w:p>
    <w:p>
      <w:pPr>
        <w:sectPr>
          <w:pgSz w:w="11900" w:h="16838" w:orient="portrait"/>
          <w:cols w:equalWidth="0" w:num="1">
            <w:col w:w="11300"/>
          </w:cols>
          <w:pgMar w:left="300" w:top="1064" w:right="299" w:bottom="1440" w:gutter="0" w:footer="0" w:header="0"/>
        </w:sectPr>
      </w:pPr>
    </w:p>
    <w:bookmarkStart w:id="4" w:name="page5"/>
    <w:bookmarkEnd w:id="4"/>
    <w:p>
      <w:pPr>
        <w:jc w:val="both"/>
        <w:ind w:right="340"/>
        <w:spacing w:after="0" w:line="270" w:lineRule="auto"/>
        <w:rPr>
          <w:sz w:val="20"/>
          <w:szCs w:val="20"/>
          <w:color w:val="auto"/>
        </w:rPr>
      </w:pPr>
      <w:r>
        <w:rPr>
          <w:rFonts w:ascii="Times New Roman" w:cs="Times New Roman" w:eastAsia="Times New Roman" w:hAnsi="Times New Roman"/>
          <w:sz w:val="13"/>
          <w:szCs w:val="13"/>
          <w:color w:val="auto"/>
        </w:rPr>
        <w:t>ADCs over the last 15 years have made important contributions to cancer therapy, but their clinical utility has historically been challenged by a limited therapeutic margin. Degrader-based ADCs, or degrader-antibody conjugates (DACs), represent a potential step-change in this modality. By utilizing degrader payloads that target specific cellular dependencies, DACs offer a superior therapeutic index. These small-molecule degraders are characterized by a catalytic mechanism of action—a feature unique to this approach—rendering them exceptionally well suited for targeted antibody delivery.</w:t>
      </w:r>
    </w:p>
    <w:p>
      <w:pPr>
        <w:spacing w:after="0" w:line="114"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3"/>
          <w:szCs w:val="13"/>
          <w:b w:val="1"/>
          <w:bCs w:val="1"/>
          <w:color w:val="auto"/>
        </w:rPr>
        <w:t xml:space="preserve">About C4 Therapeutics </w:t>
      </w:r>
      <w:r>
        <w:rPr>
          <w:rFonts w:ascii="Times New Roman" w:cs="Times New Roman" w:eastAsia="Times New Roman" w:hAnsi="Times New Roman"/>
          <w:sz w:val="13"/>
          <w:szCs w:val="13"/>
          <w:color w:val="auto"/>
        </w:rPr>
        <w:t>C4 Therapeutics (C4T) (Nasdaq: CCCC) is a clinical-stage biopharmaceutical company dedicated to delivering on the promise of targeted protein degradation science to create a new</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generation of medicines that transforms patients’ lives. C4T is progressing targeted oncology programs through clinical studies and leveraging its TORPEDO</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platform to efficiently design and optimize small-molecule medicines to address difficult-to-treat diseases. C4T’s degrader medicines are designed to harness the body’s natural protein recycling system to rapidly degrade disease-causing proteins, offering the potential to overcome drug resistance, drug undruggable targets and improve patient outcomes. For more information, please visit www.c4therapeutics.com.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the TORPEDO</w:t>
      </w:r>
      <w:r>
        <w:rPr>
          <w:rFonts w:ascii="Times New Roman" w:cs="Times New Roman" w:eastAsia="Times New Roman" w:hAnsi="Times New Roman"/>
          <w:sz w:val="17"/>
          <w:szCs w:val="17"/>
          <w:b w:val="1"/>
          <w:bCs w:val="1"/>
          <w:color w:val="auto"/>
          <w:vertAlign w:val="superscript"/>
        </w:rPr>
        <w:t>®</w:t>
      </w:r>
      <w:r>
        <w:rPr>
          <w:rFonts w:ascii="Times New Roman" w:cs="Times New Roman" w:eastAsia="Times New Roman" w:hAnsi="Times New Roman"/>
          <w:sz w:val="13"/>
          <w:szCs w:val="13"/>
          <w:b w:val="1"/>
          <w:bCs w:val="1"/>
          <w:color w:val="auto"/>
        </w:rPr>
        <w:t xml:space="preserve"> Platform</w:t>
      </w:r>
    </w:p>
    <w:p>
      <w:pPr>
        <w:spacing w:after="0" w:line="4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3"/>
          <w:szCs w:val="13"/>
          <w:color w:val="auto"/>
        </w:rPr>
        <w:t>The proprietary TORPEDO</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platform drives C4 Therapeutics’s (C4T) efforts to create a new generation of small molecule medicines centered around heterobivalent degraders (BiDAC</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degraders), molecular glue degraders (MonoDAC</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degraders) and degrader-antibody conjugates (DACs). The TORPEDO platform integrates DNA-encoded library (DEL) technology, a Cereblon toolkit, diverse chemical libraries, degrader design assisted by AI-driven ternary complex models and proteomics to selectively target disease-causing proteins. C4T utilizes the TORPEDO platform to design and develop highly catalytic, specific and potent degraders with the ability to penetrate the blood brain barrier across a range of clinically validated pathways and diseases that include oncology, inflammation and neuroinflammation and neurodegeneration. C4T further leverages the TORPEDO platform to develop payloads for degrader-antibody conjugates (DACs), an emerging modality for hard-to-treat cancers.</w:t>
      </w:r>
    </w:p>
    <w:p>
      <w:pPr>
        <w:spacing w:after="0" w:line="1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Forward Looking Statements </w:t>
      </w:r>
      <w:r>
        <w:rPr>
          <w:rFonts w:ascii="Times New Roman" w:cs="Times New Roman" w:eastAsia="Times New Roman" w:hAnsi="Times New Roman"/>
          <w:sz w:val="13"/>
          <w:szCs w:val="13"/>
          <w:color w:val="auto"/>
        </w:rPr>
        <w:t>This press release contains “forward-looking statements” of C4 Therapeutics, Inc. within the meaning of the Private Securities Litigation Reform Act of 1995. These forward-looking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statements may include, but may not be limited to, express or implied statements regarding our ability to develop potential therapies for patients; the design and potential efficacy of our therapeutic approaches; the predictive capability of our TORPEDO</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platform in the development of novel, selective, orally bioavailable BiDAC™ and MonoDAC</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degraders; our ability to achieve potential future milestone or royalty payments; and our ability to fund our future operations. 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For a discussion of the risks and uncertainties, and other important factors, any of which could cause our actual results to differ from those contained in the forward-looking statements, see the section entitled “Risk Factors” in C4 Therapeutics’ most recent Annual Report on Form 10-K and/or Quarterly Report on Form 10-Q, as filed with the Securities and Exchange Commission. All information in this press release is as of the date of the release and C4 Therapeutics undertakes no duty to update this information unless required by law.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Courtney Solberg</w:t>
      </w:r>
    </w:p>
    <w:p>
      <w:pPr>
        <w:sectPr>
          <w:pgSz w:w="11900" w:h="16838" w:orient="portrait"/>
          <w:cols w:equalWidth="0" w:num="1">
            <w:col w:w="11280"/>
          </w:cols>
          <w:pgMar w:left="300" w:top="1061"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color w:val="auto"/>
        </w:rPr>
        <w:t>Associate Director, Investor Relations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CSolberg@c4therapeutics.com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Media: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Loraine Spreen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Senior Director, Corporate Communications &amp; Patient Advocacy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LSpreen@c4therapeutics.com</w:t>
      </w:r>
    </w:p>
    <w:p>
      <w:pPr>
        <w:sectPr>
          <w:pgSz w:w="11900" w:h="16838" w:orient="portrait"/>
          <w:cols w:equalWidth="0" w:num="1">
            <w:col w:w="10159"/>
          </w:cols>
          <w:pgMar w:left="300" w:top="1286"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2026-04-09T06:10:26Z</dcterms:created>
  <dcterms:modified xsi:type="dcterms:W3CDTF">2026-04-09T06:10:26Z</dcterms:modified>
</cp:coreProperties>
</file>