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Confidential Treatment Requested by C4 Therapeutics, Inc.</w:t>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Pursuant to 17 C.F.R. Section 200.83</w:t>
      </w:r>
    </w:p>
    <w:p>
      <w:pPr>
        <w:spacing w:after="0" w:line="64" w:lineRule="exact"/>
        <w:rPr>
          <w:sz w:val="24"/>
          <w:szCs w:val="24"/>
          <w:color w:val="auto"/>
        </w:rPr>
      </w:pPr>
    </w:p>
    <w:p>
      <w:pPr>
        <w:jc w:val="center"/>
        <w:ind w:left="440" w:right="2520"/>
        <w:spacing w:after="0" w:line="260" w:lineRule="auto"/>
        <w:rPr>
          <w:sz w:val="20"/>
          <w:szCs w:val="20"/>
          <w:color w:val="auto"/>
        </w:rPr>
      </w:pPr>
      <w:r>
        <w:rPr>
          <w:rFonts w:ascii="Arial" w:cs="Arial" w:eastAsia="Arial" w:hAnsi="Arial"/>
          <w:sz w:val="13"/>
          <w:szCs w:val="13"/>
          <w:b w:val="1"/>
          <w:bCs w:val="1"/>
          <w:color w:val="auto"/>
        </w:rPr>
        <w:t>As confidentially submitted to the Securities and Exchange Commission on May 19, 2021. This draft registration statement has not been publicly filed with the Securities and Exchange Commission and all information herein remain confidential.</w:t>
      </w: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S-1</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89535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C4 Therapeutics, Inc.</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3"/>
          <w:szCs w:val="13"/>
          <w:color w:val="auto"/>
        </w:rPr>
        <w:t>(Exact name of registrant as specified in its charter)</w:t>
      </w:r>
    </w:p>
    <w:p>
      <w:pPr>
        <w:spacing w:after="0" w:line="37" w:lineRule="exact"/>
        <w:rPr>
          <w:sz w:val="24"/>
          <w:szCs w:val="24"/>
          <w:color w:val="auto"/>
        </w:rPr>
      </w:pPr>
    </w:p>
    <w:tbl>
      <w:tblPr>
        <w:tblLayout w:type="fixed"/>
        <w:tblInd w:w="120" w:type="dxa"/>
        <w:tblCellMar>
          <w:top w:w="0" w:type="dxa"/>
          <w:left w:w="0" w:type="dxa"/>
          <w:bottom w:w="0" w:type="dxa"/>
          <w:right w:w="0" w:type="dxa"/>
        </w:tblCellMar>
      </w:tblPr>
      <w:tr>
        <w:trPr>
          <w:trHeight w:val="178"/>
        </w:trPr>
        <w:tc>
          <w:tcPr>
            <w:tcW w:w="3160" w:type="dxa"/>
            <w:vAlign w:val="bottom"/>
            <w:tcBorders>
              <w:bottom w:val="single" w:sz="8" w:color="auto"/>
            </w:tcBorders>
          </w:tcPr>
          <w:p>
            <w:pPr>
              <w:jc w:val="center"/>
              <w:ind w:left="479"/>
              <w:spacing w:after="0"/>
              <w:rPr>
                <w:sz w:val="20"/>
                <w:szCs w:val="20"/>
                <w:color w:val="auto"/>
              </w:rPr>
            </w:pPr>
            <w:r>
              <w:rPr>
                <w:rFonts w:ascii="Arial" w:cs="Arial" w:eastAsia="Arial" w:hAnsi="Arial"/>
                <w:sz w:val="13"/>
                <w:szCs w:val="13"/>
                <w:b w:val="1"/>
                <w:bCs w:val="1"/>
                <w:color w:val="auto"/>
              </w:rPr>
              <w:t>DELAWARE</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2836</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center"/>
              <w:ind w:right="559"/>
              <w:spacing w:after="0"/>
              <w:rPr>
                <w:sz w:val="20"/>
                <w:szCs w:val="20"/>
                <w:color w:val="auto"/>
              </w:rPr>
            </w:pPr>
            <w:r>
              <w:rPr>
                <w:rFonts w:ascii="Arial" w:cs="Arial" w:eastAsia="Arial" w:hAnsi="Arial"/>
                <w:sz w:val="13"/>
                <w:szCs w:val="13"/>
                <w:b w:val="1"/>
                <w:bCs w:val="1"/>
                <w:color w:val="auto"/>
              </w:rPr>
              <w:t>47-5617627</w:t>
            </w:r>
          </w:p>
        </w:tc>
      </w:tr>
      <w:tr>
        <w:trPr>
          <w:trHeight w:val="199"/>
        </w:trPr>
        <w:tc>
          <w:tcPr>
            <w:tcW w:w="3160" w:type="dxa"/>
            <w:vAlign w:val="bottom"/>
          </w:tcPr>
          <w:p>
            <w:pPr>
              <w:jc w:val="center"/>
              <w:ind w:left="479"/>
              <w:spacing w:after="0" w:line="200" w:lineRule="exact"/>
              <w:rPr>
                <w:sz w:val="20"/>
                <w:szCs w:val="20"/>
                <w:color w:val="auto"/>
              </w:rPr>
            </w:pPr>
            <w:r>
              <w:rPr>
                <w:rFonts w:ascii="Arial" w:cs="Arial" w:eastAsia="Arial" w:hAnsi="Arial"/>
                <w:sz w:val="18"/>
                <w:szCs w:val="18"/>
                <w:color w:val="auto"/>
                <w:w w:val="97"/>
              </w:rPr>
              <w:t>(State or other jurisdiction of</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gridSpan w:val="3"/>
          </w:tcPr>
          <w:p>
            <w:pPr>
              <w:jc w:val="center"/>
              <w:ind w:right="760"/>
              <w:spacing w:after="0" w:line="200" w:lineRule="exact"/>
              <w:rPr>
                <w:sz w:val="20"/>
                <w:szCs w:val="20"/>
                <w:color w:val="auto"/>
              </w:rPr>
            </w:pPr>
            <w:r>
              <w:rPr>
                <w:rFonts w:ascii="Arial" w:cs="Arial" w:eastAsia="Arial" w:hAnsi="Arial"/>
                <w:sz w:val="18"/>
                <w:szCs w:val="18"/>
                <w:color w:val="auto"/>
                <w:w w:val="98"/>
              </w:rPr>
              <w:t>(Primary Standard Industrial</w:t>
            </w:r>
          </w:p>
        </w:tc>
        <w:tc>
          <w:tcPr>
            <w:tcW w:w="2880" w:type="dxa"/>
            <w:vAlign w:val="bottom"/>
          </w:tcPr>
          <w:p>
            <w:pPr>
              <w:jc w:val="center"/>
              <w:ind w:right="579"/>
              <w:spacing w:after="0" w:line="200" w:lineRule="exact"/>
              <w:rPr>
                <w:sz w:val="20"/>
                <w:szCs w:val="20"/>
                <w:color w:val="auto"/>
              </w:rPr>
            </w:pPr>
            <w:r>
              <w:rPr>
                <w:rFonts w:ascii="Arial" w:cs="Arial" w:eastAsia="Arial" w:hAnsi="Arial"/>
                <w:sz w:val="18"/>
                <w:szCs w:val="18"/>
                <w:color w:val="auto"/>
                <w:w w:val="98"/>
              </w:rPr>
              <w:t>(I.R.S. Employer</w:t>
            </w:r>
          </w:p>
        </w:tc>
      </w:tr>
      <w:tr>
        <w:trPr>
          <w:trHeight w:val="211"/>
        </w:trPr>
        <w:tc>
          <w:tcPr>
            <w:tcW w:w="3160" w:type="dxa"/>
            <w:vAlign w:val="bottom"/>
          </w:tcPr>
          <w:p>
            <w:pPr>
              <w:jc w:val="center"/>
              <w:ind w:left="479"/>
              <w:spacing w:after="0"/>
              <w:rPr>
                <w:sz w:val="20"/>
                <w:szCs w:val="20"/>
                <w:color w:val="auto"/>
              </w:rPr>
            </w:pPr>
            <w:r>
              <w:rPr>
                <w:rFonts w:ascii="Arial" w:cs="Arial" w:eastAsia="Arial" w:hAnsi="Arial"/>
                <w:sz w:val="18"/>
                <w:szCs w:val="18"/>
                <w:color w:val="auto"/>
                <w:w w:val="97"/>
              </w:rPr>
              <w:t>incorporation or organization)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3"/>
          </w:tcPr>
          <w:p>
            <w:pPr>
              <w:jc w:val="center"/>
              <w:ind w:right="760"/>
              <w:spacing w:after="0"/>
              <w:rPr>
                <w:sz w:val="20"/>
                <w:szCs w:val="20"/>
                <w:color w:val="auto"/>
              </w:rPr>
            </w:pPr>
            <w:r>
              <w:rPr>
                <w:rFonts w:ascii="Arial" w:cs="Arial" w:eastAsia="Arial" w:hAnsi="Arial"/>
                <w:sz w:val="18"/>
                <w:szCs w:val="18"/>
                <w:color w:val="auto"/>
                <w:w w:val="97"/>
              </w:rPr>
              <w:t>Classification Code Number)</w:t>
            </w:r>
          </w:p>
        </w:tc>
        <w:tc>
          <w:tcPr>
            <w:tcW w:w="2880" w:type="dxa"/>
            <w:vAlign w:val="bottom"/>
          </w:tcPr>
          <w:p>
            <w:pPr>
              <w:jc w:val="center"/>
              <w:ind w:right="579"/>
              <w:spacing w:after="0"/>
              <w:rPr>
                <w:sz w:val="20"/>
                <w:szCs w:val="20"/>
                <w:color w:val="auto"/>
              </w:rPr>
            </w:pPr>
            <w:r>
              <w:rPr>
                <w:rFonts w:ascii="Arial" w:cs="Arial" w:eastAsia="Arial" w:hAnsi="Arial"/>
                <w:sz w:val="18"/>
                <w:szCs w:val="18"/>
                <w:color w:val="auto"/>
                <w:w w:val="98"/>
              </w:rPr>
              <w:t>Identification No.)</w:t>
            </w:r>
          </w:p>
        </w:tc>
      </w:tr>
      <w:tr>
        <w:trPr>
          <w:trHeight w:val="161"/>
        </w:trPr>
        <w:tc>
          <w:tcPr>
            <w:tcW w:w="3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8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rPr>
              <w:t>C4 Therapeutics, Inc.</w:t>
            </w:r>
          </w:p>
        </w:tc>
        <w:tc>
          <w:tcPr>
            <w:tcW w:w="2880" w:type="dxa"/>
            <w:vAlign w:val="bottom"/>
          </w:tcPr>
          <w:p>
            <w:pPr>
              <w:spacing w:after="0"/>
              <w:rPr>
                <w:sz w:val="13"/>
                <w:szCs w:val="13"/>
                <w:color w:val="auto"/>
              </w:rPr>
            </w:pPr>
          </w:p>
        </w:tc>
      </w:tr>
      <w:tr>
        <w:trPr>
          <w:trHeight w:val="149"/>
        </w:trPr>
        <w:tc>
          <w:tcPr>
            <w:tcW w:w="3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rPr>
              <w:t>490 Arsenal Way, Suite 200</w:t>
            </w:r>
          </w:p>
        </w:tc>
        <w:tc>
          <w:tcPr>
            <w:tcW w:w="2880" w:type="dxa"/>
            <w:vAlign w:val="bottom"/>
          </w:tcPr>
          <w:p>
            <w:pPr>
              <w:spacing w:after="0"/>
              <w:rPr>
                <w:sz w:val="12"/>
                <w:szCs w:val="12"/>
                <w:color w:val="auto"/>
              </w:rPr>
            </w:pPr>
          </w:p>
        </w:tc>
      </w:tr>
      <w:tr>
        <w:trPr>
          <w:trHeight w:val="148"/>
        </w:trPr>
        <w:tc>
          <w:tcPr>
            <w:tcW w:w="3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80" w:type="dxa"/>
            <w:vAlign w:val="bottom"/>
            <w:gridSpan w:val="3"/>
          </w:tcPr>
          <w:p>
            <w:pPr>
              <w:jc w:val="center"/>
              <w:ind w:right="980"/>
              <w:spacing w:after="0"/>
              <w:rPr>
                <w:sz w:val="20"/>
                <w:szCs w:val="20"/>
                <w:color w:val="auto"/>
              </w:rPr>
            </w:pPr>
            <w:r>
              <w:rPr>
                <w:rFonts w:ascii="Arial" w:cs="Arial" w:eastAsia="Arial" w:hAnsi="Arial"/>
                <w:sz w:val="13"/>
                <w:szCs w:val="13"/>
                <w:b w:val="1"/>
                <w:bCs w:val="1"/>
                <w:color w:val="auto"/>
              </w:rPr>
              <w:t>Watertown, MA 02472</w:t>
            </w:r>
          </w:p>
        </w:tc>
        <w:tc>
          <w:tcPr>
            <w:tcW w:w="2880" w:type="dxa"/>
            <w:vAlign w:val="bottom"/>
          </w:tcPr>
          <w:p>
            <w:pPr>
              <w:spacing w:after="0"/>
              <w:rPr>
                <w:sz w:val="12"/>
                <w:szCs w:val="12"/>
                <w:color w:val="auto"/>
              </w:rPr>
            </w:pPr>
          </w:p>
        </w:tc>
      </w:tr>
      <w:tr>
        <w:trPr>
          <w:trHeight w:val="164"/>
        </w:trPr>
        <w:tc>
          <w:tcPr>
            <w:tcW w:w="3160" w:type="dxa"/>
            <w:vAlign w:val="bottom"/>
          </w:tcPr>
          <w:p>
            <w:pPr>
              <w:spacing w:after="0"/>
              <w:rPr>
                <w:sz w:val="14"/>
                <w:szCs w:val="14"/>
                <w:color w:val="auto"/>
              </w:rPr>
            </w:pPr>
          </w:p>
        </w:tc>
        <w:tc>
          <w:tcPr>
            <w:tcW w:w="4220" w:type="dxa"/>
            <w:vAlign w:val="bottom"/>
            <w:gridSpan w:val="3"/>
          </w:tcPr>
          <w:p>
            <w:pPr>
              <w:jc w:val="center"/>
              <w:ind w:left="393"/>
              <w:spacing w:after="0"/>
              <w:rPr>
                <w:sz w:val="20"/>
                <w:szCs w:val="20"/>
                <w:color w:val="auto"/>
              </w:rPr>
            </w:pPr>
            <w:r>
              <w:rPr>
                <w:rFonts w:ascii="Arial" w:cs="Arial" w:eastAsia="Arial" w:hAnsi="Arial"/>
                <w:sz w:val="13"/>
                <w:szCs w:val="13"/>
                <w:b w:val="1"/>
                <w:bCs w:val="1"/>
                <w:color w:val="auto"/>
              </w:rPr>
              <w:t>(617) 231-0700</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48"/>
        </w:trPr>
        <w:tc>
          <w:tcPr>
            <w:tcW w:w="3160" w:type="dxa"/>
            <w:vAlign w:val="bottom"/>
          </w:tcPr>
          <w:p>
            <w:pPr>
              <w:spacing w:after="0"/>
              <w:rPr>
                <w:sz w:val="12"/>
                <w:szCs w:val="12"/>
                <w:color w:val="auto"/>
              </w:rPr>
            </w:pPr>
          </w:p>
        </w:tc>
        <w:tc>
          <w:tcPr>
            <w:tcW w:w="4980" w:type="dxa"/>
            <w:vAlign w:val="bottom"/>
            <w:gridSpan w:val="5"/>
          </w:tcPr>
          <w:p>
            <w:pPr>
              <w:jc w:val="center"/>
              <w:ind w:right="300"/>
              <w:spacing w:after="0"/>
              <w:rPr>
                <w:sz w:val="20"/>
                <w:szCs w:val="20"/>
                <w:color w:val="auto"/>
              </w:rPr>
            </w:pPr>
            <w:r>
              <w:rPr>
                <w:rFonts w:ascii="Arial" w:cs="Arial" w:eastAsia="Arial" w:hAnsi="Arial"/>
                <w:sz w:val="13"/>
                <w:szCs w:val="13"/>
                <w:color w:val="auto"/>
              </w:rPr>
              <w:t>(Address, including zip code, and telephone number, including area code,</w:t>
            </w:r>
          </w:p>
        </w:tc>
        <w:tc>
          <w:tcPr>
            <w:tcW w:w="2880" w:type="dxa"/>
            <w:vAlign w:val="bottom"/>
          </w:tcPr>
          <w:p>
            <w:pPr>
              <w:spacing w:after="0"/>
              <w:rPr>
                <w:sz w:val="12"/>
                <w:szCs w:val="12"/>
                <w:color w:val="auto"/>
              </w:rPr>
            </w:pPr>
          </w:p>
        </w:tc>
      </w:tr>
      <w:tr>
        <w:trPr>
          <w:trHeight w:val="162"/>
        </w:trPr>
        <w:tc>
          <w:tcPr>
            <w:tcW w:w="3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gridSpan w:val="3"/>
          </w:tcPr>
          <w:p>
            <w:pPr>
              <w:jc w:val="center"/>
              <w:ind w:right="980"/>
              <w:spacing w:after="0"/>
              <w:rPr>
                <w:sz w:val="20"/>
                <w:szCs w:val="20"/>
                <w:color w:val="auto"/>
              </w:rPr>
            </w:pPr>
            <w:r>
              <w:rPr>
                <w:rFonts w:ascii="Arial" w:cs="Arial" w:eastAsia="Arial" w:hAnsi="Arial"/>
                <w:sz w:val="13"/>
                <w:szCs w:val="13"/>
                <w:color w:val="auto"/>
              </w:rPr>
              <w:t>of registrant’s principal executive offices)</w:t>
            </w:r>
          </w:p>
        </w:tc>
        <w:tc>
          <w:tcPr>
            <w:tcW w:w="2880" w:type="dxa"/>
            <w:vAlign w:val="bottom"/>
          </w:tcPr>
          <w:p>
            <w:pPr>
              <w:spacing w:after="0"/>
              <w:rPr>
                <w:sz w:val="14"/>
                <w:szCs w:val="14"/>
                <w:color w:val="auto"/>
              </w:rPr>
            </w:pPr>
          </w:p>
        </w:tc>
      </w:tr>
    </w:tbl>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Andrew J. Hirsch</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99"/>
        <w:spacing w:after="0"/>
        <w:rPr>
          <w:sz w:val="20"/>
          <w:szCs w:val="20"/>
          <w:color w:val="auto"/>
        </w:rPr>
      </w:pPr>
      <w:r>
        <w:rPr>
          <w:rFonts w:ascii="Arial" w:cs="Arial" w:eastAsia="Arial" w:hAnsi="Arial"/>
          <w:sz w:val="13"/>
          <w:szCs w:val="13"/>
          <w:b w:val="1"/>
          <w:bCs w:val="1"/>
          <w:color w:val="auto"/>
        </w:rPr>
        <w:t>C4 Therapeutics, Inc.</w:t>
      </w:r>
    </w:p>
    <w:p>
      <w:pPr>
        <w:jc w:val="center"/>
        <w:ind w:right="-99"/>
        <w:spacing w:after="0"/>
        <w:rPr>
          <w:sz w:val="20"/>
          <w:szCs w:val="20"/>
          <w:color w:val="auto"/>
        </w:rPr>
      </w:pPr>
      <w:r>
        <w:rPr>
          <w:rFonts w:ascii="Arial" w:cs="Arial" w:eastAsia="Arial" w:hAnsi="Arial"/>
          <w:sz w:val="13"/>
          <w:szCs w:val="13"/>
          <w:b w:val="1"/>
          <w:bCs w:val="1"/>
          <w:color w:val="auto"/>
        </w:rPr>
        <w:t>490 Arsenal Way, Suite 200</w:t>
      </w:r>
    </w:p>
    <w:p>
      <w:pPr>
        <w:jc w:val="center"/>
        <w:ind w:right="-99"/>
        <w:spacing w:after="0"/>
        <w:rPr>
          <w:sz w:val="20"/>
          <w:szCs w:val="20"/>
          <w:color w:val="auto"/>
        </w:rPr>
      </w:pPr>
      <w:r>
        <w:rPr>
          <w:rFonts w:ascii="Arial" w:cs="Arial" w:eastAsia="Arial" w:hAnsi="Arial"/>
          <w:sz w:val="13"/>
          <w:szCs w:val="13"/>
          <w:b w:val="1"/>
          <w:bCs w:val="1"/>
          <w:color w:val="auto"/>
        </w:rPr>
        <w:t>Watertown, MA 02472</w:t>
      </w:r>
    </w:p>
    <w:p>
      <w:pPr>
        <w:jc w:val="center"/>
        <w:ind w:right="-99"/>
        <w:spacing w:after="0"/>
        <w:rPr>
          <w:sz w:val="20"/>
          <w:szCs w:val="20"/>
          <w:color w:val="auto"/>
        </w:rPr>
      </w:pPr>
      <w:r>
        <w:rPr>
          <w:rFonts w:ascii="Arial" w:cs="Arial" w:eastAsia="Arial" w:hAnsi="Arial"/>
          <w:sz w:val="13"/>
          <w:szCs w:val="13"/>
          <w:b w:val="1"/>
          <w:bCs w:val="1"/>
          <w:color w:val="auto"/>
        </w:rPr>
        <w:t>(617) 231-0700</w:t>
      </w:r>
    </w:p>
    <w:p>
      <w:pPr>
        <w:jc w:val="center"/>
        <w:ind w:right="-9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6" w:lineRule="exact"/>
        <w:rPr>
          <w:sz w:val="24"/>
          <w:szCs w:val="24"/>
          <w:color w:val="auto"/>
        </w:rPr>
      </w:pPr>
    </w:p>
    <w:tbl>
      <w:tblPr>
        <w:tblLayout w:type="fixed"/>
        <w:tblInd w:w="104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3420" w:type="dxa"/>
            <w:vAlign w:val="bottom"/>
          </w:tcPr>
          <w:p>
            <w:pPr>
              <w:ind w:left="1420"/>
              <w:spacing w:after="0"/>
              <w:rPr>
                <w:sz w:val="20"/>
                <w:szCs w:val="20"/>
                <w:color w:val="auto"/>
              </w:rPr>
            </w:pPr>
            <w:r>
              <w:rPr>
                <w:rFonts w:ascii="Arial" w:cs="Arial" w:eastAsia="Arial" w:hAnsi="Arial"/>
                <w:sz w:val="13"/>
                <w:szCs w:val="13"/>
                <w:i w:val="1"/>
                <w:iCs w:val="1"/>
                <w:color w:val="auto"/>
              </w:rPr>
              <w:t>Copies to:</w:t>
            </w:r>
          </w:p>
        </w:tc>
        <w:tc>
          <w:tcPr>
            <w:tcW w:w="3380" w:type="dxa"/>
            <w:vAlign w:val="bottom"/>
          </w:tcPr>
          <w:p>
            <w:pPr>
              <w:spacing w:after="0"/>
              <w:rPr>
                <w:sz w:val="15"/>
                <w:szCs w:val="15"/>
                <w:color w:val="auto"/>
              </w:rPr>
            </w:pPr>
          </w:p>
        </w:tc>
      </w:tr>
      <w:tr>
        <w:trPr>
          <w:trHeight w:val="173"/>
        </w:trPr>
        <w:tc>
          <w:tcPr>
            <w:tcW w:w="2860" w:type="dxa"/>
            <w:vAlign w:val="bottom"/>
          </w:tcPr>
          <w:p>
            <w:pPr>
              <w:jc w:val="center"/>
              <w:ind w:right="893"/>
              <w:spacing w:after="0"/>
              <w:rPr>
                <w:sz w:val="20"/>
                <w:szCs w:val="20"/>
                <w:color w:val="auto"/>
              </w:rPr>
            </w:pPr>
            <w:r>
              <w:rPr>
                <w:rFonts w:ascii="Arial" w:cs="Arial" w:eastAsia="Arial" w:hAnsi="Arial"/>
                <w:sz w:val="13"/>
                <w:szCs w:val="13"/>
                <w:b w:val="1"/>
                <w:bCs w:val="1"/>
                <w:color w:val="auto"/>
              </w:rPr>
              <w:t>Lawrence S. Wittenberg, Esq.</w:t>
            </w:r>
          </w:p>
        </w:tc>
        <w:tc>
          <w:tcPr>
            <w:tcW w:w="3420" w:type="dxa"/>
            <w:vAlign w:val="bottom"/>
          </w:tcPr>
          <w:p>
            <w:pPr>
              <w:jc w:val="center"/>
              <w:ind w:left="193"/>
              <w:spacing w:after="0"/>
              <w:rPr>
                <w:sz w:val="20"/>
                <w:szCs w:val="20"/>
                <w:color w:val="auto"/>
              </w:rPr>
            </w:pPr>
            <w:r>
              <w:rPr>
                <w:rFonts w:ascii="Arial" w:cs="Arial" w:eastAsia="Arial" w:hAnsi="Arial"/>
                <w:sz w:val="13"/>
                <w:szCs w:val="13"/>
                <w:b w:val="1"/>
                <w:bCs w:val="1"/>
                <w:color w:val="auto"/>
              </w:rPr>
              <w:t>Jolie M. Siegel</w:t>
            </w: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Brent B. Siler</w:t>
            </w:r>
          </w:p>
        </w:tc>
      </w:tr>
      <w:tr>
        <w:trPr>
          <w:trHeight w:val="148"/>
        </w:trPr>
        <w:tc>
          <w:tcPr>
            <w:tcW w:w="2860" w:type="dxa"/>
            <w:vAlign w:val="bottom"/>
          </w:tcPr>
          <w:p>
            <w:pPr>
              <w:jc w:val="center"/>
              <w:ind w:right="893"/>
              <w:spacing w:after="0"/>
              <w:rPr>
                <w:sz w:val="20"/>
                <w:szCs w:val="20"/>
                <w:color w:val="auto"/>
              </w:rPr>
            </w:pPr>
            <w:r>
              <w:rPr>
                <w:rFonts w:ascii="Arial" w:cs="Arial" w:eastAsia="Arial" w:hAnsi="Arial"/>
                <w:sz w:val="13"/>
                <w:szCs w:val="13"/>
                <w:b w:val="1"/>
                <w:bCs w:val="1"/>
                <w:color w:val="auto"/>
              </w:rPr>
              <w:t>Edwin O’Connor, Esq.</w:t>
            </w:r>
          </w:p>
        </w:tc>
        <w:tc>
          <w:tcPr>
            <w:tcW w:w="3420" w:type="dxa"/>
            <w:vAlign w:val="bottom"/>
          </w:tcPr>
          <w:p>
            <w:pPr>
              <w:jc w:val="center"/>
              <w:ind w:left="193"/>
              <w:spacing w:after="0"/>
              <w:rPr>
                <w:sz w:val="20"/>
                <w:szCs w:val="20"/>
                <w:color w:val="auto"/>
              </w:rPr>
            </w:pPr>
            <w:r>
              <w:rPr>
                <w:rFonts w:ascii="Arial" w:cs="Arial" w:eastAsia="Arial" w:hAnsi="Arial"/>
                <w:sz w:val="13"/>
                <w:szCs w:val="13"/>
                <w:b w:val="1"/>
                <w:bCs w:val="1"/>
                <w:color w:val="auto"/>
              </w:rPr>
              <w:t>Chief Legal Officer</w:t>
            </w: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Divakar Gupta</w:t>
            </w:r>
          </w:p>
        </w:tc>
      </w:tr>
      <w:tr>
        <w:trPr>
          <w:trHeight w:val="149"/>
        </w:trPr>
        <w:tc>
          <w:tcPr>
            <w:tcW w:w="2860" w:type="dxa"/>
            <w:vAlign w:val="bottom"/>
          </w:tcPr>
          <w:p>
            <w:pPr>
              <w:jc w:val="center"/>
              <w:ind w:right="893"/>
              <w:spacing w:after="0"/>
              <w:rPr>
                <w:sz w:val="20"/>
                <w:szCs w:val="20"/>
                <w:color w:val="auto"/>
              </w:rPr>
            </w:pPr>
            <w:r>
              <w:rPr>
                <w:rFonts w:ascii="Arial" w:cs="Arial" w:eastAsia="Arial" w:hAnsi="Arial"/>
                <w:sz w:val="13"/>
                <w:szCs w:val="13"/>
                <w:b w:val="1"/>
                <w:bCs w:val="1"/>
                <w:color w:val="auto"/>
              </w:rPr>
              <w:t>Goodwin Procter LLP</w:t>
            </w:r>
          </w:p>
        </w:tc>
        <w:tc>
          <w:tcPr>
            <w:tcW w:w="3420" w:type="dxa"/>
            <w:vAlign w:val="bottom"/>
          </w:tcPr>
          <w:p>
            <w:pPr>
              <w:jc w:val="center"/>
              <w:ind w:left="193"/>
              <w:spacing w:after="0"/>
              <w:rPr>
                <w:sz w:val="20"/>
                <w:szCs w:val="20"/>
                <w:color w:val="auto"/>
              </w:rPr>
            </w:pPr>
            <w:r>
              <w:rPr>
                <w:rFonts w:ascii="Arial" w:cs="Arial" w:eastAsia="Arial" w:hAnsi="Arial"/>
                <w:sz w:val="13"/>
                <w:szCs w:val="13"/>
                <w:b w:val="1"/>
                <w:bCs w:val="1"/>
                <w:color w:val="auto"/>
              </w:rPr>
              <w:t>C4 Therapeutics, Inc.</w:t>
            </w: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Richard Segal</w:t>
            </w:r>
          </w:p>
        </w:tc>
      </w:tr>
      <w:tr>
        <w:trPr>
          <w:trHeight w:val="148"/>
        </w:trPr>
        <w:tc>
          <w:tcPr>
            <w:tcW w:w="2860" w:type="dxa"/>
            <w:vAlign w:val="bottom"/>
          </w:tcPr>
          <w:p>
            <w:pPr>
              <w:jc w:val="center"/>
              <w:ind w:right="913"/>
              <w:spacing w:after="0"/>
              <w:rPr>
                <w:sz w:val="20"/>
                <w:szCs w:val="20"/>
                <w:color w:val="auto"/>
              </w:rPr>
            </w:pPr>
            <w:r>
              <w:rPr>
                <w:rFonts w:ascii="Arial" w:cs="Arial" w:eastAsia="Arial" w:hAnsi="Arial"/>
                <w:sz w:val="13"/>
                <w:szCs w:val="13"/>
                <w:b w:val="1"/>
                <w:bCs w:val="1"/>
                <w:color w:val="auto"/>
              </w:rPr>
              <w:t>100 Northern Avenue</w:t>
            </w:r>
          </w:p>
        </w:tc>
        <w:tc>
          <w:tcPr>
            <w:tcW w:w="3420" w:type="dxa"/>
            <w:vAlign w:val="bottom"/>
          </w:tcPr>
          <w:p>
            <w:pPr>
              <w:jc w:val="center"/>
              <w:ind w:left="193"/>
              <w:spacing w:after="0"/>
              <w:rPr>
                <w:sz w:val="20"/>
                <w:szCs w:val="20"/>
                <w:color w:val="auto"/>
              </w:rPr>
            </w:pPr>
            <w:r>
              <w:rPr>
                <w:rFonts w:ascii="Arial" w:cs="Arial" w:eastAsia="Arial" w:hAnsi="Arial"/>
                <w:sz w:val="13"/>
                <w:szCs w:val="13"/>
                <w:b w:val="1"/>
                <w:bCs w:val="1"/>
                <w:color w:val="auto"/>
              </w:rPr>
              <w:t>490 Arsenal Way, Suite 200</w:t>
            </w: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Cooley LLP</w:t>
            </w:r>
          </w:p>
        </w:tc>
      </w:tr>
      <w:tr>
        <w:trPr>
          <w:trHeight w:val="149"/>
        </w:trPr>
        <w:tc>
          <w:tcPr>
            <w:tcW w:w="2860" w:type="dxa"/>
            <w:vAlign w:val="bottom"/>
          </w:tcPr>
          <w:p>
            <w:pPr>
              <w:jc w:val="center"/>
              <w:ind w:right="913"/>
              <w:spacing w:after="0"/>
              <w:rPr>
                <w:sz w:val="20"/>
                <w:szCs w:val="20"/>
                <w:color w:val="auto"/>
              </w:rPr>
            </w:pPr>
            <w:r>
              <w:rPr>
                <w:rFonts w:ascii="Arial" w:cs="Arial" w:eastAsia="Arial" w:hAnsi="Arial"/>
                <w:sz w:val="13"/>
                <w:szCs w:val="13"/>
                <w:b w:val="1"/>
                <w:bCs w:val="1"/>
                <w:color w:val="auto"/>
              </w:rPr>
              <w:t>Boston, MA 02210</w:t>
            </w:r>
          </w:p>
        </w:tc>
        <w:tc>
          <w:tcPr>
            <w:tcW w:w="3420" w:type="dxa"/>
            <w:vAlign w:val="bottom"/>
          </w:tcPr>
          <w:p>
            <w:pPr>
              <w:jc w:val="center"/>
              <w:ind w:left="193"/>
              <w:spacing w:after="0"/>
              <w:rPr>
                <w:sz w:val="20"/>
                <w:szCs w:val="20"/>
                <w:color w:val="auto"/>
              </w:rPr>
            </w:pPr>
            <w:r>
              <w:rPr>
                <w:rFonts w:ascii="Arial" w:cs="Arial" w:eastAsia="Arial" w:hAnsi="Arial"/>
                <w:sz w:val="13"/>
                <w:szCs w:val="13"/>
                <w:b w:val="1"/>
                <w:bCs w:val="1"/>
                <w:color w:val="auto"/>
              </w:rPr>
              <w:t>Watertown, MA 02472</w:t>
            </w: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1299 Pennsylvania Avenue, NW, Suite 700</w:t>
            </w:r>
          </w:p>
        </w:tc>
      </w:tr>
      <w:tr>
        <w:trPr>
          <w:trHeight w:val="148"/>
        </w:trPr>
        <w:tc>
          <w:tcPr>
            <w:tcW w:w="2860" w:type="dxa"/>
            <w:vAlign w:val="bottom"/>
          </w:tcPr>
          <w:p>
            <w:pPr>
              <w:jc w:val="center"/>
              <w:ind w:right="913"/>
              <w:spacing w:after="0"/>
              <w:rPr>
                <w:sz w:val="20"/>
                <w:szCs w:val="20"/>
                <w:color w:val="auto"/>
              </w:rPr>
            </w:pPr>
            <w:r>
              <w:rPr>
                <w:rFonts w:ascii="Arial" w:cs="Arial" w:eastAsia="Arial" w:hAnsi="Arial"/>
                <w:sz w:val="13"/>
                <w:szCs w:val="13"/>
                <w:b w:val="1"/>
                <w:bCs w:val="1"/>
                <w:color w:val="auto"/>
              </w:rPr>
              <w:t>(617) 570-1000</w:t>
            </w:r>
          </w:p>
        </w:tc>
        <w:tc>
          <w:tcPr>
            <w:tcW w:w="3420" w:type="dxa"/>
            <w:vAlign w:val="bottom"/>
          </w:tcPr>
          <w:p>
            <w:pPr>
              <w:jc w:val="center"/>
              <w:ind w:left="193"/>
              <w:spacing w:after="0"/>
              <w:rPr>
                <w:sz w:val="20"/>
                <w:szCs w:val="20"/>
                <w:color w:val="auto"/>
              </w:rPr>
            </w:pPr>
            <w:r>
              <w:rPr>
                <w:rFonts w:ascii="Arial" w:cs="Arial" w:eastAsia="Arial" w:hAnsi="Arial"/>
                <w:sz w:val="13"/>
                <w:szCs w:val="13"/>
                <w:b w:val="1"/>
                <w:bCs w:val="1"/>
                <w:color w:val="auto"/>
              </w:rPr>
              <w:t>(617) 231-0700</w:t>
            </w: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Washington, DC 20004</w:t>
            </w:r>
          </w:p>
        </w:tc>
      </w:tr>
      <w:tr>
        <w:trPr>
          <w:trHeight w:val="178"/>
        </w:trPr>
        <w:tc>
          <w:tcPr>
            <w:tcW w:w="28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380" w:type="dxa"/>
            <w:vAlign w:val="bottom"/>
          </w:tcPr>
          <w:p>
            <w:pPr>
              <w:jc w:val="center"/>
              <w:ind w:left="653"/>
              <w:spacing w:after="0"/>
              <w:rPr>
                <w:sz w:val="20"/>
                <w:szCs w:val="20"/>
                <w:color w:val="auto"/>
              </w:rPr>
            </w:pPr>
            <w:r>
              <w:rPr>
                <w:rFonts w:ascii="Arial" w:cs="Arial" w:eastAsia="Arial" w:hAnsi="Arial"/>
                <w:sz w:val="13"/>
                <w:szCs w:val="13"/>
                <w:b w:val="1"/>
                <w:bCs w:val="1"/>
                <w:color w:val="auto"/>
              </w:rPr>
              <w:t>(202) 842-7800</w:t>
            </w:r>
          </w:p>
        </w:tc>
      </w:tr>
    </w:tbl>
    <w:p>
      <w:pPr>
        <w:spacing w:after="0" w:line="24"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As soon as practicable after the effective date of this registration statement.</w:t>
      </w:r>
    </w:p>
    <w:p>
      <w:pPr>
        <w:spacing w:after="0" w:line="56" w:lineRule="exact"/>
        <w:rPr>
          <w:sz w:val="24"/>
          <w:szCs w:val="24"/>
          <w:color w:val="auto"/>
        </w:rPr>
      </w:pPr>
    </w:p>
    <w:p>
      <w:pPr>
        <w:ind w:left="120" w:right="16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10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4" w:lineRule="exact"/>
        <w:rPr>
          <w:sz w:val="24"/>
          <w:szCs w:val="24"/>
          <w:color w:val="auto"/>
        </w:rPr>
      </w:pPr>
    </w:p>
    <w:p>
      <w:pPr>
        <w:ind w:left="120" w:right="60"/>
        <w:spacing w:after="0" w:line="2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36" w:lineRule="exact"/>
        <w:rPr>
          <w:sz w:val="24"/>
          <w:szCs w:val="24"/>
          <w:color w:val="auto"/>
        </w:rPr>
      </w:pPr>
    </w:p>
    <w:p>
      <w:pPr>
        <w:ind w:left="1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1" w:lineRule="exact"/>
        <w:rPr>
          <w:sz w:val="24"/>
          <w:szCs w:val="24"/>
          <w:color w:val="auto"/>
        </w:rPr>
      </w:pPr>
    </w:p>
    <w:p>
      <w:pPr>
        <w:sectPr>
          <w:pgSz w:w="11900" w:h="16838" w:orient="portrait"/>
          <w:cols w:equalWidth="0" w:num="4">
            <w:col w:w="1460" w:space="80"/>
            <w:col w:w="6460" w:space="720"/>
            <w:col w:w="960" w:space="80"/>
            <w:col w:w="1380"/>
          </w:cols>
          <w:pgMar w:left="320" w:top="230" w:right="439" w:bottom="1440" w:gutter="0" w:footer="0" w:header="0"/>
          <w:type w:val="continuous"/>
        </w:sectPr>
      </w:pPr>
    </w:p>
    <w:p>
      <w:pPr>
        <w:ind w:left="1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2" w:lineRule="exact"/>
        <w:rPr>
          <w:sz w:val="24"/>
          <w:szCs w:val="24"/>
          <w:color w:val="auto"/>
        </w:rPr>
      </w:pPr>
    </w:p>
    <w:p>
      <w:pPr>
        <w:sectPr>
          <w:pgSz w:w="11900" w:h="16838" w:orient="portrait"/>
          <w:cols w:equalWidth="0" w:num="4">
            <w:col w:w="1360" w:space="80"/>
            <w:col w:w="6560" w:space="720"/>
            <w:col w:w="1600" w:space="80"/>
            <w:col w:w="740"/>
          </w:cols>
          <w:pgMar w:left="320" w:top="230" w:right="439" w:bottom="1440" w:gutter="0" w:footer="0" w:header="0"/>
          <w:type w:val="continuous"/>
        </w:sectPr>
      </w:pPr>
    </w:p>
    <w:p>
      <w:pPr>
        <w:ind w:left="120"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69215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6"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CALCULATION OF REGISTRATION FEE</w:t>
      </w:r>
    </w:p>
    <w:p>
      <w:pPr>
        <w:spacing w:after="0" w:line="50" w:lineRule="exact"/>
        <w:rPr>
          <w:sz w:val="24"/>
          <w:szCs w:val="24"/>
          <w:color w:val="auto"/>
        </w:rPr>
      </w:pPr>
    </w:p>
    <w:tbl>
      <w:tblPr>
        <w:tblLayout w:type="fixed"/>
        <w:tblInd w:w="120" w:type="dxa"/>
        <w:tblCellMar>
          <w:top w:w="0" w:type="dxa"/>
          <w:left w:w="0" w:type="dxa"/>
          <w:bottom w:w="0" w:type="dxa"/>
          <w:right w:w="0" w:type="dxa"/>
        </w:tblCellMar>
      </w:tblPr>
      <w:tr>
        <w:trPr>
          <w:trHeight w:val="145"/>
        </w:trPr>
        <w:tc>
          <w:tcPr>
            <w:tcW w:w="6900" w:type="dxa"/>
            <w:vAlign w:val="bottom"/>
            <w:tcBorders>
              <w:top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jc w:val="center"/>
              <w:ind w:left="293"/>
              <w:spacing w:after="0" w:line="146" w:lineRule="exact"/>
              <w:rPr>
                <w:sz w:val="20"/>
                <w:szCs w:val="20"/>
                <w:color w:val="auto"/>
              </w:rPr>
            </w:pPr>
            <w:r>
              <w:rPr>
                <w:rFonts w:ascii="Arial" w:cs="Arial" w:eastAsia="Arial" w:hAnsi="Arial"/>
                <w:sz w:val="13"/>
                <w:szCs w:val="13"/>
                <w:b w:val="1"/>
                <w:bCs w:val="1"/>
                <w:color w:val="auto"/>
              </w:rPr>
              <w:t>PROPOSED MAXIMUM</w:t>
            </w:r>
          </w:p>
        </w:tc>
        <w:tc>
          <w:tcPr>
            <w:tcW w:w="1900" w:type="dxa"/>
            <w:vAlign w:val="bottom"/>
            <w:tcBorders>
              <w:top w:val="single" w:sz="8" w:color="auto"/>
            </w:tcBorders>
            <w:gridSpan w:val="2"/>
          </w:tcPr>
          <w:p>
            <w:pPr>
              <w:jc w:val="center"/>
              <w:ind w:left="733"/>
              <w:spacing w:after="0" w:line="146" w:lineRule="exact"/>
              <w:rPr>
                <w:sz w:val="20"/>
                <w:szCs w:val="20"/>
                <w:color w:val="auto"/>
              </w:rPr>
            </w:pPr>
            <w:r>
              <w:rPr>
                <w:rFonts w:ascii="Arial" w:cs="Arial" w:eastAsia="Arial" w:hAnsi="Arial"/>
                <w:sz w:val="13"/>
                <w:szCs w:val="13"/>
                <w:b w:val="1"/>
                <w:bCs w:val="1"/>
                <w:color w:val="auto"/>
              </w:rPr>
              <w:t>AMOUNT OF</w:t>
            </w:r>
          </w:p>
        </w:tc>
      </w:tr>
      <w:tr>
        <w:trPr>
          <w:trHeight w:val="149"/>
        </w:trPr>
        <w:tc>
          <w:tcPr>
            <w:tcW w:w="69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TITLE OF EACH CLASS OF</w:t>
            </w:r>
          </w:p>
        </w:tc>
        <w:tc>
          <w:tcPr>
            <w:tcW w:w="2220" w:type="dxa"/>
            <w:vAlign w:val="bottom"/>
            <w:tcBorders>
              <w:right w:val="single" w:sz="8" w:color="auto"/>
            </w:tcBorders>
          </w:tcPr>
          <w:p>
            <w:pPr>
              <w:jc w:val="center"/>
              <w:ind w:left="293"/>
              <w:spacing w:after="0"/>
              <w:rPr>
                <w:sz w:val="20"/>
                <w:szCs w:val="20"/>
                <w:color w:val="auto"/>
              </w:rPr>
            </w:pPr>
            <w:r>
              <w:rPr>
                <w:rFonts w:ascii="Arial" w:cs="Arial" w:eastAsia="Arial" w:hAnsi="Arial"/>
                <w:sz w:val="13"/>
                <w:szCs w:val="13"/>
                <w:b w:val="1"/>
                <w:bCs w:val="1"/>
                <w:color w:val="auto"/>
              </w:rPr>
              <w:t>AGGREGATE</w:t>
            </w:r>
          </w:p>
        </w:tc>
        <w:tc>
          <w:tcPr>
            <w:tcW w:w="1900" w:type="dxa"/>
            <w:vAlign w:val="bottom"/>
            <w:gridSpan w:val="2"/>
          </w:tcPr>
          <w:p>
            <w:pPr>
              <w:jc w:val="center"/>
              <w:ind w:left="733"/>
              <w:spacing w:after="0"/>
              <w:rPr>
                <w:sz w:val="20"/>
                <w:szCs w:val="20"/>
                <w:color w:val="auto"/>
              </w:rPr>
            </w:pPr>
            <w:r>
              <w:rPr>
                <w:rFonts w:ascii="Arial" w:cs="Arial" w:eastAsia="Arial" w:hAnsi="Arial"/>
                <w:sz w:val="13"/>
                <w:szCs w:val="13"/>
                <w:b w:val="1"/>
                <w:bCs w:val="1"/>
                <w:color w:val="auto"/>
              </w:rPr>
              <w:t>REGISTRATION</w:t>
            </w:r>
          </w:p>
        </w:tc>
      </w:tr>
      <w:tr>
        <w:trPr>
          <w:trHeight w:val="165"/>
        </w:trPr>
        <w:tc>
          <w:tcPr>
            <w:tcW w:w="6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SECURITIES TO BE REGISTERED</w:t>
            </w:r>
          </w:p>
        </w:tc>
        <w:tc>
          <w:tcPr>
            <w:tcW w:w="2220" w:type="dxa"/>
            <w:vAlign w:val="bottom"/>
            <w:tcBorders>
              <w:bottom w:val="single" w:sz="8" w:color="auto"/>
              <w:right w:val="single" w:sz="8" w:color="auto"/>
            </w:tcBorders>
          </w:tcPr>
          <w:p>
            <w:pPr>
              <w:jc w:val="center"/>
              <w:ind w:left="273"/>
              <w:spacing w:after="0"/>
              <w:rPr>
                <w:sz w:val="20"/>
                <w:szCs w:val="20"/>
                <w:color w:val="auto"/>
              </w:rPr>
            </w:pPr>
            <w:r>
              <w:rPr>
                <w:rFonts w:ascii="Arial" w:cs="Arial" w:eastAsia="Arial" w:hAnsi="Arial"/>
                <w:sz w:val="13"/>
                <w:szCs w:val="13"/>
                <w:b w:val="1"/>
                <w:bCs w:val="1"/>
                <w:color w:val="auto"/>
              </w:rPr>
              <w:t>OFFERING PRICE(1)</w:t>
            </w:r>
          </w:p>
        </w:tc>
        <w:tc>
          <w:tcPr>
            <w:tcW w:w="1900" w:type="dxa"/>
            <w:vAlign w:val="bottom"/>
            <w:tcBorders>
              <w:bottom w:val="single" w:sz="8" w:color="auto"/>
            </w:tcBorders>
            <w:gridSpan w:val="2"/>
          </w:tcPr>
          <w:p>
            <w:pPr>
              <w:jc w:val="center"/>
              <w:ind w:left="733"/>
              <w:spacing w:after="0"/>
              <w:rPr>
                <w:sz w:val="20"/>
                <w:szCs w:val="20"/>
                <w:color w:val="auto"/>
              </w:rPr>
            </w:pPr>
            <w:r>
              <w:rPr>
                <w:rFonts w:ascii="Arial" w:cs="Arial" w:eastAsia="Arial" w:hAnsi="Arial"/>
                <w:sz w:val="13"/>
                <w:szCs w:val="13"/>
                <w:b w:val="1"/>
                <w:bCs w:val="1"/>
                <w:color w:val="auto"/>
              </w:rPr>
              <w:t>FEE(2)</w:t>
            </w:r>
          </w:p>
        </w:tc>
      </w:tr>
      <w:tr>
        <w:trPr>
          <w:trHeight w:val="142"/>
        </w:trPr>
        <w:tc>
          <w:tcPr>
            <w:tcW w:w="6900" w:type="dxa"/>
            <w:vAlign w:val="bottom"/>
            <w:tcBorders>
              <w:right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Common stock, $0.0001 par value per share</w:t>
            </w:r>
          </w:p>
        </w:tc>
        <w:tc>
          <w:tcPr>
            <w:tcW w:w="2220" w:type="dxa"/>
            <w:vAlign w:val="bottom"/>
            <w:tcBorders>
              <w:right w:val="single" w:sz="8" w:color="auto"/>
            </w:tcBorders>
            <w:shd w:val="clear" w:color="auto" w:fill="CCEEFF"/>
          </w:tcPr>
          <w:p>
            <w:pPr>
              <w:jc w:val="right"/>
              <w:ind w:right="1533"/>
              <w:spacing w:after="0" w:line="142" w:lineRule="exact"/>
              <w:rPr>
                <w:sz w:val="20"/>
                <w:szCs w:val="20"/>
                <w:color w:val="auto"/>
              </w:rPr>
            </w:pPr>
            <w:r>
              <w:rPr>
                <w:rFonts w:ascii="Arial" w:cs="Arial" w:eastAsia="Arial" w:hAnsi="Arial"/>
                <w:sz w:val="13"/>
                <w:szCs w:val="13"/>
                <w:color w:val="auto"/>
              </w:rPr>
              <w:t>$</w:t>
            </w:r>
          </w:p>
        </w:tc>
        <w:tc>
          <w:tcPr>
            <w:tcW w:w="1860" w:type="dxa"/>
            <w:vAlign w:val="bottom"/>
            <w:shd w:val="clear" w:color="auto" w:fill="CCEEFF"/>
          </w:tcPr>
          <w:p>
            <w:pPr>
              <w:jc w:val="right"/>
              <w:ind w:right="873"/>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3" w:lineRule="exact"/>
        <w:rPr>
          <w:sz w:val="24"/>
          <w:szCs w:val="24"/>
          <w:color w:val="auto"/>
        </w:rPr>
      </w:pPr>
    </w:p>
    <w:p>
      <w:pPr>
        <w:ind w:left="440" w:right="260" w:hanging="324"/>
        <w:spacing w:after="0" w:line="258"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price of shares that the underwriters may purchase pursuant to an option to purchase additional shares.</w:t>
      </w:r>
    </w:p>
    <w:p>
      <w:pPr>
        <w:spacing w:after="0" w:line="29"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4"/>
          <w:szCs w:val="24"/>
          <w:color w:val="auto"/>
        </w:rPr>
      </w:pPr>
    </w:p>
    <w:p>
      <w:pPr>
        <w:ind w:left="120" w:right="260"/>
        <w:spacing w:after="0" w:line="248"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files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b w:val="1"/>
          <w:bCs w:val="1"/>
          <w:color w:val="8B3F4E"/>
        </w:rPr>
        <w:t>The information in this preliminary prospectus is not complete and may be changed. We may not sell these securities until the Securities and Exchange Commission declares our registration statement effective. This preliminary prospectus is not an offer to sell these securities and is not soliciting an offer to buy these securities in any state where the offer or sale is not permitted.</w:t>
      </w:r>
    </w:p>
    <w:p>
      <w:pPr>
        <w:spacing w:after="0" w:line="75" w:lineRule="exact"/>
        <w:rPr>
          <w:sz w:val="20"/>
          <w:szCs w:val="20"/>
          <w:color w:val="auto"/>
        </w:rPr>
      </w:pPr>
    </w:p>
    <w:p>
      <w:pPr>
        <w:ind w:left="120"/>
        <w:spacing w:after="0"/>
        <w:tabs>
          <w:tab w:leader="none" w:pos="2740" w:val="left"/>
        </w:tabs>
        <w:rPr>
          <w:sz w:val="20"/>
          <w:szCs w:val="20"/>
          <w:color w:val="auto"/>
        </w:rPr>
      </w:pPr>
      <w:r>
        <w:rPr>
          <w:rFonts w:ascii="Arial" w:cs="Arial" w:eastAsia="Arial" w:hAnsi="Arial"/>
          <w:sz w:val="18"/>
          <w:szCs w:val="18"/>
          <w:b w:val="1"/>
          <w:bCs w:val="1"/>
          <w:color w:val="8B3F4E"/>
        </w:rPr>
        <w:t>Subject to completion, dated</w:t>
      </w:r>
      <w:r>
        <w:rPr>
          <w:sz w:val="20"/>
          <w:szCs w:val="20"/>
          <w:color w:val="auto"/>
        </w:rPr>
        <w:tab/>
      </w:r>
      <w:r>
        <w:rPr>
          <w:rFonts w:ascii="Arial" w:cs="Arial" w:eastAsia="Arial" w:hAnsi="Arial"/>
          <w:sz w:val="16"/>
          <w:szCs w:val="16"/>
          <w:b w:val="1"/>
          <w:bCs w:val="1"/>
          <w:color w:val="8B3F4E"/>
        </w:rPr>
        <w:t>, 2021</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106680</wp:posOffset>
            </wp:positionV>
            <wp:extent cx="4286250" cy="882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pacing w:after="0" w:line="157" w:lineRule="exact"/>
        <w:rPr>
          <w:sz w:val="20"/>
          <w:szCs w:val="20"/>
          <w:color w:val="auto"/>
        </w:rPr>
      </w:pPr>
    </w:p>
    <w:p>
      <w:pPr>
        <w:jc w:val="both"/>
        <w:ind w:left="120" w:right="160"/>
        <w:spacing w:after="0" w:line="234" w:lineRule="auto"/>
        <w:rPr>
          <w:sz w:val="20"/>
          <w:szCs w:val="20"/>
          <w:color w:val="auto"/>
        </w:rPr>
      </w:pPr>
      <w:r>
        <w:rPr>
          <w:rFonts w:ascii="Arial" w:cs="Arial" w:eastAsia="Arial" w:hAnsi="Arial"/>
          <w:sz w:val="18"/>
          <w:szCs w:val="18"/>
          <w:color w:val="auto"/>
        </w:rPr>
        <w:t>We are offering shares of our common stock in this offering. Our common stock is listed on The Nasdaq Global Market under the symbol “CCCC.” The last reported sale price of our common stock on The Nasdaq Global Select Market on , 2021 was $ per</w:t>
      </w:r>
    </w:p>
    <w:p>
      <w:pPr>
        <w:spacing w:after="0" w:line="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share. The actual public offering price will be determined through negotiation between us and the underwriters for the offering, and the recent market price used throughout the prospectus may not be indicative of the actual public offering price.</w:t>
      </w:r>
    </w:p>
    <w:p>
      <w:pPr>
        <w:spacing w:after="0" w:line="10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we have elected to comply with certain reduced public company reporting requirements for this prospectus and may elect to do so for future filings.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44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Per share</w:t>
            </w: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Total</w:t>
            </w:r>
          </w:p>
        </w:tc>
      </w:tr>
      <w:tr>
        <w:trPr>
          <w:trHeight w:val="115"/>
        </w:trPr>
        <w:tc>
          <w:tcPr>
            <w:tcW w:w="6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480" w:type="dxa"/>
            <w:vAlign w:val="bottom"/>
            <w:shd w:val="clear" w:color="auto" w:fill="CCEEFF"/>
          </w:tcPr>
          <w:p>
            <w:pPr>
              <w:ind w:left="23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r>
        <w:trPr>
          <w:trHeight w:val="349"/>
        </w:trPr>
        <w:tc>
          <w:tcPr>
            <w:tcW w:w="64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480" w:type="dxa"/>
            <w:vAlign w:val="bottom"/>
          </w:tcPr>
          <w:p>
            <w:pPr>
              <w:ind w:left="2380"/>
              <w:spacing w:after="0"/>
              <w:rPr>
                <w:sz w:val="20"/>
                <w:szCs w:val="20"/>
                <w:color w:val="auto"/>
              </w:rPr>
            </w:pPr>
            <w:r>
              <w:rPr>
                <w:rFonts w:ascii="Arial" w:cs="Arial" w:eastAsia="Arial" w:hAnsi="Arial"/>
                <w:sz w:val="18"/>
                <w:szCs w:val="18"/>
                <w:color w:val="auto"/>
              </w:rPr>
              <w:t>$</w:t>
            </w:r>
          </w:p>
        </w:tc>
        <w:tc>
          <w:tcPr>
            <w:tcW w:w="11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123"/>
        </w:trPr>
        <w:tc>
          <w:tcPr>
            <w:tcW w:w="6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03"/>
        </w:trPr>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C4 Therapeutics, Inc., before expenses</w:t>
            </w:r>
          </w:p>
        </w:tc>
        <w:tc>
          <w:tcPr>
            <w:tcW w:w="3480" w:type="dxa"/>
            <w:vAlign w:val="bottom"/>
            <w:tcBorders>
              <w:bottom w:val="single" w:sz="8" w:color="auto"/>
            </w:tcBorders>
            <w:shd w:val="clear" w:color="auto" w:fill="CCEEFF"/>
          </w:tcPr>
          <w:p>
            <w:pPr>
              <w:ind w:left="238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r>
    </w:tbl>
    <w:p>
      <w:pPr>
        <w:spacing w:after="0" w:line="67"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 beginning on page 107 of this prospectus for additional information regarding underwriting compensation.</w:t>
      </w:r>
    </w:p>
    <w:p>
      <w:pPr>
        <w:sectPr>
          <w:pgSz w:w="11900" w:h="16838" w:orient="portrait"/>
          <w:cols w:equalWidth="0" w:num="1">
            <w:col w:w="11140"/>
          </w:cols>
          <w:pgMar w:left="320" w:top="459" w:right="439" w:bottom="1440" w:gutter="0" w:footer="0" w:header="0"/>
        </w:sectPr>
      </w:pPr>
    </w:p>
    <w:p>
      <w:pPr>
        <w:spacing w:after="0" w:line="111"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We have granted the underwriters an option for a period of 30 days to purchase up to the public offering price, less underwriting discounts and commissions.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common stock from us at</w:t>
      </w:r>
    </w:p>
    <w:p>
      <w:pPr>
        <w:spacing w:after="0" w:line="307" w:lineRule="exact"/>
        <w:rPr>
          <w:sz w:val="20"/>
          <w:szCs w:val="20"/>
          <w:color w:val="auto"/>
        </w:rPr>
      </w:pPr>
    </w:p>
    <w:p>
      <w:pPr>
        <w:sectPr>
          <w:pgSz w:w="11900" w:h="16838" w:orient="portrait"/>
          <w:cols w:equalWidth="0" w:num="2">
            <w:col w:w="6720" w:space="640"/>
            <w:col w:w="3780"/>
          </w:cols>
          <w:pgMar w:left="320" w:top="459" w:right="439" w:bottom="1440" w:gutter="0" w:footer="0" w:header="0"/>
          <w:type w:val="continuous"/>
        </w:sectPr>
      </w:pPr>
    </w:p>
    <w:p>
      <w:pPr>
        <w:ind w:left="120" w:right="160"/>
        <w:spacing w:after="0" w:line="327"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common stock involves a high degree of risk. Before buying any shares, you should read carefully the discussion of the material risks of investing in our common stock under the heading “</w:t>
      </w:r>
      <w:hyperlink w:anchor="page15">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u w:val="single" w:color="auto"/>
            <w:color w:val="auto"/>
          </w:rPr>
          <w:t xml:space="preserve"> </w:t>
        </w:r>
      </w:hyperlink>
      <w:r>
        <w:rPr>
          <w:rFonts w:ascii="Arial" w:cs="Arial" w:eastAsia="Arial" w:hAnsi="Arial"/>
          <w:sz w:val="16"/>
          <w:szCs w:val="16"/>
          <w:b w:val="1"/>
          <w:bCs w:val="1"/>
          <w:color w:val="auto"/>
        </w:rPr>
        <w:t>” starting on page 12 of this prospectus.</w:t>
      </w:r>
    </w:p>
    <w:p>
      <w:pPr>
        <w:spacing w:after="0" w:line="12" w:lineRule="exact"/>
        <w:rPr>
          <w:sz w:val="20"/>
          <w:szCs w:val="20"/>
          <w:color w:val="auto"/>
        </w:rPr>
      </w:pPr>
    </w:p>
    <w:p>
      <w:pPr>
        <w:ind w:left="120" w:right="1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that may be offered under this prospectus, nor have any of these organizations determined if this prospectus is truthful or complete. Any representation to the contrary is a criminal offense.</w:t>
      </w:r>
    </w:p>
    <w:p>
      <w:pPr>
        <w:sectPr>
          <w:pgSz w:w="11900" w:h="16838" w:orient="portrait"/>
          <w:cols w:equalWidth="0" w:num="1">
            <w:col w:w="11140"/>
          </w:cols>
          <w:pgMar w:left="320" w:top="459" w:right="439" w:bottom="1440" w:gutter="0" w:footer="0" w:header="0"/>
          <w:type w:val="continuous"/>
        </w:sectPr>
      </w:pP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expect to deliver the shares of common stock on or about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104" w:lineRule="exact"/>
        <w:rPr>
          <w:sz w:val="20"/>
          <w:szCs w:val="20"/>
          <w:color w:val="auto"/>
        </w:rPr>
      </w:pPr>
    </w:p>
    <w:p>
      <w:pPr>
        <w:sectPr>
          <w:pgSz w:w="11900" w:h="16838" w:orient="portrait"/>
          <w:cols w:equalWidth="0" w:num="2">
            <w:col w:w="5940" w:space="640"/>
            <w:col w:w="45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1"/>
          <w:szCs w:val="21"/>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Evercore ISI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BMO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UBS Investment Bank</w:t>
      </w:r>
    </w:p>
    <w:p>
      <w:pPr>
        <w:spacing w:after="0" w:line="145" w:lineRule="exact"/>
        <w:rPr>
          <w:sz w:val="20"/>
          <w:szCs w:val="20"/>
          <w:color w:val="auto"/>
        </w:rPr>
      </w:pPr>
    </w:p>
    <w:p>
      <w:pPr>
        <w:sectPr>
          <w:pgSz w:w="11900" w:h="16838" w:orient="portrait"/>
          <w:cols w:equalWidth="0" w:num="5">
            <w:col w:w="1940" w:space="720"/>
            <w:col w:w="900" w:space="420"/>
            <w:col w:w="1240" w:space="520"/>
            <w:col w:w="2240" w:space="720"/>
            <w:col w:w="2440"/>
          </w:cols>
          <w:pgMar w:left="320" w:top="459" w:right="4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0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55"/>
        </w:trPr>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3060" w:type="dxa"/>
            <w:vAlign w:val="bottom"/>
          </w:tcPr>
          <w:p>
            <w:pPr>
              <w:spacing w:after="0"/>
              <w:rPr>
                <w:sz w:val="4"/>
                <w:szCs w:val="4"/>
                <w:color w:val="auto"/>
              </w:rPr>
            </w:pPr>
          </w:p>
        </w:tc>
      </w:tr>
      <w:tr>
        <w:trPr>
          <w:trHeight w:val="183"/>
        </w:trPr>
        <w:tc>
          <w:tcPr>
            <w:tcW w:w="796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243"/>
        </w:trPr>
        <w:tc>
          <w:tcPr>
            <w:tcW w:w="1700" w:type="dxa"/>
            <w:vAlign w:val="bottom"/>
            <w:tcBorders>
              <w:top w:val="single" w:sz="8" w:color="0000EE"/>
            </w:tcBorders>
            <w:gridSpan w:val="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6260" w:type="dxa"/>
            <w:vAlign w:val="bottom"/>
            <w:tcBorders>
              <w:top w:val="single" w:sz="8" w:color="CCEEFF"/>
            </w:tcBorders>
            <w:gridSpan w:val="7"/>
          </w:tcPr>
          <w:p>
            <w:pPr>
              <w:spacing w:after="0"/>
              <w:rPr>
                <w:sz w:val="21"/>
                <w:szCs w:val="21"/>
                <w:color w:val="auto"/>
              </w:rPr>
            </w:pPr>
          </w:p>
        </w:tc>
        <w:tc>
          <w:tcPr>
            <w:tcW w:w="3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w:t>
            </w:r>
          </w:p>
        </w:tc>
      </w:tr>
      <w:tr>
        <w:trPr>
          <w:trHeight w:val="75"/>
        </w:trPr>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83"/>
        </w:trPr>
        <w:tc>
          <w:tcPr>
            <w:tcW w:w="7960" w:type="dxa"/>
            <w:vAlign w:val="bottom"/>
            <w:gridSpan w:val="13"/>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Special note regarding forward-looking statements</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82</w:t>
            </w:r>
          </w:p>
        </w:tc>
      </w:tr>
      <w:tr>
        <w:trPr>
          <w:trHeight w:val="243"/>
        </w:trPr>
        <w:tc>
          <w:tcPr>
            <w:tcW w:w="3900" w:type="dxa"/>
            <w:vAlign w:val="bottom"/>
            <w:tcBorders>
              <w:top w:val="single" w:sz="8" w:color="0000EE"/>
            </w:tcBorders>
            <w:gridSpan w:val="1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Market, industry and other data</w:t>
              </w:r>
            </w:hyperlink>
          </w:p>
        </w:tc>
        <w:tc>
          <w:tcPr>
            <w:tcW w:w="4060" w:type="dxa"/>
            <w:vAlign w:val="bottom"/>
            <w:tcBorders>
              <w:top w:val="single" w:sz="8" w:color="CCEEFF"/>
            </w:tcBorders>
            <w:gridSpan w:val="2"/>
          </w:tcPr>
          <w:p>
            <w:pPr>
              <w:spacing w:after="0"/>
              <w:rPr>
                <w:sz w:val="21"/>
                <w:szCs w:val="21"/>
                <w:color w:val="auto"/>
              </w:rPr>
            </w:pPr>
          </w:p>
        </w:tc>
        <w:tc>
          <w:tcPr>
            <w:tcW w:w="3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84</w:t>
            </w:r>
          </w:p>
        </w:tc>
      </w:tr>
      <w:tr>
        <w:trPr>
          <w:trHeight w:val="75"/>
        </w:trPr>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83"/>
        </w:trPr>
        <w:tc>
          <w:tcPr>
            <w:tcW w:w="12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Use of proceeds</w:t>
              </w:r>
            </w:hyperlink>
          </w:p>
        </w:tc>
        <w:tc>
          <w:tcPr>
            <w:tcW w:w="6680" w:type="dxa"/>
            <w:vAlign w:val="bottom"/>
            <w:tcBorders>
              <w:bottom w:val="single" w:sz="8" w:color="CCEEFF"/>
            </w:tcBorders>
            <w:gridSpan w:val="8"/>
            <w:shd w:val="clear" w:color="auto" w:fill="CCEEFF"/>
          </w:tcPr>
          <w:p>
            <w:pPr>
              <w:spacing w:after="0"/>
              <w:rPr>
                <w:sz w:val="15"/>
                <w:szCs w:val="15"/>
                <w:color w:val="auto"/>
              </w:rPr>
            </w:pPr>
          </w:p>
        </w:tc>
        <w:tc>
          <w:tcPr>
            <w:tcW w:w="3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r>
      <w:tr>
        <w:trPr>
          <w:trHeight w:val="243"/>
        </w:trPr>
        <w:tc>
          <w:tcPr>
            <w:tcW w:w="7960" w:type="dxa"/>
            <w:vAlign w:val="bottom"/>
            <w:gridSpan w:val="1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Dividend policy</w:t>
              </w:r>
            </w:hyperlink>
          </w:p>
        </w:tc>
        <w:tc>
          <w:tcPr>
            <w:tcW w:w="30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74"/>
        </w:trPr>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83"/>
        </w:trPr>
        <w:tc>
          <w:tcPr>
            <w:tcW w:w="7960" w:type="dxa"/>
            <w:vAlign w:val="bottom"/>
            <w:gridSpan w:val="13"/>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Capitalization</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w:t>
            </w:r>
          </w:p>
        </w:tc>
      </w:tr>
      <w:tr>
        <w:trPr>
          <w:trHeight w:val="243"/>
        </w:trPr>
        <w:tc>
          <w:tcPr>
            <w:tcW w:w="1060" w:type="dxa"/>
            <w:vAlign w:val="bottom"/>
            <w:tcBorders>
              <w:top w:val="single" w:sz="8" w:color="0000EE"/>
            </w:tcBorders>
            <w:gridSpan w:val="3"/>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Dilution</w:t>
              </w:r>
            </w:hyperlink>
          </w:p>
        </w:tc>
        <w:tc>
          <w:tcPr>
            <w:tcW w:w="6900" w:type="dxa"/>
            <w:vAlign w:val="bottom"/>
            <w:tcBorders>
              <w:top w:val="single" w:sz="8" w:color="CCEEFF"/>
            </w:tcBorders>
            <w:gridSpan w:val="10"/>
          </w:tcPr>
          <w:p>
            <w:pPr>
              <w:spacing w:after="0"/>
              <w:rPr>
                <w:sz w:val="21"/>
                <w:szCs w:val="21"/>
                <w:color w:val="auto"/>
              </w:rPr>
            </w:pPr>
          </w:p>
        </w:tc>
        <w:tc>
          <w:tcPr>
            <w:tcW w:w="3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90</w:t>
            </w:r>
          </w:p>
        </w:tc>
      </w:tr>
      <w:tr>
        <w:trPr>
          <w:trHeight w:val="74"/>
        </w:trPr>
        <w:tc>
          <w:tcPr>
            <w:tcW w:w="5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76"/>
        </w:trPr>
        <w:tc>
          <w:tcPr>
            <w:tcW w:w="7960" w:type="dxa"/>
            <w:vAlign w:val="bottom"/>
            <w:gridSpan w:val="13"/>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Principal stockholders</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w:t>
            </w:r>
          </w:p>
        </w:tc>
      </w:tr>
      <w:tr>
        <w:trPr>
          <w:trHeight w:val="27"/>
        </w:trPr>
        <w:tc>
          <w:tcPr>
            <w:tcW w:w="5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r>
      <w:tr>
        <w:trPr>
          <w:trHeight w:val="243"/>
        </w:trPr>
        <w:tc>
          <w:tcPr>
            <w:tcW w:w="7960" w:type="dxa"/>
            <w:vAlign w:val="bottom"/>
            <w:gridSpan w:val="1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Description of capital stock</w:t>
              </w:r>
            </w:hyperlink>
          </w:p>
        </w:tc>
        <w:tc>
          <w:tcPr>
            <w:tcW w:w="3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74"/>
        </w:trPr>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76"/>
        </w:trPr>
        <w:tc>
          <w:tcPr>
            <w:tcW w:w="7960" w:type="dxa"/>
            <w:vAlign w:val="bottom"/>
            <w:gridSpan w:val="13"/>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Shares eligible for future sale</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r>
      <w:tr>
        <w:trPr>
          <w:trHeight w:val="27"/>
        </w:trPr>
        <w:tc>
          <w:tcPr>
            <w:tcW w:w="5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r>
      <w:tr>
        <w:trPr>
          <w:trHeight w:val="243"/>
        </w:trPr>
        <w:tc>
          <w:tcPr>
            <w:tcW w:w="7960" w:type="dxa"/>
            <w:vAlign w:val="bottom"/>
            <w:gridSpan w:val="1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Material U.S. federal income tax considerations for non-U.S. holders</w:t>
              </w:r>
            </w:hyperlink>
          </w:p>
        </w:tc>
        <w:tc>
          <w:tcPr>
            <w:tcW w:w="30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74"/>
        </w:trPr>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00" w:type="dxa"/>
            <w:vAlign w:val="bottom"/>
            <w:tcBorders>
              <w:top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76"/>
        </w:trPr>
        <w:tc>
          <w:tcPr>
            <w:tcW w:w="7960" w:type="dxa"/>
            <w:vAlign w:val="bottom"/>
            <w:gridSpan w:val="13"/>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Underwriting</w:t>
              </w:r>
            </w:hyperlink>
          </w:p>
        </w:tc>
        <w:tc>
          <w:tcPr>
            <w:tcW w:w="30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r>
      <w:tr>
        <w:trPr>
          <w:trHeight w:val="27"/>
        </w:trPr>
        <w:tc>
          <w:tcPr>
            <w:tcW w:w="5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r>
      <w:tr>
        <w:trPr>
          <w:trHeight w:val="243"/>
        </w:trPr>
        <w:tc>
          <w:tcPr>
            <w:tcW w:w="7960" w:type="dxa"/>
            <w:vAlign w:val="bottom"/>
            <w:gridSpan w:val="13"/>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Legal matters</w:t>
              </w:r>
            </w:hyperlink>
          </w:p>
        </w:tc>
        <w:tc>
          <w:tcPr>
            <w:tcW w:w="3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74"/>
        </w:trPr>
        <w:tc>
          <w:tcPr>
            <w:tcW w:w="5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3060" w:type="dxa"/>
            <w:vAlign w:val="bottom"/>
          </w:tcPr>
          <w:p>
            <w:pPr>
              <w:spacing w:after="0"/>
              <w:rPr>
                <w:sz w:val="6"/>
                <w:szCs w:val="6"/>
                <w:color w:val="auto"/>
              </w:rPr>
            </w:pPr>
          </w:p>
        </w:tc>
      </w:tr>
      <w:tr>
        <w:trPr>
          <w:trHeight w:val="183"/>
        </w:trPr>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Experts</w:t>
              </w:r>
            </w:hyperlink>
          </w:p>
        </w:tc>
        <w:tc>
          <w:tcPr>
            <w:tcW w:w="7360" w:type="dxa"/>
            <w:vAlign w:val="bottom"/>
            <w:tcBorders>
              <w:bottom w:val="single" w:sz="8" w:color="CCEEFF"/>
            </w:tcBorders>
            <w:gridSpan w:val="11"/>
            <w:shd w:val="clear" w:color="auto" w:fill="CCEEFF"/>
          </w:tcPr>
          <w:p>
            <w:pPr>
              <w:spacing w:after="0"/>
              <w:rPr>
                <w:sz w:val="15"/>
                <w:szCs w:val="15"/>
                <w:color w:val="auto"/>
              </w:rPr>
            </w:pPr>
          </w:p>
        </w:tc>
        <w:tc>
          <w:tcPr>
            <w:tcW w:w="30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119</w:t>
            </w:r>
          </w:p>
        </w:tc>
      </w:tr>
      <w:tr>
        <w:trPr>
          <w:trHeight w:val="243"/>
        </w:trPr>
        <w:tc>
          <w:tcPr>
            <w:tcW w:w="288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122">
              <w:r>
                <w:rPr>
                  <w:rFonts w:ascii="Arial" w:cs="Arial" w:eastAsia="Arial" w:hAnsi="Arial"/>
                  <w:sz w:val="18"/>
                  <w:szCs w:val="18"/>
                  <w:color w:val="0000EE"/>
                  <w:w w:val="96"/>
                </w:rPr>
                <w:t>Where you can find more information</w:t>
              </w:r>
            </w:hyperlink>
          </w:p>
        </w:tc>
        <w:tc>
          <w:tcPr>
            <w:tcW w:w="5080" w:type="dxa"/>
            <w:vAlign w:val="bottom"/>
            <w:gridSpan w:val="3"/>
          </w:tcPr>
          <w:p>
            <w:pPr>
              <w:spacing w:after="0"/>
              <w:rPr>
                <w:sz w:val="21"/>
                <w:szCs w:val="21"/>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119</w:t>
            </w:r>
          </w:p>
        </w:tc>
      </w:tr>
    </w:tbl>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Neither we nor the underwriters have authorized anyone to provide you with information different from, or in addition to, that contained in this prospectus, any amendment or supplement to this prospectus and any related free writing prospectus prepared by or on behalf of us or to which we have referred you. We and the underwriters take no responsibility for and can provide no assurances as to the reliability of, any information that others may give you. This prospectus is not an offer to sell, nor is it seeking an offer to buy, these securities in any jurisdiction where the offer or sale is not permitted. The information contained in this prospectus or in any free writing prospectus is only accurate as of its date, regardless of its time of delivery or the time of any sale of our common stock. Our business, financial condition, results of operations and future growth prospects may have changed since that date. 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06" w:lineRule="exact"/>
        <w:rPr>
          <w:sz w:val="20"/>
          <w:szCs w:val="20"/>
          <w:color w:val="auto"/>
        </w:rPr>
      </w:pPr>
    </w:p>
    <w:p>
      <w:pPr>
        <w:ind w:left="120" w:right="120"/>
        <w:spacing w:after="0" w:line="269" w:lineRule="auto"/>
        <w:rPr>
          <w:sz w:val="20"/>
          <w:szCs w:val="20"/>
          <w:color w:val="auto"/>
        </w:rPr>
      </w:pPr>
      <w:r>
        <w:rPr>
          <w:rFonts w:ascii="Arial" w:cs="Arial" w:eastAsia="Arial" w:hAnsi="Arial"/>
          <w:sz w:val="16"/>
          <w:szCs w:val="16"/>
          <w:color w:val="auto"/>
        </w:rPr>
        <w:t>We own or have rights to various trademarks, service marks and trade names that we use in connection with the operation of our business, including our company name, C4 Therapeutics, Inc., our housemark logo, the name of our TORPEDO</w:t>
      </w:r>
      <w:r>
        <w:rPr>
          <w:rFonts w:ascii="Arial" w:cs="Arial" w:eastAsia="Arial" w:hAnsi="Arial"/>
          <w:sz w:val="10"/>
          <w:szCs w:val="10"/>
          <w:color w:val="auto"/>
        </w:rPr>
        <w:t>TM</w:t>
      </w:r>
      <w:r>
        <w:rPr>
          <w:rFonts w:ascii="Arial" w:cs="Arial" w:eastAsia="Arial" w:hAnsi="Arial"/>
          <w:sz w:val="16"/>
          <w:szCs w:val="16"/>
          <w:color w:val="auto"/>
        </w:rPr>
        <w:t xml:space="preserve"> technology platform and the names of our BIDAC</w:t>
      </w:r>
      <w:r>
        <w:rPr>
          <w:rFonts w:ascii="Arial" w:cs="Arial" w:eastAsia="Arial" w:hAnsi="Arial"/>
          <w:sz w:val="10"/>
          <w:szCs w:val="10"/>
          <w:color w:val="auto"/>
        </w:rPr>
        <w:t>TM</w:t>
      </w:r>
      <w:r>
        <w:rPr>
          <w:rFonts w:ascii="Arial" w:cs="Arial" w:eastAsia="Arial" w:hAnsi="Arial"/>
          <w:sz w:val="16"/>
          <w:szCs w:val="16"/>
          <w:color w:val="auto"/>
        </w:rPr>
        <w:t xml:space="preserve"> and MONODAC</w:t>
      </w:r>
      <w:r>
        <w:rPr>
          <w:rFonts w:ascii="Arial" w:cs="Arial" w:eastAsia="Arial" w:hAnsi="Arial"/>
          <w:sz w:val="10"/>
          <w:szCs w:val="10"/>
          <w:color w:val="auto"/>
        </w:rPr>
        <w:t>TM</w:t>
      </w:r>
      <w:r>
        <w:rPr>
          <w:rFonts w:ascii="Arial" w:cs="Arial" w:eastAsia="Arial" w:hAnsi="Arial"/>
          <w:sz w:val="16"/>
          <w:szCs w:val="16"/>
          <w:color w:val="auto"/>
        </w:rPr>
        <w:t xml:space="preserve"> protein degrader product candidates. This prospectus may also contain trademarks, service marks and trade names of third parties, which are the property of their respective owners. Our use or display of third parties’ trademarks, service marks, trade names or products in this prospectus is not intended to and does not imply a relationship with, or endorsement or sponsorship by, us. Solely for convenience, the trademarks, service marks and trade names referred to in this prospectus may appear without the </w:t>
      </w:r>
      <w:r>
        <w:rPr>
          <w:rFonts w:ascii="Arial" w:cs="Arial" w:eastAsia="Arial" w:hAnsi="Arial"/>
          <w:sz w:val="10"/>
          <w:szCs w:val="10"/>
          <w:color w:val="auto"/>
        </w:rPr>
        <w:t>®</w:t>
      </w:r>
      <w:r>
        <w:rPr>
          <w:rFonts w:ascii="Arial" w:cs="Arial" w:eastAsia="Arial" w:hAnsi="Arial"/>
          <w:sz w:val="16"/>
          <w:szCs w:val="16"/>
          <w:color w:val="auto"/>
        </w:rPr>
        <w:t xml:space="preserve">, </w:t>
      </w:r>
      <w:r>
        <w:rPr>
          <w:rFonts w:ascii="Arial" w:cs="Arial" w:eastAsia="Arial" w:hAnsi="Arial"/>
          <w:sz w:val="10"/>
          <w:szCs w:val="10"/>
          <w:color w:val="auto"/>
        </w:rPr>
        <w:t>TM</w:t>
      </w:r>
      <w:r>
        <w:rPr>
          <w:rFonts w:ascii="Arial" w:cs="Arial" w:eastAsia="Arial" w:hAnsi="Arial"/>
          <w:sz w:val="16"/>
          <w:szCs w:val="16"/>
          <w:color w:val="auto"/>
        </w:rPr>
        <w:t xml:space="preserve"> or </w:t>
      </w:r>
      <w:r>
        <w:rPr>
          <w:rFonts w:ascii="Arial" w:cs="Arial" w:eastAsia="Arial" w:hAnsi="Arial"/>
          <w:sz w:val="10"/>
          <w:szCs w:val="10"/>
          <w:color w:val="auto"/>
        </w:rPr>
        <w:t>SM</w:t>
      </w:r>
      <w:r>
        <w:rPr>
          <w:rFonts w:ascii="Arial" w:cs="Arial" w:eastAsia="Arial" w:hAnsi="Arial"/>
          <w:sz w:val="16"/>
          <w:szCs w:val="16"/>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511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summary</w:t>
      </w:r>
    </w:p>
    <w:p>
      <w:pPr>
        <w:spacing w:after="0" w:line="139" w:lineRule="exact"/>
        <w:rPr>
          <w:sz w:val="20"/>
          <w:szCs w:val="20"/>
          <w:color w:val="auto"/>
        </w:rPr>
      </w:pPr>
    </w:p>
    <w:p>
      <w:pPr>
        <w:ind w:left="300" w:right="40"/>
        <w:spacing w:after="0" w:line="238" w:lineRule="auto"/>
        <w:rPr>
          <w:sz w:val="20"/>
          <w:szCs w:val="20"/>
          <w:color w:val="auto"/>
        </w:rPr>
      </w:pPr>
      <w:r>
        <w:rPr>
          <w:rFonts w:ascii="Arial" w:cs="Arial" w:eastAsia="Arial" w:hAnsi="Arial"/>
          <w:sz w:val="18"/>
          <w:szCs w:val="18"/>
          <w:i w:val="1"/>
          <w:iCs w:val="1"/>
          <w:color w:val="auto"/>
        </w:rPr>
        <w:t>This summary highlights information contained in greater detail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incorporated by reference into this prospectus. You should also consider, among other things, the information set forth under the sections titled “Risk Factors,” “Special Note Regarding Forward-Looking Statements” and “Management’s Discussion and Analysis of Financial Condition and Results of Operations,” in each case appearing elsewhere in, or incorporated by reference into, this prospectus. Unless the context otherwise requires, we use the terms “C4 Therapeutics,” the “Company,” “we,” “us,” “our” and similar designations in this prospectus to refer to C4 Therapeutics, Inc. and, where indicated, its wholly owned subsidiary.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300"/>
        <w:spacing w:after="0" w:line="235" w:lineRule="auto"/>
        <w:rPr>
          <w:sz w:val="20"/>
          <w:szCs w:val="20"/>
          <w:color w:val="auto"/>
        </w:rPr>
      </w:pPr>
      <w:r>
        <w:rPr>
          <w:rFonts w:ascii="Arial" w:cs="Arial" w:eastAsia="Arial" w:hAnsi="Arial"/>
          <w:sz w:val="18"/>
          <w:szCs w:val="18"/>
          <w:color w:val="auto"/>
        </w:rPr>
        <w:t>We are a biopharmaceutical company focused on harnessing the body’s natural regulation of protein levels to develop novel therapeutic candidates to target and destroy disease-causing proteins for the treatment of cancer and other diseases. We leverage our proprietary technology platform, TORPEDO (</w:t>
      </w:r>
      <w:r>
        <w:rPr>
          <w:rFonts w:ascii="Arial" w:cs="Arial" w:eastAsia="Arial" w:hAnsi="Arial"/>
          <w:sz w:val="18"/>
          <w:szCs w:val="18"/>
          <w:u w:val="single" w:color="auto"/>
          <w:color w:val="auto"/>
        </w:rPr>
        <w:t>T</w:t>
      </w:r>
      <w:r>
        <w:rPr>
          <w:rFonts w:ascii="Arial" w:cs="Arial" w:eastAsia="Arial" w:hAnsi="Arial"/>
          <w:sz w:val="18"/>
          <w:szCs w:val="18"/>
          <w:color w:val="auto"/>
        </w:rPr>
        <w:t xml:space="preserve">arget </w:t>
      </w:r>
      <w:r>
        <w:rPr>
          <w:rFonts w:ascii="Arial" w:cs="Arial" w:eastAsia="Arial" w:hAnsi="Arial"/>
          <w:sz w:val="18"/>
          <w:szCs w:val="18"/>
          <w:u w:val="single" w:color="auto"/>
          <w:color w:val="auto"/>
        </w:rPr>
        <w:t>OR</w:t>
      </w:r>
      <w:r>
        <w:rPr>
          <w:rFonts w:ascii="Arial" w:cs="Arial" w:eastAsia="Arial" w:hAnsi="Arial"/>
          <w:sz w:val="18"/>
          <w:szCs w:val="18"/>
          <w:color w:val="auto"/>
        </w:rPr>
        <w:t xml:space="preserve">iented </w:t>
      </w:r>
      <w:r>
        <w:rPr>
          <w:rFonts w:ascii="Arial" w:cs="Arial" w:eastAsia="Arial" w:hAnsi="Arial"/>
          <w:sz w:val="18"/>
          <w:szCs w:val="18"/>
          <w:u w:val="single" w:color="auto"/>
          <w:color w:val="auto"/>
        </w:rPr>
        <w:t>P</w:t>
      </w:r>
      <w:r>
        <w:rPr>
          <w:rFonts w:ascii="Arial" w:cs="Arial" w:eastAsia="Arial" w:hAnsi="Arial"/>
          <w:sz w:val="18"/>
          <w:szCs w:val="18"/>
          <w:color w:val="auto"/>
        </w:rPr>
        <w:t>rot</w:t>
      </w:r>
      <w:r>
        <w:rPr>
          <w:rFonts w:ascii="Arial" w:cs="Arial" w:eastAsia="Arial" w:hAnsi="Arial"/>
          <w:sz w:val="18"/>
          <w:szCs w:val="18"/>
          <w:u w:val="single" w:color="auto"/>
          <w:color w:val="auto"/>
        </w:rPr>
        <w:t>E</w:t>
      </w:r>
      <w:r>
        <w:rPr>
          <w:rFonts w:ascii="Arial" w:cs="Arial" w:eastAsia="Arial" w:hAnsi="Arial"/>
          <w:sz w:val="18"/>
          <w:szCs w:val="18"/>
          <w:color w:val="auto"/>
        </w:rPr>
        <w:t xml:space="preserve">in </w:t>
      </w:r>
      <w:r>
        <w:rPr>
          <w:rFonts w:ascii="Arial" w:cs="Arial" w:eastAsia="Arial" w:hAnsi="Arial"/>
          <w:sz w:val="18"/>
          <w:szCs w:val="18"/>
          <w:u w:val="single" w:color="auto"/>
          <w:color w:val="auto"/>
        </w:rPr>
        <w:t>D</w:t>
      </w:r>
      <w:r>
        <w:rPr>
          <w:rFonts w:ascii="Arial" w:cs="Arial" w:eastAsia="Arial" w:hAnsi="Arial"/>
          <w:sz w:val="18"/>
          <w:szCs w:val="18"/>
          <w:color w:val="auto"/>
        </w:rPr>
        <w:t xml:space="preserve">egrader </w:t>
      </w:r>
      <w:r>
        <w:rPr>
          <w:rFonts w:ascii="Arial" w:cs="Arial" w:eastAsia="Arial" w:hAnsi="Arial"/>
          <w:sz w:val="18"/>
          <w:szCs w:val="18"/>
          <w:u w:val="single" w:color="auto"/>
          <w:color w:val="auto"/>
        </w:rPr>
        <w:t>O</w:t>
      </w:r>
      <w:r>
        <w:rPr>
          <w:rFonts w:ascii="Arial" w:cs="Arial" w:eastAsia="Arial" w:hAnsi="Arial"/>
          <w:sz w:val="18"/>
          <w:szCs w:val="18"/>
          <w:color w:val="auto"/>
        </w:rPr>
        <w:t>ptimizer), to synthesize a new class of small molecule medicines that are designed to selectively and efficiently destroy disease-causing proteins, including targets previously considered to be undruggable. Less than 15% of proteins are considered druggable with traditional small molecule inhibitors because of limitations that include lack of accessible active binding sites. By contrast, targeted protein degradation fundamentally enables access to a high proportion of the potential target proteins that are currently considered undruggable. Our degraders are designed with a focus on catalytic efficiency to optimize the overall degradation process. We believe this enhanced catalytic activity offers many potential advantages over existing therapeutic modalities, including improved potency, faster response, higher selectivity and avoidance of known toxicities. We are using our TORPEDO platform to build a robust pipeline of oral protein degradation drug candidates, with our lead product candidates focused on oncology indications. Our most advanced product candidate, CFT7455, is an orally bioavailable degrader of a protein target called IKZF1/3, for multiple myeloma, or MM, and non-Hodgkin lymphomas, or NHLs, including peripheral T-cell lymphoma, or PTCL, and mantle cell lymphoma, or MCL. We submitted an investigational new drug application, or IND, for this product candidate to the U.S. Food and Drug Administration, or the FDA, in December 2020 and received clearance from the FDA in January 2021. We expect to begin a first-in-human Phase 1/2 clinical trial for this product candidate in the first half of 2021. We believe CFT7455 has the potential to eventually replace therapies in the class of molecules known as IMiDs as the standard of care in multiple indications, including MM. IMiD therapies were estimated to have worldwide sales of approximately $15 billion in 2020 for a number of indications, including MM, and MCL, as well as marginal zone lymphoma and follicular lymphoma. We are also developing CFT8634, an orally bioavailable degrader of a protein target called BRD9, for synovial sarcoma and SMARCB1-deleted solid tumors and we expect to submit an IND for this product candidate to the FDA in the second half of 2021 and begin a first-in-human Phase 1/2 clinical trial for this product candidate in 2022.</w:t>
      </w:r>
    </w:p>
    <w:p>
      <w:pPr>
        <w:spacing w:after="0" w:line="104" w:lineRule="exact"/>
        <w:rPr>
          <w:sz w:val="20"/>
          <w:szCs w:val="20"/>
          <w:color w:val="auto"/>
        </w:rPr>
      </w:pPr>
    </w:p>
    <w:p>
      <w:pPr>
        <w:ind w:left="300" w:right="120"/>
        <w:spacing w:after="0" w:line="237" w:lineRule="auto"/>
        <w:rPr>
          <w:sz w:val="20"/>
          <w:szCs w:val="20"/>
          <w:color w:val="auto"/>
        </w:rPr>
      </w:pPr>
      <w:r>
        <w:rPr>
          <w:rFonts w:ascii="Arial" w:cs="Arial" w:eastAsia="Arial" w:hAnsi="Arial"/>
          <w:sz w:val="18"/>
          <w:szCs w:val="18"/>
          <w:color w:val="auto"/>
        </w:rPr>
        <w:t>We use our TORPEDO platform to synthesize a new class of targeted investigational small molecule protein degraders, which employ a natural protein disposal system, specifically the ubiquitin-proteasome system, or UPS, to catalyze the destruction of target proteins. The E3 ligases targeted by our degraders are a family of proteins that identify and tag proteins for degradation. Since our approach is to optimize overall catalytic</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4547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454723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
        <w:spacing w:after="0" w:line="267" w:lineRule="auto"/>
        <w:rPr>
          <w:sz w:val="20"/>
          <w:szCs w:val="20"/>
          <w:color w:val="auto"/>
        </w:rPr>
      </w:pPr>
      <w:r>
        <w:rPr>
          <w:rFonts w:ascii="Arial" w:cs="Arial" w:eastAsia="Arial" w:hAnsi="Arial"/>
          <w:sz w:val="16"/>
          <w:szCs w:val="16"/>
          <w:color w:val="auto"/>
        </w:rPr>
        <w:t xml:space="preserve">efficiency—rather than specific steps in the catalytic cycle—our degraders are designed to destroy target proteins as quickly as possible. Our robust chemistry engine and proprietary analytic models of pharmacokinetics, or PK, and pharmacodynamics, or PD, enable us to efficiently design and synthesize degraders for a selected target that are optimized for overall catalytic efficiency and properties such as solubility, permeability and oral bioavailability. These PK/PD models allow us to predict the depth and duration of target degradation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and select candidate degraders with confidence. For example, we believe our PK/PD models for CFT7455 may be predictive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level response as a function of time at a 1 mg / kg oral dose, showcasing the predictive capability of our TORPEDO platform. We observed a similar predictive relationship in a PK/PD model for CFT8634, which is our lead compound of our BRD9 project. As a result of data such as these, we believe our approach maximizes our potential to create effective drugs across many targets. Another aspect of our TORPEDO platform is that we have developed a rich toolkit of more than 15 novel, structurally distinct binders targeting the E3 ligase, Cereblon. The IMiD class of molecules, which includes approved therapies thalidomide, lenalidomide and pomalidomide, harness Cereblon to effect the degradation of protein targets, resulting in anti-cancer activity. To date, Cereblon is the only E3 ligase known to be targeted by an approved drug to cause protein degradation. Notably, Cereblon is widely expressed across tissues, potentially allowing for therapeutic Cereblon-mediated targeted protein degradation in a wide variety of clinical settings.</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product pipeline</w:t>
      </w:r>
    </w:p>
    <w:p>
      <w:pPr>
        <w:spacing w:after="0" w:line="134"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We have leveraged our TORPEDO platform to generate a robust pipeline of orally available, potent and selective protein degradation drug candidates that may be capable of treating diseases in a wide range of organ systems and tissues. Our pipeline focus is on establishing clear clinical proof-of-concept for targets with well-established biology and a defined regulatory pathway. As shown in the table below, we currently have a number of preclinical programs in development. We anticipate that we will start dosing patients in our Phase 1/2 trial of CFT7455 in the first half of 2021. We expect that CFT8634, BRAF V600E, and RET programs will be in the clinic by the end of 2022. We are currently in the process of assessing our EGFR program in the context of the EGFR treatment landscape and determining the appropriate next steps for this program. Our three strategic collaborations with partners provide additional pipeline optionality and an expansion of our potential targets for protein degradation.</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We are advancing two types of protein degraders. We refer to the first type of degrader as MonoDACs, which are </w:t>
      </w:r>
      <w:r>
        <w:rPr>
          <w:rFonts w:ascii="Arial" w:cs="Arial" w:eastAsia="Arial" w:hAnsi="Arial"/>
          <w:sz w:val="18"/>
          <w:szCs w:val="18"/>
          <w:u w:val="single" w:color="auto"/>
          <w:color w:val="auto"/>
        </w:rPr>
        <w:t>Mono</w:t>
      </w:r>
      <w:r>
        <w:rPr>
          <w:rFonts w:ascii="Arial" w:cs="Arial" w:eastAsia="Arial" w:hAnsi="Arial"/>
          <w:sz w:val="18"/>
          <w:szCs w:val="18"/>
          <w:color w:val="auto"/>
        </w:rPr>
        <w:t>functional</w:t>
      </w:r>
    </w:p>
    <w:p>
      <w:pPr>
        <w:ind w:left="300"/>
        <w:spacing w:after="0" w:line="235"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egradation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ctivating </w:t>
      </w:r>
      <w:r>
        <w:rPr>
          <w:rFonts w:ascii="Arial" w:cs="Arial" w:eastAsia="Arial" w:hAnsi="Arial"/>
          <w:sz w:val="18"/>
          <w:szCs w:val="18"/>
          <w:u w:val="single" w:color="auto"/>
          <w:color w:val="auto"/>
        </w:rPr>
        <w:t>C</w:t>
      </w:r>
      <w:r>
        <w:rPr>
          <w:rFonts w:ascii="Arial" w:cs="Arial" w:eastAsia="Arial" w:hAnsi="Arial"/>
          <w:sz w:val="18"/>
          <w:szCs w:val="18"/>
          <w:color w:val="auto"/>
        </w:rPr>
        <w:t xml:space="preserve">ompounds. MonoDAC degraders function by binding to E3 ligases and creating a new surface on the E3 ligases that enhances the binding of the E3 ligases to target proteins. We refer to our second type of degrader as BiDACs, which are </w:t>
      </w:r>
      <w:r>
        <w:rPr>
          <w:rFonts w:ascii="Arial" w:cs="Arial" w:eastAsia="Arial" w:hAnsi="Arial"/>
          <w:sz w:val="18"/>
          <w:szCs w:val="18"/>
          <w:u w:val="single" w:color="auto"/>
          <w:color w:val="auto"/>
        </w:rPr>
        <w:t>Bi</w:t>
      </w:r>
      <w:r>
        <w:rPr>
          <w:rFonts w:ascii="Arial" w:cs="Arial" w:eastAsia="Arial" w:hAnsi="Arial"/>
          <w:sz w:val="18"/>
          <w:szCs w:val="18"/>
          <w:color w:val="auto"/>
        </w:rPr>
        <w:t xml:space="preserve">functional </w:t>
      </w:r>
      <w:r>
        <w:rPr>
          <w:rFonts w:ascii="Arial" w:cs="Arial" w:eastAsia="Arial" w:hAnsi="Arial"/>
          <w:sz w:val="18"/>
          <w:szCs w:val="18"/>
          <w:u w:val="single" w:color="auto"/>
          <w:color w:val="auto"/>
        </w:rPr>
        <w:t>D</w:t>
      </w:r>
      <w:r>
        <w:rPr>
          <w:rFonts w:ascii="Arial" w:cs="Arial" w:eastAsia="Arial" w:hAnsi="Arial"/>
          <w:sz w:val="18"/>
          <w:szCs w:val="18"/>
          <w:color w:val="auto"/>
        </w:rPr>
        <w:t xml:space="preserve">egradation </w:t>
      </w:r>
      <w:r>
        <w:rPr>
          <w:rFonts w:ascii="Arial" w:cs="Arial" w:eastAsia="Arial" w:hAnsi="Arial"/>
          <w:sz w:val="18"/>
          <w:szCs w:val="18"/>
          <w:u w:val="single" w:color="auto"/>
          <w:color w:val="auto"/>
        </w:rPr>
        <w:t>A</w:t>
      </w:r>
      <w:r>
        <w:rPr>
          <w:rFonts w:ascii="Arial" w:cs="Arial" w:eastAsia="Arial" w:hAnsi="Arial"/>
          <w:sz w:val="18"/>
          <w:szCs w:val="18"/>
          <w:color w:val="auto"/>
        </w:rPr>
        <w:t xml:space="preserve">ctivating </w:t>
      </w:r>
      <w:r>
        <w:rPr>
          <w:rFonts w:ascii="Arial" w:cs="Arial" w:eastAsia="Arial" w:hAnsi="Arial"/>
          <w:sz w:val="18"/>
          <w:szCs w:val="18"/>
          <w:u w:val="single" w:color="auto"/>
          <w:color w:val="auto"/>
        </w:rPr>
        <w:t>C</w:t>
      </w:r>
      <w:r>
        <w:rPr>
          <w:rFonts w:ascii="Arial" w:cs="Arial" w:eastAsia="Arial" w:hAnsi="Arial"/>
          <w:sz w:val="18"/>
          <w:szCs w:val="18"/>
          <w:color w:val="auto"/>
        </w:rPr>
        <w:t>ompounds. BiDAC degraders are designed so that one end of the molecule binds to the disease-causing target protein and the other end binds to the E3 ligase. Each of these types of degrader is intended to result in the same end point: the specific degradation of the target proteins of interest. These two approaches have complementary requirements for target engagement: BiDAC degraders utilize specific binding sites where chemical binding moieties, which are portions of a molecule, can be identified, which enables a rational drug discovery approach, while MonoDAC degraders, in contrast, rely on ligase-to-target protein surface interactions to drive the ubiquitination process, which is the process by which an E3 ligase tags a target protein for degradation using a molecular tag called ubiquitin, rather than specific compound-binding sites.</w:t>
      </w:r>
    </w:p>
    <w:p>
      <w:pPr>
        <w:spacing w:after="0" w:line="1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5250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right="40"/>
        <w:spacing w:after="0" w:line="235" w:lineRule="auto"/>
        <w:rPr>
          <w:sz w:val="20"/>
          <w:szCs w:val="20"/>
          <w:color w:val="auto"/>
        </w:rPr>
      </w:pPr>
      <w:r>
        <w:rPr>
          <w:rFonts w:ascii="Arial" w:cs="Arial" w:eastAsia="Arial" w:hAnsi="Arial"/>
          <w:sz w:val="18"/>
          <w:szCs w:val="18"/>
          <w:color w:val="auto"/>
        </w:rPr>
        <w:t>CFT7455 is an orally bioavailable degrader designed to target IKZF1/3 for the treatment of MM and NHLs, including PTCL and MCL. We have selected IKZF1/3 as our initial targets because they have a strong mechanistic rationale, well-defined biology and targeting them with a novel degrader may address a significant unmet need. In our preclinical studies, CFT7455 has demonstrated potent and selective protein degradation with favorable pharmacological properties. We believe that the differentiated pharmacology of CFT7455, including its high potency, may translate into improved clinical outcomes over the current standard-of-care agents in each of the indications we are pursuing. We submitted an IND for CFT7455 in December 2020, for which we received clearance from the FDA in January 2021, and we expect to dose the first patient in the first half of 2021. We expect the results from this clinical trial will help us better understand the disease characteristics of those patients who may derive benefit from CFT7455, which will enable us to design future clinical trials more effectively for the product candidate.</w:t>
      </w:r>
    </w:p>
    <w:p>
      <w:pPr>
        <w:spacing w:after="0" w:line="106" w:lineRule="exact"/>
        <w:rPr>
          <w:sz w:val="20"/>
          <w:szCs w:val="20"/>
          <w:color w:val="auto"/>
        </w:rPr>
      </w:pPr>
    </w:p>
    <w:p>
      <w:pPr>
        <w:ind w:left="300" w:right="100"/>
        <w:spacing w:after="0" w:line="269" w:lineRule="auto"/>
        <w:rPr>
          <w:sz w:val="20"/>
          <w:szCs w:val="20"/>
          <w:color w:val="auto"/>
        </w:rPr>
      </w:pPr>
      <w:r>
        <w:rPr>
          <w:rFonts w:ascii="Arial" w:cs="Arial" w:eastAsia="Arial" w:hAnsi="Arial"/>
          <w:sz w:val="16"/>
          <w:szCs w:val="16"/>
          <w:color w:val="auto"/>
        </w:rPr>
        <w:t xml:space="preserve">CFT8634 is an orally bioavailable degrader designed to target BRD9 for the treatment of synovial sarcoma and SMARCB1-deleted solid malignancies. BRD9 has been considered an undruggable target using currently available modalities. BRD9 is a component of the non-canonical BAF complex, or ncBAF, that plays a role in regulating gene transcription. In normal cells, this complex is not required for cell survival. However, some tumors, including synovial sarcoma, encode genetic mutations that render the ncBAF complex—and thus BRD9—essential for tumor growth. CFT8634 has shown potent anti-tumor activity in synovial sarcoma cells. Further, CFT8634 has shown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activity in synovial sarcoma xenograft and PDX models when dosed orally. We expect to file an IND for CFT8634 with the FDA in the second half of 2021 and dose the first patient in a first-in-human Phase 1/2 clinical trial of this product candidate in 2022.</w:t>
      </w:r>
    </w:p>
    <w:p>
      <w:pPr>
        <w:spacing w:after="0" w:line="82"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In addition to our lead product candidates, we are also developing degraders specifically targeting V600E mutant BRAF to treat melanoma, non-small cell lung cancer, or NSCLC, colorectal cancer and other malignancies that harbor this mutation, as well as degraders of a protein target called RET to treat lung cancer, sporadic medullary thyroid cancers and other solid malignancies that harbor oncogenic RET lesions. We expect to have product candidates from our two other lead programs, BRAF V600E and RET, in the clinic by the end of 2022. Beyond these four initial product candidates, we are further diversifying our pipeline by developing new degraders against targets where we believe degradation offers potential advantages over existing therapeutic modalities. We have engineered degraders that have successfully achieved blood-brain barrier penetration in preclinical studies, which</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4735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73583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 w:right="200"/>
        <w:spacing w:after="0" w:line="238" w:lineRule="auto"/>
        <w:rPr>
          <w:sz w:val="20"/>
          <w:szCs w:val="20"/>
          <w:color w:val="auto"/>
        </w:rPr>
      </w:pPr>
      <w:r>
        <w:rPr>
          <w:rFonts w:ascii="Arial" w:cs="Arial" w:eastAsia="Arial" w:hAnsi="Arial"/>
          <w:sz w:val="18"/>
          <w:szCs w:val="18"/>
          <w:color w:val="auto"/>
        </w:rPr>
        <w:t>is a key step in developing medicines with the potential to treat brain metastases in oncology, as well as therapeutic areas such neurodegenerative diseases. We also believe there are many other therapeutic areas and indications where leveraging our TORPEDO platform to develop novel degraders may be advantageous.</w:t>
      </w:r>
    </w:p>
    <w:p>
      <w:pPr>
        <w:spacing w:after="0" w:line="100" w:lineRule="exact"/>
        <w:rPr>
          <w:sz w:val="20"/>
          <w:szCs w:val="20"/>
          <w:color w:val="auto"/>
        </w:rPr>
      </w:pPr>
    </w:p>
    <w:p>
      <w:pPr>
        <w:ind w:left="300" w:right="160"/>
        <w:spacing w:after="0" w:line="238" w:lineRule="auto"/>
        <w:rPr>
          <w:sz w:val="20"/>
          <w:szCs w:val="20"/>
          <w:color w:val="auto"/>
        </w:rPr>
      </w:pPr>
      <w:r>
        <w:rPr>
          <w:rFonts w:ascii="Arial" w:cs="Arial" w:eastAsia="Arial" w:hAnsi="Arial"/>
          <w:sz w:val="18"/>
          <w:szCs w:val="18"/>
          <w:color w:val="auto"/>
        </w:rPr>
        <w:t>In addition to the programs identified above and our early-stage development collaborations with F. Hoffmann-La Roche Ltd., or Roche, Biogen, Inc., or Biogen, and Calico Life Sciences LLC, or Calico, we are conducting exploratory research and development work on various other targets.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We are committed to transforming the treatment of cancer and other diseases through the discovery, development and commercialization of novel therapies that destroy disease-causing proteins.</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Key elements of our strategy are to:</w:t>
      </w:r>
    </w:p>
    <w:p>
      <w:pPr>
        <w:spacing w:after="0" w:line="117" w:lineRule="exact"/>
        <w:rPr>
          <w:sz w:val="20"/>
          <w:szCs w:val="20"/>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rapid progression toward clinical development of our lead programs developed with our TORPEDO platform;</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late-stage discovery programs to generate product candidates;</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TORPEDO platform to generate discovery programs for previously undruggable or challenging targets;</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Strategically invest in our TORPEDO platform;</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with strategic partners to accelerate program development and maximize the potential of our TORPEDO platform;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Maximize the potential of our product candidates with selective use of development and commercial collaborations.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Impact of the COVID-19 pandemic on our operations</w:t>
      </w:r>
    </w:p>
    <w:p>
      <w:pPr>
        <w:spacing w:after="0" w:line="134"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The COVID-19 pandemic caused significant industry-wide delays in preclinical work and clinical trials. There are multiple causes of these delays, including laboratory closures, reluctance of patients to enroll or continue in trials for fear of exposure to COVID-19, local and regional shelter-in-place orders and regulations that discourage, hamper or prohibit patient visits, healthcare providers and health systems shifting away from clinical trials toward the acute care of COVID-19 patients and the FDA and other regulators making product candidates for the treatment of COVID-19 a priority over product candidates unrelated to the pandemic.</w:t>
      </w:r>
    </w:p>
    <w:p>
      <w:pPr>
        <w:spacing w:after="0" w:line="103" w:lineRule="exact"/>
        <w:rPr>
          <w:sz w:val="20"/>
          <w:szCs w:val="20"/>
          <w:color w:val="auto"/>
        </w:rPr>
      </w:pPr>
    </w:p>
    <w:p>
      <w:pPr>
        <w:ind w:left="300" w:right="120"/>
        <w:spacing w:after="0" w:line="272" w:lineRule="auto"/>
        <w:rPr>
          <w:sz w:val="20"/>
          <w:szCs w:val="20"/>
          <w:color w:val="auto"/>
        </w:rPr>
      </w:pPr>
      <w:r>
        <w:rPr>
          <w:rFonts w:ascii="Arial" w:cs="Arial" w:eastAsia="Arial" w:hAnsi="Arial"/>
          <w:sz w:val="16"/>
          <w:szCs w:val="16"/>
          <w:color w:val="auto"/>
        </w:rPr>
        <w:t>In terms of the impact on our operations, we saw increased risk of delays in production of components used to manufacture our lead degrader candidates due to previous delays at one of our China-based manufacturers, one of our CROs in India was forced to temporarily shut down due to local lockdown orders during the spring of 2020, and some of our CROs in India saw COVID-19 outbreaks impact staffing levels in the spring of 2021. In addition, during the first half of 2020, we temporarily closed the office and laboratory spaces at our corporate headquarters in Watertown, Massachusetts, and we transitioned our employees to work from home. In the</w:t>
      </w:r>
    </w:p>
    <w:p>
      <w:pPr>
        <w:spacing w:after="0" w:line="1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4676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
        <w:spacing w:after="0" w:line="235" w:lineRule="auto"/>
        <w:rPr>
          <w:sz w:val="20"/>
          <w:szCs w:val="20"/>
          <w:color w:val="auto"/>
        </w:rPr>
      </w:pPr>
      <w:r>
        <w:rPr>
          <w:rFonts w:ascii="Arial" w:cs="Arial" w:eastAsia="Arial" w:hAnsi="Arial"/>
          <w:sz w:val="18"/>
          <w:szCs w:val="18"/>
          <w:color w:val="auto"/>
        </w:rPr>
        <w:t>middle of 2020, we commenced a partial reopening of our office and laboratory spaces in Watertown, Massachusetts and, as this pandemic evolves and vaccinations become more broadly accessible and disseminated, are looking to expand the number of our employees who are authorized to work from that location. We continue to work closely with our contract research organizations, or CROs, manufacturers, investigators and preclinical and clinical trial sites to assess the full impact of the COVID-19 pandemic on the timelines and expected costs for each of our programs and have implemented appropriate mitigation strategies for our clinical trials to minimize, wherever possible, any possible impacts of COVID-19 on our ability to enroll, conduct and complete our clinical trials. While the ongoing impact of the pandemic remains uncertain, we believe our CRO redundancies in China, India and Watertown, the transition of the majority of our employees to remote work arrangements and our other COVID-19 policies and activities have appropriately mitigated the impact of these types of disruptions on our business and we anticipate returning to our Watertown offices in a more fulsome manner when that is permissible and advisable in line with applicable legal requirements and safety concerns.</w:t>
      </w:r>
    </w:p>
    <w:p>
      <w:pPr>
        <w:spacing w:after="0" w:line="106" w:lineRule="exact"/>
        <w:rPr>
          <w:sz w:val="20"/>
          <w:szCs w:val="20"/>
          <w:color w:val="auto"/>
        </w:rPr>
      </w:pPr>
    </w:p>
    <w:p>
      <w:pPr>
        <w:ind w:left="300" w:right="280"/>
        <w:spacing w:after="0" w:line="239" w:lineRule="auto"/>
        <w:rPr>
          <w:sz w:val="20"/>
          <w:szCs w:val="20"/>
          <w:color w:val="auto"/>
        </w:rPr>
      </w:pPr>
      <w:r>
        <w:rPr>
          <w:rFonts w:ascii="Arial" w:cs="Arial" w:eastAsia="Arial" w:hAnsi="Arial"/>
          <w:sz w:val="18"/>
          <w:szCs w:val="18"/>
          <w:color w:val="auto"/>
        </w:rPr>
        <w:t>We note that there remains a high level of difficulty in projecting the effects of COVID-19 on our programs and our company, given the rapid and dramatic evolution in the course and impact of the pandemic and the societal and governmental response to it.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Summary of material risks associated with our business</w:t>
      </w:r>
    </w:p>
    <w:p>
      <w:pPr>
        <w:spacing w:after="0" w:line="134" w:lineRule="exact"/>
        <w:rPr>
          <w:sz w:val="20"/>
          <w:szCs w:val="20"/>
          <w:color w:val="auto"/>
        </w:rPr>
      </w:pPr>
    </w:p>
    <w:p>
      <w:pPr>
        <w:ind w:left="300"/>
        <w:spacing w:after="0" w:line="299" w:lineRule="auto"/>
        <w:rPr>
          <w:sz w:val="20"/>
          <w:szCs w:val="20"/>
          <w:color w:val="auto"/>
        </w:rPr>
      </w:pPr>
      <w:r>
        <w:rPr>
          <w:rFonts w:ascii="Arial" w:cs="Arial" w:eastAsia="Arial" w:hAnsi="Arial"/>
          <w:sz w:val="16"/>
          <w:szCs w:val="16"/>
          <w:color w:val="auto"/>
        </w:rPr>
        <w:t>Our ability to implement our business strategy is subject to numerous risks that you should be aware of before making an investment decision. These risks are described more fully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 These risks include, among others:</w:t>
      </w:r>
    </w:p>
    <w:p>
      <w:pPr>
        <w:spacing w:after="0" w:line="68" w:lineRule="exact"/>
        <w:rPr>
          <w:sz w:val="20"/>
          <w:szCs w:val="20"/>
          <w:color w:val="auto"/>
        </w:rPr>
      </w:pPr>
    </w:p>
    <w:p>
      <w:pPr>
        <w:ind w:left="480" w:right="260" w:hanging="182"/>
        <w:spacing w:after="0" w:line="237"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an early-stage biopharmaceutical company with a limited operating history and have incurred significant losses since our inception. To date, we have not generated any revenue from product sales. We expect to continue to incur significant expenses and increasing operating losses for at least the next several years and may never achieve or maintain profitability. Our net loss was $21.0 million and $11.9 million for the three months ended March 31, 2021 and 2020, respectively.</w:t>
      </w:r>
    </w:p>
    <w:p>
      <w:pPr>
        <w:spacing w:after="0" w:line="113" w:lineRule="exact"/>
        <w:rPr>
          <w:rFonts w:ascii="Arial" w:cs="Arial" w:eastAsia="Arial" w:hAnsi="Arial"/>
          <w:sz w:val="18"/>
          <w:szCs w:val="18"/>
          <w:color w:val="auto"/>
        </w:rPr>
      </w:pPr>
    </w:p>
    <w:p>
      <w:pPr>
        <w:ind w:left="480" w:right="100" w:hanging="182"/>
        <w:spacing w:after="0" w:line="23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113" w:lineRule="exact"/>
        <w:rPr>
          <w:rFonts w:ascii="Arial" w:cs="Arial" w:eastAsia="Arial" w:hAnsi="Arial"/>
          <w:sz w:val="18"/>
          <w:szCs w:val="18"/>
          <w:color w:val="auto"/>
        </w:rPr>
      </w:pPr>
    </w:p>
    <w:p>
      <w:pPr>
        <w:ind w:left="480" w:right="100" w:hanging="182"/>
        <w:spacing w:after="0" w:line="239"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our TORPEDO platform is unproven, which makes it difficult to predict the time, cost of development and likelihood of successfully developing any products.</w:t>
      </w:r>
    </w:p>
    <w:p>
      <w:pPr>
        <w:spacing w:after="0" w:line="114" w:lineRule="exact"/>
        <w:rPr>
          <w:rFonts w:ascii="Arial" w:cs="Arial" w:eastAsia="Arial" w:hAnsi="Arial"/>
          <w:sz w:val="18"/>
          <w:szCs w:val="18"/>
          <w:color w:val="auto"/>
        </w:rPr>
      </w:pPr>
    </w:p>
    <w:p>
      <w:pPr>
        <w:ind w:left="480" w:right="280" w:hanging="182"/>
        <w:spacing w:after="0" w:line="23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Most of our product candidates are still in preclinical development. Our business could be harmed if we are unable to advance to clinical development, develop, obtain regulatory approval for and/or commercialize our product candidates or experience significant delays in doing any of these things or if we experience significant cost increases.</w:t>
      </w:r>
    </w:p>
    <w:p>
      <w:pPr>
        <w:spacing w:after="0" w:line="113" w:lineRule="exact"/>
        <w:rPr>
          <w:rFonts w:ascii="Arial" w:cs="Arial" w:eastAsia="Arial" w:hAnsi="Arial"/>
          <w:sz w:val="18"/>
          <w:szCs w:val="18"/>
          <w:color w:val="auto"/>
        </w:rPr>
      </w:pPr>
    </w:p>
    <w:p>
      <w:pPr>
        <w:ind w:left="480" w:right="280" w:hanging="182"/>
        <w:spacing w:after="0" w:line="238"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442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4272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80" w:right="200" w:hanging="182"/>
        <w:spacing w:after="0" w:line="23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preclinical studies and clinical trials may fail to demonstrate adequately the safety, potency, purity and efficacy of any of our product candidates, which would prevent or delay development, regulatory approval and commercialization of our current and future product candidates.</w:t>
      </w:r>
    </w:p>
    <w:p>
      <w:pPr>
        <w:spacing w:after="0" w:line="113" w:lineRule="exact"/>
        <w:rPr>
          <w:rFonts w:ascii="Arial" w:cs="Arial" w:eastAsia="Arial" w:hAnsi="Arial"/>
          <w:sz w:val="18"/>
          <w:szCs w:val="18"/>
          <w:color w:val="auto"/>
        </w:rPr>
      </w:pPr>
    </w:p>
    <w:p>
      <w:pPr>
        <w:ind w:left="480" w:right="80" w:hanging="182"/>
        <w:spacing w:after="0" w:line="236"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collaboration agreements with Roche, Biogen and Calico and may in the future seek to enter into collaborations with third parties for the development and/or commercialization of certain of our product candidates. If we fail to enter into these types of new collaborations, or if our existing collaborations are not successful, we may be unable to continue development of our product candidates, we will not receive any contemplated or potential future milestone payments or royalties, and we could fail to capitalize on the market potential of our product candidates.</w:t>
      </w:r>
    </w:p>
    <w:p>
      <w:pPr>
        <w:spacing w:after="0" w:line="116" w:lineRule="exact"/>
        <w:rPr>
          <w:rFonts w:ascii="Arial" w:cs="Arial" w:eastAsia="Arial" w:hAnsi="Arial"/>
          <w:sz w:val="18"/>
          <w:szCs w:val="18"/>
          <w:color w:val="auto"/>
        </w:rPr>
      </w:pPr>
    </w:p>
    <w:p>
      <w:pPr>
        <w:ind w:left="480" w:right="34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effects of the novel COVID-19 pandemic could adversely impact our business, including our preclinical studies and clinical trials.</w:t>
      </w:r>
    </w:p>
    <w:p>
      <w:pPr>
        <w:spacing w:after="0" w:line="114" w:lineRule="exact"/>
        <w:rPr>
          <w:rFonts w:ascii="Arial" w:cs="Arial" w:eastAsia="Arial" w:hAnsi="Arial"/>
          <w:sz w:val="18"/>
          <w:szCs w:val="18"/>
          <w:color w:val="auto"/>
        </w:rPr>
      </w:pPr>
    </w:p>
    <w:p>
      <w:pPr>
        <w:ind w:left="480" w:right="520" w:hanging="182"/>
        <w:spacing w:after="0" w:line="239"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14" w:lineRule="exact"/>
        <w:rPr>
          <w:rFonts w:ascii="Arial" w:cs="Arial" w:eastAsia="Arial" w:hAnsi="Arial"/>
          <w:sz w:val="18"/>
          <w:szCs w:val="18"/>
          <w:color w:val="auto"/>
        </w:rPr>
      </w:pPr>
    </w:p>
    <w:p>
      <w:pPr>
        <w:ind w:left="480" w:hanging="182"/>
        <w:spacing w:after="0" w:line="23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113" w:lineRule="exact"/>
        <w:rPr>
          <w:rFonts w:ascii="Arial" w:cs="Arial" w:eastAsia="Arial" w:hAnsi="Arial"/>
          <w:sz w:val="18"/>
          <w:szCs w:val="18"/>
          <w:color w:val="auto"/>
        </w:rPr>
      </w:pPr>
    </w:p>
    <w:p>
      <w:pPr>
        <w:ind w:left="480" w:right="160" w:hanging="182"/>
        <w:spacing w:after="0" w:line="23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113" w:lineRule="exact"/>
        <w:rPr>
          <w:rFonts w:ascii="Arial" w:cs="Arial" w:eastAsia="Arial" w:hAnsi="Arial"/>
          <w:sz w:val="18"/>
          <w:szCs w:val="18"/>
          <w:color w:val="auto"/>
        </w:rPr>
      </w:pPr>
    </w:p>
    <w:p>
      <w:pPr>
        <w:ind w:left="480" w:right="360" w:hanging="182"/>
        <w:spacing w:after="0" w:line="238"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00" w:right="260"/>
        <w:spacing w:after="0" w:line="236" w:lineRule="auto"/>
        <w:rPr>
          <w:sz w:val="20"/>
          <w:szCs w:val="20"/>
          <w:color w:val="auto"/>
        </w:rPr>
      </w:pPr>
      <w:r>
        <w:rPr>
          <w:rFonts w:ascii="Arial" w:cs="Arial" w:eastAsia="Arial" w:hAnsi="Arial"/>
          <w:sz w:val="18"/>
          <w:szCs w:val="18"/>
          <w:color w:val="auto"/>
        </w:rPr>
        <w:t>We were incorporated in October 2015 under the laws of the State of Delaware. Our principal executive offices are located at 490 Arsenal Way, Suite 200, Watertown, Massachusetts 02472, and our telephone number is (617) 231-0700. We have one wholly owned subsidiary, C4T Securities Corporation, a Massachusetts corporation. Our website address is www.c4therapeutics.com. Information contained on our website is not incorporated by reference into this prospectus and should not be considered to be a part of this prospectus or the registration statement of which it forms a part.</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4735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473583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 and a smaller reporting company</w:t>
      </w:r>
    </w:p>
    <w:p>
      <w:pPr>
        <w:spacing w:after="0" w:line="134" w:lineRule="exact"/>
        <w:rPr>
          <w:sz w:val="20"/>
          <w:szCs w:val="20"/>
          <w:color w:val="auto"/>
        </w:rPr>
      </w:pPr>
    </w:p>
    <w:p>
      <w:pPr>
        <w:ind w:left="300" w:right="20"/>
        <w:spacing w:after="0" w:line="238"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113" w:lineRule="exact"/>
        <w:rPr>
          <w:sz w:val="20"/>
          <w:szCs w:val="20"/>
          <w:color w:val="auto"/>
        </w:rPr>
      </w:pPr>
    </w:p>
    <w:p>
      <w:pPr>
        <w:ind w:left="480" w:right="180" w:hanging="182"/>
        <w:spacing w:after="0" w:line="238"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being permitted to only provide two years of audited financial statements in addition to any required unaudited interim financial statements with correspondingly reduced “Management’s Discussion and Analysis of Financial Condition and Results of Operations” disclosure;</w:t>
      </w:r>
    </w:p>
    <w:p>
      <w:pPr>
        <w:spacing w:after="0" w:line="113"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480" w:right="58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being required to hold advisory votes on executive compensation or to obtain stockholder approval of any golden parachute arrangements not previously approved;</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and</w:t>
      </w:r>
    </w:p>
    <w:p>
      <w:pPr>
        <w:spacing w:after="0" w:line="117" w:lineRule="exact"/>
        <w:rPr>
          <w:rFonts w:ascii="Arial" w:cs="Arial" w:eastAsia="Arial" w:hAnsi="Arial"/>
          <w:sz w:val="18"/>
          <w:szCs w:val="18"/>
          <w:color w:val="auto"/>
        </w:rPr>
      </w:pPr>
    </w:p>
    <w:p>
      <w:pPr>
        <w:ind w:left="480" w:right="300" w:hanging="182"/>
        <w:spacing w:after="0" w:line="299"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may take advantage of these exemptions until we are no longer an emerging growth company. We would cease to be an emerging</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growth company on the date that is the earliest of (i) the last day of the fiscal year in which we have total annual gross revenues of</w:t>
      </w:r>
    </w:p>
    <w:p>
      <w:pPr>
        <w:ind w:left="300"/>
        <w:spacing w:after="0"/>
        <w:rPr>
          <w:sz w:val="20"/>
          <w:szCs w:val="20"/>
          <w:color w:val="auto"/>
        </w:rPr>
      </w:pPr>
      <w:r>
        <w:rPr>
          <w:rFonts w:ascii="Arial" w:cs="Arial" w:eastAsia="Arial" w:hAnsi="Arial"/>
          <w:sz w:val="16"/>
          <w:szCs w:val="16"/>
          <w:color w:val="auto"/>
        </w:rPr>
        <w:t>$1.07 billion or more; (ii) the last day of 2025; (iii) the date on which we have issued more than $1.0 billion in nonconvertible debt during</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previous three years; or (iv) the date on which we are deemed to be a large accelerated filer under the rules of the Securities and</w:t>
      </w:r>
    </w:p>
    <w:p>
      <w:pPr>
        <w:ind w:left="300"/>
        <w:spacing w:after="0" w:line="234" w:lineRule="auto"/>
        <w:rPr>
          <w:sz w:val="20"/>
          <w:szCs w:val="20"/>
          <w:color w:val="auto"/>
        </w:rPr>
      </w:pPr>
      <w:r>
        <w:rPr>
          <w:rFonts w:ascii="Arial" w:cs="Arial" w:eastAsia="Arial" w:hAnsi="Arial"/>
          <w:sz w:val="18"/>
          <w:szCs w:val="18"/>
          <w:color w:val="auto"/>
        </w:rPr>
        <w:t>Exchange Commission, or the SEC. We may choose to take advantage of some but not all of these exemptions. We have taken</w:t>
      </w:r>
    </w:p>
    <w:p>
      <w:pPr>
        <w:ind w:left="300"/>
        <w:spacing w:after="0" w:line="235" w:lineRule="auto"/>
        <w:rPr>
          <w:sz w:val="20"/>
          <w:szCs w:val="20"/>
          <w:color w:val="auto"/>
        </w:rPr>
      </w:pPr>
      <w:r>
        <w:rPr>
          <w:rFonts w:ascii="Arial" w:cs="Arial" w:eastAsia="Arial" w:hAnsi="Arial"/>
          <w:sz w:val="18"/>
          <w:szCs w:val="18"/>
          <w:color w:val="auto"/>
        </w:rPr>
        <w:t>advantage of reduced reporting requirements in this prospectus. In addition, we have elected to use the exemption for the delayed</w:t>
      </w:r>
    </w:p>
    <w:p>
      <w:pPr>
        <w:ind w:left="300"/>
        <w:spacing w:after="0" w:line="235" w:lineRule="auto"/>
        <w:rPr>
          <w:sz w:val="20"/>
          <w:szCs w:val="20"/>
          <w:color w:val="auto"/>
        </w:rPr>
      </w:pPr>
      <w:r>
        <w:rPr>
          <w:rFonts w:ascii="Arial" w:cs="Arial" w:eastAsia="Arial" w:hAnsi="Arial"/>
          <w:sz w:val="18"/>
          <w:szCs w:val="18"/>
          <w:color w:val="auto"/>
        </w:rPr>
        <w:t>adoption of certain accounting standards until the earlier of the date that we (i) are no longer an emerging growth company or</w:t>
      </w:r>
    </w:p>
    <w:p>
      <w:pPr>
        <w:ind w:left="300" w:hanging="2"/>
        <w:spacing w:after="0" w:line="239" w:lineRule="auto"/>
        <w:tabs>
          <w:tab w:leader="none" w:pos="5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Accordingly, the information contained herein may be different from the information you receive from other public companies in which you hold stock.</w:t>
      </w:r>
    </w:p>
    <w:p>
      <w:pPr>
        <w:spacing w:after="0" w:line="101" w:lineRule="exact"/>
        <w:rPr>
          <w:sz w:val="20"/>
          <w:szCs w:val="20"/>
          <w:color w:val="auto"/>
        </w:rPr>
      </w:pPr>
    </w:p>
    <w:p>
      <w:pPr>
        <w:ind w:left="300"/>
        <w:spacing w:after="0" w:line="268"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Confidential Treatment Requested by C4 Therapeutics, Inc.</w:t>
      </w:r>
    </w:p>
    <w:p>
      <w:pPr>
        <w:spacing w:after="0" w:line="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5036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offering</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offered by us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Shares of our common stock to be outstanding after this offering</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8"/>
        <w:spacing w:after="0"/>
        <w:rPr>
          <w:sz w:val="20"/>
          <w:szCs w:val="20"/>
          <w:color w:val="auto"/>
        </w:rPr>
      </w:pPr>
      <w:r>
        <w:rPr>
          <w:rFonts w:ascii="Arial" w:cs="Arial" w:eastAsia="Arial" w:hAnsi="Arial"/>
          <w:sz w:val="18"/>
          <w:szCs w:val="18"/>
          <w:color w:val="auto"/>
        </w:rPr>
        <w:t>shares</w:t>
      </w:r>
    </w:p>
    <w:p>
      <w:pPr>
        <w:spacing w:after="0" w:line="131" w:lineRule="exact"/>
        <w:rPr>
          <w:sz w:val="20"/>
          <w:szCs w:val="20"/>
          <w:color w:val="auto"/>
        </w:rPr>
      </w:pPr>
    </w:p>
    <w:p>
      <w:pPr>
        <w:ind w:left="8" w:right="340"/>
        <w:spacing w:after="0" w:line="237" w:lineRule="auto"/>
        <w:rPr>
          <w:sz w:val="20"/>
          <w:szCs w:val="20"/>
          <w:color w:val="auto"/>
        </w:rPr>
      </w:pPr>
      <w:r>
        <w:rPr>
          <w:rFonts w:ascii="Arial" w:cs="Arial" w:eastAsia="Arial" w:hAnsi="Arial"/>
          <w:sz w:val="18"/>
          <w:szCs w:val="18"/>
          <w:color w:val="auto"/>
        </w:rPr>
        <w:t>We have granted the underwriters a 30-day option to purchase up to additional shares of our common stock at the public offering price, less underwriting discounts and commissions, on the same terms as set forth in this prospectus.</w:t>
      </w:r>
    </w:p>
    <w:p>
      <w:pPr>
        <w:spacing w:after="0" w:line="127" w:lineRule="exact"/>
        <w:rPr>
          <w:sz w:val="20"/>
          <w:szCs w:val="20"/>
          <w:color w:val="auto"/>
        </w:rPr>
      </w:pPr>
    </w:p>
    <w:p>
      <w:pPr>
        <w:ind w:left="8" w:right="260" w:firstLine="634"/>
        <w:spacing w:after="0" w:line="239" w:lineRule="auto"/>
        <w:rPr>
          <w:sz w:val="20"/>
          <w:szCs w:val="20"/>
          <w:color w:val="auto"/>
        </w:rPr>
      </w:pPr>
      <w:r>
        <w:rPr>
          <w:rFonts w:ascii="Arial" w:cs="Arial" w:eastAsia="Arial" w:hAnsi="Arial"/>
          <w:sz w:val="18"/>
          <w:szCs w:val="18"/>
          <w:color w:val="auto"/>
        </w:rPr>
        <w:t>shares (or shares if the underwriters exercise their option to purchase additional shares in full)</w:t>
      </w:r>
    </w:p>
    <w:p>
      <w:pPr>
        <w:spacing w:after="0" w:line="128" w:lineRule="exact"/>
        <w:rPr>
          <w:sz w:val="20"/>
          <w:szCs w:val="20"/>
          <w:color w:val="auto"/>
        </w:rPr>
      </w:pPr>
    </w:p>
    <w:p>
      <w:pPr>
        <w:jc w:val="center"/>
        <w:ind w:right="512"/>
        <w:spacing w:after="0"/>
        <w:rPr>
          <w:sz w:val="20"/>
          <w:szCs w:val="20"/>
          <w:color w:val="auto"/>
        </w:rPr>
      </w:pPr>
      <w:r>
        <w:rPr>
          <w:rFonts w:ascii="Arial" w:cs="Arial" w:eastAsia="Arial" w:hAnsi="Arial"/>
          <w:sz w:val="16"/>
          <w:szCs w:val="16"/>
          <w:color w:val="auto"/>
        </w:rPr>
        <w:t>We estimate that the net proceeds to us from the sale of shares of our</w:t>
      </w:r>
    </w:p>
    <w:p>
      <w:pPr>
        <w:spacing w:after="0" w:line="14" w:lineRule="exact"/>
        <w:rPr>
          <w:sz w:val="20"/>
          <w:szCs w:val="20"/>
          <w:color w:val="auto"/>
        </w:rPr>
      </w:pPr>
    </w:p>
    <w:p>
      <w:pPr>
        <w:ind w:left="8"/>
        <w:spacing w:after="0"/>
        <w:tabs>
          <w:tab w:leader="none" w:pos="4708" w:val="left"/>
        </w:tabs>
        <w:rPr>
          <w:sz w:val="20"/>
          <w:szCs w:val="20"/>
          <w:color w:val="auto"/>
        </w:rPr>
      </w:pPr>
      <w:r>
        <w:rPr>
          <w:rFonts w:ascii="Arial" w:cs="Arial" w:eastAsia="Arial" w:hAnsi="Arial"/>
          <w:sz w:val="18"/>
          <w:szCs w:val="18"/>
          <w:color w:val="auto"/>
        </w:rPr>
        <w:t>common stock in this offering will be approximately $</w:t>
      </w:r>
      <w:r>
        <w:rPr>
          <w:sz w:val="20"/>
          <w:szCs w:val="20"/>
          <w:color w:val="auto"/>
        </w:rPr>
        <w:tab/>
      </w:r>
      <w:r>
        <w:rPr>
          <w:rFonts w:ascii="Arial" w:cs="Arial" w:eastAsia="Arial" w:hAnsi="Arial"/>
          <w:sz w:val="16"/>
          <w:szCs w:val="16"/>
          <w:color w:val="auto"/>
        </w:rPr>
        <w:t>million, or</w:t>
      </w:r>
    </w:p>
    <w:p>
      <w:pPr>
        <w:ind w:left="8" w:right="580" w:hanging="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million if the underwriters exercise their option to purchase additional shares in full, based on an assumed public offering price of</w:t>
      </w:r>
    </w:p>
    <w:p>
      <w:pPr>
        <w:ind w:left="728" w:hanging="728"/>
        <w:spacing w:after="0" w:line="235" w:lineRule="auto"/>
        <w:tabs>
          <w:tab w:leader="none" w:pos="728"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 share, which is the last reported sale price of our common</w:t>
      </w:r>
    </w:p>
    <w:p>
      <w:pPr>
        <w:ind w:left="8"/>
        <w:spacing w:after="0"/>
        <w:tabs>
          <w:tab w:leader="none" w:pos="4188" w:val="left"/>
        </w:tabs>
        <w:rPr>
          <w:sz w:val="20"/>
          <w:szCs w:val="20"/>
          <w:color w:val="auto"/>
        </w:rPr>
      </w:pPr>
      <w:r>
        <w:rPr>
          <w:rFonts w:ascii="Arial" w:cs="Arial" w:eastAsia="Arial" w:hAnsi="Arial"/>
          <w:sz w:val="18"/>
          <w:szCs w:val="18"/>
          <w:color w:val="auto"/>
        </w:rPr>
        <w:t>stock on The Nasdaq Global Select Market on</w:t>
      </w:r>
      <w:r>
        <w:rPr>
          <w:sz w:val="20"/>
          <w:szCs w:val="20"/>
          <w:color w:val="auto"/>
        </w:rPr>
        <w:tab/>
      </w:r>
      <w:r>
        <w:rPr>
          <w:rFonts w:ascii="Arial" w:cs="Arial" w:eastAsia="Arial" w:hAnsi="Arial"/>
          <w:sz w:val="16"/>
          <w:szCs w:val="16"/>
          <w:color w:val="auto"/>
        </w:rPr>
        <w:t>, 2021, and after</w:t>
      </w:r>
    </w:p>
    <w:p>
      <w:pPr>
        <w:spacing w:after="0" w:line="1" w:lineRule="exact"/>
        <w:rPr>
          <w:sz w:val="20"/>
          <w:szCs w:val="20"/>
          <w:color w:val="auto"/>
        </w:rPr>
      </w:pPr>
    </w:p>
    <w:p>
      <w:pPr>
        <w:ind w:left="8" w:right="280"/>
        <w:spacing w:after="0" w:line="267" w:lineRule="auto"/>
        <w:rPr>
          <w:sz w:val="20"/>
          <w:szCs w:val="20"/>
          <w:color w:val="auto"/>
        </w:rPr>
      </w:pPr>
      <w:r>
        <w:rPr>
          <w:rFonts w:ascii="Arial" w:cs="Arial" w:eastAsia="Arial" w:hAnsi="Arial"/>
          <w:sz w:val="16"/>
          <w:szCs w:val="16"/>
          <w:color w:val="auto"/>
        </w:rPr>
        <w:t>deducting estimated underwriting discounts and commissions and estimated offering expenses payable by us. We intend to use the net proceeds of this offering, together with our existing cash resources, to conduct the first-in-human Phase 1/2 clinical trial of CFT7455 for patients with MM or NHL; conduct the planned first-in-human Phase 1/2 clinical trial of CFT8634 for patients with synovial sarcoma or SMARCB1-deleted solid tumors; conduct and complete IND-enabling studies with respect to our BRAF V600E and RET programs and initiate planned first-in-human Phase 1/2 clinical trials for each of these programs; and fund continued development of our TORPEDO platform, and advancement and identification of additional targets and development candidates, hiring of additional personnel, capital expenditures and other general corporate purposes. See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4660" w:space="532"/>
            <w:col w:w="5948"/>
          </w:cols>
          <w:pgMar w:left="320" w:top="459" w:right="439" w:bottom="1440" w:gutter="0" w:footer="0" w:header="0"/>
          <w:type w:val="continuous"/>
        </w:sectPr>
      </w:pP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6940" w:type="dxa"/>
            <w:vAlign w:val="bottom"/>
          </w:tcPr>
          <w:p>
            <w:pPr>
              <w:ind w:left="1000"/>
              <w:spacing w:after="0"/>
              <w:rPr>
                <w:sz w:val="20"/>
                <w:szCs w:val="20"/>
                <w:color w:val="auto"/>
              </w:rPr>
            </w:pPr>
            <w:r>
              <w:rPr>
                <w:rFonts w:ascii="Arial" w:cs="Arial" w:eastAsia="Arial" w:hAnsi="Arial"/>
                <w:sz w:val="18"/>
                <w:szCs w:val="18"/>
                <w:color w:val="auto"/>
              </w:rPr>
              <w:t>Investment in our common stock involves substantial risks. You should</w:t>
            </w:r>
          </w:p>
        </w:tc>
      </w:tr>
      <w:tr>
        <w:trPr>
          <w:trHeight w:val="220"/>
        </w:trPr>
        <w:tc>
          <w:tcPr>
            <w:tcW w:w="4080" w:type="dxa"/>
            <w:vAlign w:val="bottom"/>
          </w:tcPr>
          <w:p>
            <w:pPr>
              <w:spacing w:after="0"/>
              <w:rPr>
                <w:sz w:val="19"/>
                <w:szCs w:val="19"/>
                <w:color w:val="auto"/>
              </w:rPr>
            </w:pPr>
          </w:p>
        </w:tc>
        <w:tc>
          <w:tcPr>
            <w:tcW w:w="6940" w:type="dxa"/>
            <w:vAlign w:val="bottom"/>
          </w:tcPr>
          <w:p>
            <w:pPr>
              <w:ind w:left="1000"/>
              <w:spacing w:after="0"/>
              <w:rPr>
                <w:sz w:val="20"/>
                <w:szCs w:val="20"/>
                <w:color w:val="auto"/>
              </w:rPr>
            </w:pPr>
            <w:r>
              <w:rPr>
                <w:rFonts w:ascii="Arial" w:cs="Arial" w:eastAsia="Arial" w:hAnsi="Arial"/>
                <w:sz w:val="18"/>
                <w:szCs w:val="18"/>
                <w:color w:val="auto"/>
              </w:rPr>
              <w:t>read this prospectus carefully, including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tc>
      </w:tr>
      <w:tr>
        <w:trPr>
          <w:trHeight w:val="203"/>
        </w:trPr>
        <w:tc>
          <w:tcPr>
            <w:tcW w:w="4080" w:type="dxa"/>
            <w:vAlign w:val="bottom"/>
          </w:tcPr>
          <w:p>
            <w:pPr>
              <w:spacing w:after="0"/>
              <w:rPr>
                <w:sz w:val="17"/>
                <w:szCs w:val="17"/>
                <w:color w:val="auto"/>
              </w:rPr>
            </w:pPr>
          </w:p>
        </w:tc>
        <w:tc>
          <w:tcPr>
            <w:tcW w:w="6940" w:type="dxa"/>
            <w:vAlign w:val="bottom"/>
          </w:tcPr>
          <w:p>
            <w:pPr>
              <w:ind w:left="1000"/>
              <w:spacing w:after="0" w:line="202" w:lineRule="exact"/>
              <w:rPr>
                <w:sz w:val="20"/>
                <w:szCs w:val="20"/>
                <w:color w:val="auto"/>
              </w:rPr>
            </w:pPr>
            <w:r>
              <w:rPr>
                <w:rFonts w:ascii="Arial" w:cs="Arial" w:eastAsia="Arial" w:hAnsi="Arial"/>
                <w:sz w:val="18"/>
                <w:szCs w:val="18"/>
                <w:color w:val="auto"/>
              </w:rPr>
              <w:t>in this prospectus and the financial statements and the related notes to</w:t>
            </w:r>
          </w:p>
        </w:tc>
      </w:tr>
      <w:tr>
        <w:trPr>
          <w:trHeight w:val="203"/>
        </w:trPr>
        <w:tc>
          <w:tcPr>
            <w:tcW w:w="4080" w:type="dxa"/>
            <w:vAlign w:val="bottom"/>
          </w:tcPr>
          <w:p>
            <w:pPr>
              <w:spacing w:after="0"/>
              <w:rPr>
                <w:sz w:val="17"/>
                <w:szCs w:val="17"/>
                <w:color w:val="auto"/>
              </w:rPr>
            </w:pPr>
          </w:p>
        </w:tc>
        <w:tc>
          <w:tcPr>
            <w:tcW w:w="6940" w:type="dxa"/>
            <w:vAlign w:val="bottom"/>
          </w:tcPr>
          <w:p>
            <w:pPr>
              <w:ind w:left="1000"/>
              <w:spacing w:after="0" w:line="202" w:lineRule="exact"/>
              <w:rPr>
                <w:sz w:val="20"/>
                <w:szCs w:val="20"/>
                <w:color w:val="auto"/>
              </w:rPr>
            </w:pPr>
            <w:r>
              <w:rPr>
                <w:rFonts w:ascii="Arial" w:cs="Arial" w:eastAsia="Arial" w:hAnsi="Arial"/>
                <w:sz w:val="18"/>
                <w:szCs w:val="18"/>
                <w:color w:val="auto"/>
              </w:rPr>
              <w:t>those statements incorporated by reference into this prospectus, before</w:t>
            </w:r>
          </w:p>
        </w:tc>
      </w:tr>
      <w:tr>
        <w:trPr>
          <w:trHeight w:val="211"/>
        </w:trPr>
        <w:tc>
          <w:tcPr>
            <w:tcW w:w="4080" w:type="dxa"/>
            <w:vAlign w:val="bottom"/>
          </w:tcPr>
          <w:p>
            <w:pPr>
              <w:spacing w:after="0"/>
              <w:rPr>
                <w:sz w:val="18"/>
                <w:szCs w:val="18"/>
                <w:color w:val="auto"/>
              </w:rPr>
            </w:pPr>
          </w:p>
        </w:tc>
        <w:tc>
          <w:tcPr>
            <w:tcW w:w="6940" w:type="dxa"/>
            <w:vAlign w:val="bottom"/>
          </w:tcPr>
          <w:p>
            <w:pPr>
              <w:ind w:left="1000"/>
              <w:spacing w:after="0"/>
              <w:rPr>
                <w:sz w:val="20"/>
                <w:szCs w:val="20"/>
                <w:color w:val="auto"/>
              </w:rPr>
            </w:pPr>
            <w:r>
              <w:rPr>
                <w:rFonts w:ascii="Arial" w:cs="Arial" w:eastAsia="Arial" w:hAnsi="Arial"/>
                <w:sz w:val="18"/>
                <w:szCs w:val="18"/>
                <w:color w:val="auto"/>
              </w:rPr>
              <w:t>investing in our common stock.</w:t>
            </w:r>
          </w:p>
        </w:tc>
      </w:tr>
      <w:tr>
        <w:trPr>
          <w:trHeight w:val="323"/>
        </w:trPr>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Nasdaq Global Select Market symbol</w:t>
            </w:r>
          </w:p>
        </w:tc>
        <w:tc>
          <w:tcPr>
            <w:tcW w:w="69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“CCCC”</w:t>
            </w:r>
          </w:p>
        </w:tc>
      </w:tr>
      <w:tr>
        <w:trPr>
          <w:trHeight w:val="359"/>
        </w:trPr>
        <w:tc>
          <w:tcPr>
            <w:tcW w:w="4080" w:type="dxa"/>
            <w:vAlign w:val="bottom"/>
          </w:tcPr>
          <w:p>
            <w:pPr>
              <w:spacing w:after="0"/>
              <w:rPr>
                <w:sz w:val="24"/>
                <w:szCs w:val="24"/>
                <w:color w:val="auto"/>
              </w:rPr>
            </w:pPr>
          </w:p>
        </w:tc>
        <w:tc>
          <w:tcPr>
            <w:tcW w:w="6940" w:type="dxa"/>
            <w:vAlign w:val="bottom"/>
          </w:tcPr>
          <w:p>
            <w:pPr>
              <w:ind w:left="138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2207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220726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00" w:right="720"/>
        <w:spacing w:after="0" w:line="239" w:lineRule="auto"/>
        <w:rPr>
          <w:sz w:val="20"/>
          <w:szCs w:val="20"/>
          <w:color w:val="auto"/>
        </w:rPr>
      </w:pPr>
      <w:r>
        <w:rPr>
          <w:rFonts w:ascii="Arial" w:cs="Arial" w:eastAsia="Arial" w:hAnsi="Arial"/>
          <w:sz w:val="18"/>
          <w:szCs w:val="18"/>
          <w:color w:val="auto"/>
        </w:rPr>
        <w:t>The number of shares of our common stock outstanding after this offering is based on 43,108,960 shares of our common stock outstanding as of March 31, 2021, and excludes as of such date:</w:t>
      </w:r>
    </w:p>
    <w:p>
      <w:pPr>
        <w:spacing w:after="0" w:line="114" w:lineRule="exact"/>
        <w:rPr>
          <w:sz w:val="20"/>
          <w:szCs w:val="20"/>
          <w:color w:val="auto"/>
        </w:rPr>
      </w:pPr>
    </w:p>
    <w:p>
      <w:pPr>
        <w:ind w:left="480" w:hanging="182"/>
        <w:spacing w:after="0" w:line="238"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5,952,914 shares of common stock issuable upon exercise of stock options outstanding under our 2015 Stock Option and Grant Plan, or the 2015 Plan, and under our 2020 Stock Option and Incentive Plan, or the 2020 Plan, at a weighted-average exercise price of $18.10 per share;</w:t>
      </w:r>
    </w:p>
    <w:p>
      <w:pPr>
        <w:spacing w:after="0" w:line="113" w:lineRule="exact"/>
        <w:rPr>
          <w:rFonts w:ascii="Arial" w:cs="Arial" w:eastAsia="Arial" w:hAnsi="Arial"/>
          <w:sz w:val="18"/>
          <w:szCs w:val="18"/>
          <w:color w:val="auto"/>
        </w:rPr>
      </w:pPr>
    </w:p>
    <w:p>
      <w:pPr>
        <w:ind w:left="480" w:right="60" w:hanging="182"/>
        <w:spacing w:after="0" w:line="239"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338,784 shares of our common stock issuable upon the exercise of warrants to purchase shares of our common stock at an exercise price of $8.86 per share;</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4,602,393 shares of common stock reserved for future issuance under our 2020 Plan;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868,405 shares of common stock reserved for future issuance under our 2020 Employee Stock Purchase Plan.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noted, all information in this prospectus:</w:t>
      </w:r>
    </w:p>
    <w:p>
      <w:pPr>
        <w:spacing w:after="0" w:line="117" w:lineRule="exact"/>
        <w:rPr>
          <w:sz w:val="20"/>
          <w:szCs w:val="20"/>
          <w:color w:val="auto"/>
        </w:rPr>
      </w:pPr>
    </w:p>
    <w:p>
      <w:pPr>
        <w:ind w:left="300"/>
        <w:spacing w:after="0"/>
        <w:tabs>
          <w:tab w:leader="none" w:pos="6080" w:val="left"/>
        </w:tabs>
        <w:rPr>
          <w:sz w:val="20"/>
          <w:szCs w:val="20"/>
          <w:color w:val="auto"/>
        </w:rPr>
      </w:pPr>
      <w:r>
        <w:rPr>
          <w:rFonts w:ascii="Arial" w:cs="Arial" w:eastAsia="Arial" w:hAnsi="Arial"/>
          <w:sz w:val="18"/>
          <w:szCs w:val="18"/>
          <w:color w:val="auto"/>
        </w:rPr>
        <w:t>•  assumes no exercise of the underwriters’ option to purchase up to</w:t>
      </w:r>
      <w:r>
        <w:rPr>
          <w:sz w:val="20"/>
          <w:szCs w:val="20"/>
          <w:color w:val="auto"/>
        </w:rPr>
        <w:tab/>
      </w:r>
      <w:r>
        <w:rPr>
          <w:rFonts w:ascii="Arial" w:cs="Arial" w:eastAsia="Arial" w:hAnsi="Arial"/>
          <w:sz w:val="16"/>
          <w:szCs w:val="16"/>
          <w:color w:val="auto"/>
        </w:rPr>
        <w:t>additional shares of our common stock in this offering; and</w:t>
      </w:r>
    </w:p>
    <w:p>
      <w:pPr>
        <w:spacing w:after="0" w:line="117" w:lineRule="exact"/>
        <w:rPr>
          <w:sz w:val="20"/>
          <w:szCs w:val="20"/>
          <w:color w:val="auto"/>
        </w:rPr>
      </w:pPr>
    </w:p>
    <w:p>
      <w:pPr>
        <w:jc w:val="right"/>
        <w:ind w:left="5580" w:right="5160" w:hanging="5282"/>
        <w:spacing w:after="0" w:line="375" w:lineRule="auto"/>
        <w:tabs>
          <w:tab w:leader="none" w:pos="49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no exercise of the options and warrants described above. 9</w:t>
      </w:r>
    </w:p>
    <w:p>
      <w:pPr>
        <w:sectPr>
          <w:pgSz w:w="11900" w:h="16838" w:orient="portrait"/>
          <w:cols w:equalWidth="0" w:num="1">
            <w:col w:w="10840"/>
          </w:cols>
          <w:pgMar w:left="320" w:top="459" w:right="7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649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39" w:lineRule="exact"/>
        <w:rPr>
          <w:sz w:val="20"/>
          <w:szCs w:val="20"/>
          <w:color w:val="auto"/>
        </w:rPr>
      </w:pPr>
    </w:p>
    <w:p>
      <w:pPr>
        <w:ind w:left="300" w:right="200"/>
        <w:spacing w:after="0" w:line="237" w:lineRule="auto"/>
        <w:rPr>
          <w:sz w:val="20"/>
          <w:szCs w:val="20"/>
          <w:color w:val="auto"/>
        </w:rPr>
      </w:pPr>
      <w:r>
        <w:rPr>
          <w:rFonts w:ascii="Arial" w:cs="Arial" w:eastAsia="Arial" w:hAnsi="Arial"/>
          <w:sz w:val="18"/>
          <w:szCs w:val="18"/>
          <w:i w:val="1"/>
          <w:iCs w:val="1"/>
          <w:color w:val="auto"/>
        </w:rPr>
        <w:t>You should read the following summary consolidated financial data together with our audited consolidated and unaudited condensed consolidated financial statements and the related notes and the “Management’s Discussion and Analysis of Financial Condition and Results of Operations” sections incorporated by reference into this prospectus. We have derived the consolidated statement of operations data for the years ended December 31, 2019 and 2020 from our audited consolidated financial statements included in our Annual Report on Form 10-K for the year ended December 31, 2020, which is incorporated by reference in this prospectus. The summary unaudited condensed consolidated statement of operations data for the three months ended March 31, 2020 and 2021 and the summary unaudited condensed consolidated balance sheet data as of March 31, 2021 have been derived from our unaudited condensed consolidated financial statements included in our Quarterly Report on Form 10-Q for the quarter ended March 31, 2021, which is incorporated by reference in this prospectus, which have been prepared on the same basis as the audited financial statements. Our historical results are not necessarily indicative of the results that may be expected in the future, and our results for any interim period are not necessarily indicative of results that may be expected for any full year.</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Year ended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6"/>
          </w:tcPr>
          <w:p>
            <w:pPr>
              <w:jc w:val="right"/>
              <w:ind w:right="840"/>
              <w:spacing w:after="0" w:line="177" w:lineRule="exact"/>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15"/>
          </w:tcPr>
          <w:p>
            <w:pPr>
              <w:ind w:left="600"/>
              <w:spacing w:after="0"/>
              <w:rPr>
                <w:sz w:val="20"/>
                <w:szCs w:val="20"/>
                <w:color w:val="auto"/>
              </w:rPr>
            </w:pPr>
            <w:r>
              <w:rPr>
                <w:rFonts w:ascii="Arial" w:cs="Arial" w:eastAsia="Arial" w:hAnsi="Arial"/>
                <w:sz w:val="18"/>
                <w:szCs w:val="18"/>
                <w:b w:val="1"/>
                <w:bCs w:val="1"/>
                <w:color w:val="auto"/>
              </w:rPr>
              <w:t>(in thousands, except share and per share data)</w:t>
            </w:r>
          </w:p>
        </w:tc>
        <w:tc>
          <w:tcPr>
            <w:tcW w:w="0" w:type="dxa"/>
            <w:vAlign w:val="bottom"/>
          </w:tcPr>
          <w:p>
            <w:pPr>
              <w:spacing w:after="0"/>
              <w:rPr>
                <w:sz w:val="1"/>
                <w:szCs w:val="1"/>
                <w:color w:val="auto"/>
              </w:rPr>
            </w:pPr>
          </w:p>
        </w:tc>
      </w:tr>
      <w:tr>
        <w:trPr>
          <w:trHeight w:val="56"/>
        </w:trPr>
        <w:tc>
          <w:tcPr>
            <w:tcW w:w="180" w:type="dxa"/>
            <w:vAlign w:val="bottom"/>
            <w:vMerge w:val="restart"/>
          </w:tcPr>
          <w:p>
            <w:pPr>
              <w:spacing w:after="0"/>
              <w:rPr>
                <w:sz w:val="4"/>
                <w:szCs w:val="4"/>
                <w:color w:val="auto"/>
              </w:rPr>
            </w:pPr>
          </w:p>
        </w:tc>
        <w:tc>
          <w:tcPr>
            <w:tcW w:w="4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operations data:</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Revenue from collaboration agreements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21,381</w:t>
            </w:r>
          </w:p>
        </w:tc>
        <w:tc>
          <w:tcPr>
            <w:tcW w:w="24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33,195</w:t>
            </w:r>
          </w:p>
        </w:tc>
        <w:tc>
          <w:tcPr>
            <w:tcW w:w="3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6,816</w:t>
            </w:r>
          </w:p>
        </w:tc>
        <w:tc>
          <w:tcPr>
            <w:tcW w:w="3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48,059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78,440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16,312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20,526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8,774</w:t>
            </w: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15,204</w:t>
            </w:r>
          </w:p>
        </w:tc>
        <w:tc>
          <w:tcPr>
            <w:tcW w:w="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2,842</w:t>
            </w:r>
          </w:p>
        </w:tc>
        <w:tc>
          <w:tcPr>
            <w:tcW w:w="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7,409</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56,833</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93,644</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19,154</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(35,452)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(60,449)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(12,338)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(20,509)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warrant liability—related party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(5,676)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880" w:type="dxa"/>
            <w:vAlign w:val="bottom"/>
          </w:tcPr>
          <w:p>
            <w:pPr>
              <w:ind w:left="220"/>
              <w:spacing w:after="0" w:line="206" w:lineRule="exact"/>
              <w:rPr>
                <w:sz w:val="20"/>
                <w:szCs w:val="20"/>
                <w:color w:val="auto"/>
              </w:rPr>
            </w:pPr>
            <w:r>
              <w:rPr>
                <w:rFonts w:ascii="Arial" w:cs="Arial" w:eastAsia="Arial" w:hAnsi="Arial"/>
                <w:sz w:val="18"/>
                <w:szCs w:val="18"/>
                <w:color w:val="auto"/>
              </w:rPr>
              <w:t>Interest expense and amortization of long-term debt—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4880" w:type="dxa"/>
            <w:vAlign w:val="bottom"/>
          </w:tcPr>
          <w:p>
            <w:pPr>
              <w:ind w:left="440"/>
              <w:spacing w:after="0" w:line="200" w:lineRule="exact"/>
              <w:rPr>
                <w:sz w:val="20"/>
                <w:szCs w:val="20"/>
                <w:color w:val="auto"/>
              </w:rPr>
            </w:pPr>
            <w:r>
              <w:rPr>
                <w:rFonts w:ascii="Arial" w:cs="Arial" w:eastAsia="Arial" w:hAnsi="Arial"/>
                <w:sz w:val="18"/>
                <w:szCs w:val="18"/>
                <w:color w:val="auto"/>
              </w:rPr>
              <w:t>related party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(1,229)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(534)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and other income, net</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2,157</w:t>
            </w: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3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(33,295)</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(66,961)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(12,079)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(20,971)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(804)</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626</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(34,099)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(66,335)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(11,912)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(20,971)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Unrealized gain (loss) on investments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loss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(34,099)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(66,322)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(11,912)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(21,078)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80"/>
              <w:spacing w:after="0"/>
              <w:rPr>
                <w:sz w:val="20"/>
                <w:szCs w:val="20"/>
                <w:color w:val="auto"/>
              </w:rPr>
            </w:pPr>
            <w:r>
              <w:rPr>
                <w:rFonts w:ascii="Arial" w:cs="Arial" w:eastAsia="Arial" w:hAnsi="Arial"/>
                <w:sz w:val="18"/>
                <w:szCs w:val="18"/>
                <w:color w:val="auto"/>
              </w:rPr>
              <w:t>Reconciliation of net loss to net loss attributable to common</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06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4880" w:type="dxa"/>
            <w:vAlign w:val="bottom"/>
          </w:tcPr>
          <w:p>
            <w:pPr>
              <w:ind w:left="220"/>
              <w:spacing w:after="0" w:line="200" w:lineRule="exact"/>
              <w:rPr>
                <w:sz w:val="20"/>
                <w:szCs w:val="20"/>
                <w:color w:val="auto"/>
              </w:rPr>
            </w:pPr>
            <w:r>
              <w:rPr>
                <w:rFonts w:ascii="Arial" w:cs="Arial" w:eastAsia="Arial" w:hAnsi="Arial"/>
                <w:sz w:val="18"/>
                <w:szCs w:val="18"/>
                <w:color w:val="auto"/>
              </w:rPr>
              <w:t>stockholders: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(34,099)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(66,335)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(11,912)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(20,971)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Accrual of preferred stock dividends</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(8,468)</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(2,111)</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(42,567)</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(66,335)</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(14,023)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(20,971)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80"/>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4880" w:type="dxa"/>
            <w:vAlign w:val="bottom"/>
          </w:tcPr>
          <w:p>
            <w:pPr>
              <w:ind w:left="220"/>
              <w:spacing w:after="0" w:line="200" w:lineRule="exact"/>
              <w:rPr>
                <w:sz w:val="20"/>
                <w:szCs w:val="20"/>
                <w:color w:val="auto"/>
              </w:rPr>
            </w:pPr>
            <w:r>
              <w:rPr>
                <w:rFonts w:ascii="Arial" w:cs="Arial" w:eastAsia="Arial" w:hAnsi="Arial"/>
                <w:sz w:val="18"/>
                <w:szCs w:val="18"/>
                <w:color w:val="auto"/>
              </w:rPr>
              <w:t>basic and diluted(1)</w:t>
            </w:r>
          </w:p>
        </w:tc>
        <w:tc>
          <w:tcPr>
            <w:tcW w:w="3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(31.03)</w:t>
            </w:r>
          </w:p>
        </w:tc>
        <w:tc>
          <w:tcPr>
            <w:tcW w:w="4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(5.83)</w:t>
            </w:r>
          </w:p>
        </w:tc>
        <w:tc>
          <w:tcPr>
            <w:tcW w:w="3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(9.59)</w:t>
            </w:r>
          </w:p>
        </w:tc>
        <w:tc>
          <w:tcPr>
            <w:tcW w:w="3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(0.49)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80" w:type="dxa"/>
            <w:vAlign w:val="bottom"/>
          </w:tcPr>
          <w:p>
            <w:pPr>
              <w:spacing w:after="0"/>
              <w:rPr>
                <w:sz w:val="17"/>
                <w:szCs w:val="17"/>
                <w:color w:val="auto"/>
              </w:rPr>
            </w:pPr>
          </w:p>
        </w:tc>
        <w:tc>
          <w:tcPr>
            <w:tcW w:w="4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Weighted-average common shares outstanding—basic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48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diluted(1)</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4"/>
              </w:rPr>
              <w:t>1,371,905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5"/>
              </w:rPr>
              <w:t>11,370,328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1,462,759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43,084,978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40" w:type="dxa"/>
            <w:vAlign w:val="bottom"/>
            <w:gridSpan w:val="3"/>
          </w:tcPr>
          <w:p>
            <w:pPr>
              <w:jc w:val="right"/>
              <w:ind w:right="51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181610</wp:posOffset>
            </wp:positionV>
            <wp:extent cx="6998970" cy="3638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36385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0" w:right="20" w:hanging="302"/>
        <w:spacing w:after="0" w:line="245"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Note 13 to our audited consolidated financial statements incorporated by reference in this prospectus for details on the calculation of basic and diluted net loss per share attributable to common stockholders for the years ended December 31, 2019 and 2020 and Note 12 to our unaudited condensed consolidated financial statements incorporated by reference in this prospectus for details on the calculation of basic and diluted net loss per share attributable to common stockholders for the three-month periods ended March 31, 2020 and 2021.</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40" w:type="dxa"/>
            <w:vAlign w:val="bottom"/>
            <w:gridSpan w:val="3"/>
          </w:tcPr>
          <w:p>
            <w:pPr>
              <w:ind w:left="360"/>
              <w:spacing w:after="0"/>
              <w:rPr>
                <w:sz w:val="20"/>
                <w:szCs w:val="20"/>
                <w:color w:val="auto"/>
              </w:rPr>
            </w:pPr>
            <w:r>
              <w:rPr>
                <w:rFonts w:ascii="Arial" w:cs="Arial" w:eastAsia="Arial" w:hAnsi="Arial"/>
                <w:sz w:val="18"/>
                <w:szCs w:val="18"/>
                <w:b w:val="1"/>
                <w:bCs w:val="1"/>
                <w:color w:val="auto"/>
                <w:w w:val="98"/>
              </w:rPr>
              <w:t>As of March 31, 2021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ind w:left="860"/>
              <w:spacing w:after="0" w:line="177" w:lineRule="exact"/>
              <w:rPr>
                <w:sz w:val="20"/>
                <w:szCs w:val="20"/>
                <w:color w:val="auto"/>
              </w:rPr>
            </w:pPr>
            <w:r>
              <w:rPr>
                <w:rFonts w:ascii="Arial" w:cs="Arial" w:eastAsia="Arial" w:hAnsi="Arial"/>
                <w:sz w:val="18"/>
                <w:szCs w:val="18"/>
                <w:b w:val="1"/>
                <w:bCs w:val="1"/>
                <w:color w:val="auto"/>
                <w:w w:val="86"/>
              </w:rPr>
              <w:t>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b w:val="1"/>
                <w:bCs w:val="1"/>
                <w:color w:val="auto"/>
              </w:rPr>
              <w:t>Actual</w:t>
            </w: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Adjusted(1)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7"/>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2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2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tcPr>
          <w:p>
            <w:pPr>
              <w:spacing w:after="0" w:line="202" w:lineRule="exact"/>
              <w:rPr>
                <w:sz w:val="20"/>
                <w:szCs w:val="20"/>
                <w:color w:val="auto"/>
              </w:rPr>
            </w:pPr>
            <w:r>
              <w:rPr>
                <w:rFonts w:ascii="Arial" w:cs="Arial" w:eastAsia="Arial" w:hAnsi="Arial"/>
                <w:sz w:val="18"/>
                <w:szCs w:val="18"/>
                <w:color w:val="auto"/>
              </w:rPr>
              <w:t>Cash and cash equivalents and marketable securities</w:t>
            </w:r>
          </w:p>
        </w:tc>
        <w:tc>
          <w:tcPr>
            <w:tcW w:w="2660" w:type="dxa"/>
            <w:vAlign w:val="bottom"/>
          </w:tcPr>
          <w:p>
            <w:pPr>
              <w:spacing w:after="0"/>
              <w:rPr>
                <w:sz w:val="17"/>
                <w:szCs w:val="17"/>
                <w:color w:val="auto"/>
              </w:rPr>
            </w:pPr>
          </w:p>
        </w:tc>
        <w:tc>
          <w:tcPr>
            <w:tcW w:w="150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$ 345,974</w:t>
            </w:r>
          </w:p>
        </w:tc>
        <w:tc>
          <w:tcPr>
            <w:tcW w:w="108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Working capital(2)</w:t>
            </w:r>
          </w:p>
        </w:tc>
        <w:tc>
          <w:tcPr>
            <w:tcW w:w="26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284,358</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tcPr>
          <w:p>
            <w:pPr>
              <w:spacing w:after="0" w:line="202" w:lineRule="exact"/>
              <w:rPr>
                <w:sz w:val="20"/>
                <w:szCs w:val="20"/>
                <w:color w:val="auto"/>
              </w:rPr>
            </w:pPr>
            <w:r>
              <w:rPr>
                <w:rFonts w:ascii="Arial" w:cs="Arial" w:eastAsia="Arial" w:hAnsi="Arial"/>
                <w:sz w:val="18"/>
                <w:szCs w:val="18"/>
                <w:color w:val="auto"/>
              </w:rPr>
              <w:t>Total assets</w:t>
            </w:r>
          </w:p>
        </w:tc>
        <w:tc>
          <w:tcPr>
            <w:tcW w:w="2660" w:type="dxa"/>
            <w:vAlign w:val="bottom"/>
          </w:tcPr>
          <w:p>
            <w:pPr>
              <w:spacing w:after="0"/>
              <w:rPr>
                <w:sz w:val="17"/>
                <w:szCs w:val="17"/>
                <w:color w:val="auto"/>
              </w:rPr>
            </w:pPr>
          </w:p>
        </w:tc>
        <w:tc>
          <w:tcPr>
            <w:tcW w:w="150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374,007</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revenue, current and net of current</w:t>
            </w:r>
          </w:p>
        </w:tc>
        <w:tc>
          <w:tcPr>
            <w:tcW w:w="26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77,451</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debt—related party</w:t>
            </w:r>
          </w:p>
        </w:tc>
        <w:tc>
          <w:tcPr>
            <w:tcW w:w="2660" w:type="dxa"/>
            <w:vAlign w:val="bottom"/>
          </w:tcPr>
          <w:p>
            <w:pPr>
              <w:spacing w:after="0"/>
              <w:rPr>
                <w:sz w:val="17"/>
                <w:szCs w:val="17"/>
                <w:color w:val="auto"/>
              </w:rPr>
            </w:pPr>
          </w:p>
        </w:tc>
        <w:tc>
          <w:tcPr>
            <w:tcW w:w="150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10,231</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6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(204,794)</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Total stockholders’ equity</w:t>
            </w:r>
          </w:p>
        </w:tc>
        <w:tc>
          <w:tcPr>
            <w:tcW w:w="2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rPr>
              <w:t>263,705</w:t>
            </w: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gridSpan w:val="3"/>
          </w:tcPr>
          <w:p>
            <w:pPr>
              <w:spacing w:after="0"/>
              <w:rPr>
                <w:sz w:val="20"/>
                <w:szCs w:val="20"/>
                <w:color w:val="auto"/>
              </w:rPr>
            </w:pPr>
            <w:r>
              <w:rPr>
                <w:rFonts w:ascii="Arial" w:cs="Arial" w:eastAsia="Arial" w:hAnsi="Arial"/>
                <w:sz w:val="13"/>
                <w:szCs w:val="13"/>
                <w:color w:val="auto"/>
              </w:rPr>
              <w:t>(1)  The as adjusted balance sheet data give further effect to our issuance and sale of</w:t>
            </w:r>
          </w:p>
        </w:tc>
        <w:tc>
          <w:tcPr>
            <w:tcW w:w="5300" w:type="dxa"/>
            <w:vAlign w:val="bottom"/>
            <w:gridSpan w:val="5"/>
          </w:tcPr>
          <w:p>
            <w:pPr>
              <w:ind w:left="160"/>
              <w:spacing w:after="0"/>
              <w:rPr>
                <w:sz w:val="20"/>
                <w:szCs w:val="20"/>
                <w:color w:val="auto"/>
              </w:rPr>
            </w:pPr>
            <w:r>
              <w:rPr>
                <w:rFonts w:ascii="Arial" w:cs="Arial" w:eastAsia="Arial" w:hAnsi="Arial"/>
                <w:sz w:val="13"/>
                <w:szCs w:val="13"/>
                <w:color w:val="auto"/>
              </w:rPr>
              <w:t>shares of our common stock in this offering at an assumed public offering price of</w:t>
            </w:r>
          </w:p>
        </w:tc>
        <w:tc>
          <w:tcPr>
            <w:tcW w:w="0" w:type="dxa"/>
            <w:vAlign w:val="bottom"/>
          </w:tcPr>
          <w:p>
            <w:pPr>
              <w:spacing w:after="0"/>
              <w:rPr>
                <w:sz w:val="1"/>
                <w:szCs w:val="1"/>
                <w:color w:val="auto"/>
              </w:rPr>
            </w:pPr>
          </w:p>
        </w:tc>
      </w:tr>
      <w:tr>
        <w:trPr>
          <w:trHeight w:val="149"/>
        </w:trPr>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7380" w:type="dxa"/>
            <w:vAlign w:val="bottom"/>
            <w:gridSpan w:val="2"/>
          </w:tcPr>
          <w:p>
            <w:pPr>
              <w:ind w:left="240"/>
              <w:spacing w:after="0"/>
              <w:rPr>
                <w:sz w:val="20"/>
                <w:szCs w:val="20"/>
                <w:color w:val="auto"/>
              </w:rPr>
            </w:pPr>
            <w:r>
              <w:rPr>
                <w:rFonts w:ascii="Arial" w:cs="Arial" w:eastAsia="Arial" w:hAnsi="Arial"/>
                <w:sz w:val="13"/>
                <w:szCs w:val="13"/>
                <w:color w:val="auto"/>
              </w:rPr>
              <w:t>per share, which is the last reported sale price of our common stock traded on The Nasdaq Global Select Market on</w:t>
            </w:r>
          </w:p>
        </w:tc>
        <w:tc>
          <w:tcPr>
            <w:tcW w:w="2640" w:type="dxa"/>
            <w:vAlign w:val="bottom"/>
            <w:gridSpan w:val="4"/>
          </w:tcPr>
          <w:p>
            <w:pPr>
              <w:ind w:left="240"/>
              <w:spacing w:after="0"/>
              <w:rPr>
                <w:sz w:val="20"/>
                <w:szCs w:val="20"/>
                <w:color w:val="auto"/>
              </w:rPr>
            </w:pPr>
            <w:r>
              <w:rPr>
                <w:rFonts w:ascii="Arial" w:cs="Arial" w:eastAsia="Arial" w:hAnsi="Arial"/>
                <w:sz w:val="13"/>
                <w:szCs w:val="13"/>
                <w:color w:val="auto"/>
              </w:rPr>
              <w:t>, 2021, after deducting estimated</w:t>
            </w:r>
          </w:p>
        </w:tc>
        <w:tc>
          <w:tcPr>
            <w:tcW w:w="0" w:type="dxa"/>
            <w:vAlign w:val="bottom"/>
          </w:tcPr>
          <w:p>
            <w:pPr>
              <w:spacing w:after="0"/>
              <w:rPr>
                <w:sz w:val="1"/>
                <w:szCs w:val="1"/>
                <w:color w:val="auto"/>
              </w:rPr>
            </w:pPr>
          </w:p>
        </w:tc>
      </w:tr>
    </w:tbl>
    <w:p>
      <w:pPr>
        <w:ind w:left="600"/>
        <w:spacing w:after="0"/>
        <w:rPr>
          <w:sz w:val="20"/>
          <w:szCs w:val="20"/>
          <w:color w:val="auto"/>
        </w:rPr>
      </w:pPr>
      <w:r>
        <w:rPr>
          <w:rFonts w:ascii="Arial" w:cs="Arial" w:eastAsia="Arial" w:hAnsi="Arial"/>
          <w:sz w:val="13"/>
          <w:szCs w:val="13"/>
          <w:color w:val="auto"/>
        </w:rPr>
        <w:t>underwriting discounts and commissions and estimated offering expenses payable by us. The as adjusted information discussed above is illustrative only and will depend on</w:t>
      </w:r>
    </w:p>
    <w:p>
      <w:pPr>
        <w:spacing w:after="0" w:line="298" w:lineRule="exact"/>
        <w:rPr>
          <w:sz w:val="20"/>
          <w:szCs w:val="20"/>
          <w:color w:val="auto"/>
        </w:rPr>
      </w:pPr>
    </w:p>
    <w:p>
      <w:pPr>
        <w:ind w:left="600" w:right="100"/>
        <w:spacing w:after="0" w:line="238" w:lineRule="auto"/>
        <w:rPr>
          <w:sz w:val="20"/>
          <w:szCs w:val="20"/>
          <w:color w:val="auto"/>
        </w:rPr>
      </w:pPr>
      <w:r>
        <w:rPr>
          <w:rFonts w:ascii="Arial" w:cs="Arial" w:eastAsia="Arial" w:hAnsi="Arial"/>
          <w:sz w:val="13"/>
          <w:szCs w:val="13"/>
          <w:color w:val="auto"/>
        </w:rPr>
        <w:t>the actual public offering price and other terms of this offering determined at pricing. A $1.00 increase (decrease) in the assumed public offering price of $ per share, which is the last reported sale price of our common stock traded on The Nasdaq Global Select Market on , 2021, would increase (decrease) the as adjusted amount of each of cash and cash equivalents and marketable securities, working capital, total assets and total stockholders’ equity by $ million, assuming that the number of</w:t>
      </w:r>
    </w:p>
    <w:p>
      <w:pPr>
        <w:spacing w:after="0" w:line="1" w:lineRule="exact"/>
        <w:rPr>
          <w:sz w:val="20"/>
          <w:szCs w:val="20"/>
          <w:color w:val="auto"/>
        </w:rPr>
      </w:pPr>
    </w:p>
    <w:p>
      <w:pPr>
        <w:ind w:left="600" w:right="460"/>
        <w:spacing w:after="0" w:line="238" w:lineRule="auto"/>
        <w:rPr>
          <w:sz w:val="20"/>
          <w:szCs w:val="20"/>
          <w:color w:val="auto"/>
        </w:rPr>
      </w:pPr>
      <w:r>
        <w:rPr>
          <w:rFonts w:ascii="Arial" w:cs="Arial" w:eastAsia="Arial" w:hAnsi="Arial"/>
          <w:sz w:val="13"/>
          <w:szCs w:val="13"/>
          <w:color w:val="auto"/>
        </w:rPr>
        <w:t>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as adjusted amount of each of cash and cash equivalents and marketable securities, working capital, total assets and total</w:t>
      </w:r>
    </w:p>
    <w:p>
      <w:pPr>
        <w:spacing w:after="0" w:line="1" w:lineRule="exact"/>
        <w:rPr>
          <w:sz w:val="20"/>
          <w:szCs w:val="20"/>
          <w:color w:val="auto"/>
        </w:rPr>
      </w:pPr>
    </w:p>
    <w:p>
      <w:pPr>
        <w:ind w:left="600" w:right="440"/>
        <w:spacing w:after="0" w:line="258" w:lineRule="auto"/>
        <w:rPr>
          <w:sz w:val="20"/>
          <w:szCs w:val="20"/>
          <w:color w:val="auto"/>
        </w:rPr>
      </w:pPr>
      <w:r>
        <w:rPr>
          <w:rFonts w:ascii="Arial" w:cs="Arial" w:eastAsia="Arial" w:hAnsi="Arial"/>
          <w:sz w:val="13"/>
          <w:szCs w:val="13"/>
          <w:color w:val="auto"/>
        </w:rPr>
        <w:t>stockholders’ equity by $ million, assuming no change in the assumed public offering price per share and after deducting estimated underwriting discounts and commissions and estimated offering expenses payable by us.</w:t>
      </w:r>
    </w:p>
    <w:p>
      <w:pPr>
        <w:spacing w:after="0" w:line="43"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3"/>
          <w:szCs w:val="13"/>
          <w:color w:val="auto"/>
        </w:rPr>
        <w:t>(2)</w:t>
        <w:tab/>
        <w:t>We define working capital as current assets, less current liabilities.</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incorporated by reference in this prospectus, before you make an investment decision. The occurrence of any of the events or developments described below could harm our business, financial condition, results of operations and growth prospects. As a result, the market price of our common stock could decline, and you may lose all or part of your investment in our common stock.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14"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We are an early-stage biopharmaceutical company with a limited operating history and have incurred significant losses since our inception. We expect to incur losses over at least the next several years and may never achieve or maintain profitability.</w:t>
      </w:r>
    </w:p>
    <w:p>
      <w:pPr>
        <w:spacing w:after="0" w:line="81"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We are an early-stage biopharmaceutical company with limited operating history. Our net loss was $21.0 million and $11.9 million for the three months ended March 31, 2021 and 2020, respectively. As of March 31, 2021, we had an accumulated deficit of $204.8 million. To date, we have not generated any revenue from product sales and have financed our operations primarily through sales of our equity interests, including our initial public offering, proceeds from our collaborations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284"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We anticipate that our expenses will increase substantially if and as we:</w:t>
      </w:r>
    </w:p>
    <w:p>
      <w:pPr>
        <w:spacing w:after="0" w:line="114" w:lineRule="exact"/>
        <w:rPr>
          <w:sz w:val="20"/>
          <w:szCs w:val="20"/>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conduct, and successfully complete first-in-human and later-stage clinical trials of our product candidates;</w:t>
      </w:r>
    </w:p>
    <w:p>
      <w:pPr>
        <w:spacing w:after="0" w:line="117"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our TORPEDO platform to identify and then advance additional product candidates into preclinical and clinical development, including, without limitation, product candidates arising out of our BRAF, RET and EGFR programs;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capabilities of our TORPEDO platform;</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ongoing research and development and potential future commercialization efforts.</w:t>
      </w:r>
    </w:p>
    <w:p>
      <w:pPr>
        <w:spacing w:after="0" w:line="10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Further, we expect to continue to incur additional costs associated with operating as a public company, including significant legal, accounting, insurance, investor relations and other expenses that we did not incur as a private company.</w:t>
      </w:r>
    </w:p>
    <w:p>
      <w:pPr>
        <w:spacing w:after="0" w:line="101"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Our expenses could increase beyond our expectations if we are required by the FDA, the European Medicines Agency, or other regulatory authorities to perform trials in addition to those that we currently expect, or if we experience any delays in establishing appropriate manufacturing arrangements for, completing our clinical trials or the clinical development of any of our product candidates.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expand our business or continue operations. A decline in the value of our company, or in the value of our common stock, could also cause you to lose all or part of your investment.</w:t>
      </w:r>
    </w:p>
    <w:p>
      <w:pPr>
        <w:spacing w:after="0" w:line="102"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80"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prepare for and initiate, conduct, and complete our planned first-in-human Phase 1/2 clinical trials of our product candidates, advance our TORPEDO platform and continue research and development and initiate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significant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had cash, cash equivalents, and marketable securities of approximately $346.0 million as of March 31, 2021. We believe that these funds, together with future payments expected to be received under existing collaboration agreements, will be sufficient to fund our existing operating plan to the end of 2023. We have based this estimate on assumptions that may prove to be wrong and we could use our capital resources sooner than we currently expect. Our future capital requirements will depend on many factors, including:</w:t>
      </w:r>
    </w:p>
    <w:p>
      <w:pPr>
        <w:spacing w:after="0" w:line="114" w:lineRule="exact"/>
        <w:rPr>
          <w:sz w:val="20"/>
          <w:szCs w:val="20"/>
          <w:color w:val="auto"/>
        </w:rPr>
      </w:pPr>
    </w:p>
    <w:p>
      <w:pPr>
        <w:ind w:left="340" w:right="4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progress, costs and results of our planned first-in-human Phase 1/2 clinical trials for our product candidates and any future clinical development of those product candidates;</w:t>
      </w:r>
    </w:p>
    <w:p>
      <w:pPr>
        <w:spacing w:after="0" w:line="114"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costs and results of preclinical and clinical development for our other product candidates and development programs, including, without limitation, product candidates arising out of our BRAF, RET and EGFR programs;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pursue;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ongoing collaborations with Biogen, Roche and Calico;</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outcomes of regulatory review of our product candidates;</w:t>
      </w:r>
    </w:p>
    <w:p>
      <w:pPr>
        <w:spacing w:after="0" w:line="117"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14"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 the timing of the receipt of any such revenue;</w:t>
      </w:r>
    </w:p>
    <w:p>
      <w:pPr>
        <w:spacing w:after="0" w:line="114" w:lineRule="exact"/>
        <w:rPr>
          <w:rFonts w:ascii="Arial" w:cs="Arial" w:eastAsia="Arial" w:hAnsi="Arial"/>
          <w:sz w:val="18"/>
          <w:szCs w:val="18"/>
          <w:color w:val="auto"/>
        </w:rPr>
      </w:pPr>
    </w:p>
    <w:p>
      <w:pPr>
        <w:ind w:left="340" w:right="60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delays or interruptions, including due to the evolving coronavirus, or COVID-19, pandemic, that we experience in our preclinical studies, clinical trials and/or supply chain;</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14"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collaboration arrangements with other biotechnology or pharmaceutical companies on favorable terms, if at all, for the development or commercialization of our product candidates.</w:t>
      </w:r>
    </w:p>
    <w:p>
      <w:pPr>
        <w:spacing w:after="0" w:line="101"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78"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If one or more of the product candidates that we develop is approved for commercial sale, we anticipate incurring significant costs associated with commercializing those approved product candidates. Even if we are able to generate revenues from the sale of any approved products, we may not become profitable and may need to obtain additional funding to continue operations.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commenced operations in 2015 and our operations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and establishing arrangements with third parties for the manufacture of initial quantities of our product candidates. While we anticipate commencing a clinical trial of CFT7455 during the first half of 2021, at this time, all of our other product candidates are still in preclinical development or in the discovery stage. We have not yet demonstrated our ability to successfully initiate or complete any clinical trials, obtain marketing approvals, manufacture a commercial 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10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In addition, as an early-stage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100"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80" w:lineRule="exact"/>
        <w:rPr>
          <w:sz w:val="20"/>
          <w:szCs w:val="20"/>
          <w:color w:val="auto"/>
        </w:rPr>
      </w:pPr>
    </w:p>
    <w:p>
      <w:pPr>
        <w:ind w:left="120" w:right="360"/>
        <w:spacing w:after="0" w:line="262" w:lineRule="auto"/>
        <w:rPr>
          <w:sz w:val="20"/>
          <w:szCs w:val="20"/>
          <w:color w:val="auto"/>
        </w:rPr>
      </w:pPr>
      <w:r>
        <w:rPr>
          <w:rFonts w:ascii="Arial" w:cs="Arial" w:eastAsia="Arial" w:hAnsi="Arial"/>
          <w:sz w:val="18"/>
          <w:szCs w:val="18"/>
          <w:b w:val="1"/>
          <w:bCs w:val="1"/>
          <w:i w:val="1"/>
          <w:iCs w:val="1"/>
          <w:color w:val="auto"/>
        </w:rPr>
        <w:t>The ongoing global COVID-19 pandemic could continue to adversely impact our business, including our preclinical studies and development programs, supply chain and business development activities.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COVID-19 pandemic, which began in December 2019 and remains ongoing, has spread worldwide and caused governments worldwide to implement measures to slow the spread of the outbreak through quarantines, travel restrictions, heightened border scrutiny, business shutdowns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While COVID-19 vaccines are now being distributed in the United States and around the world, it will take time to widely administer the vaccines and achieve herd immunity locally and globally. Further, new strains of COVID-19 have accelerated and expanded the spread of this outbreak. As a result, the future progression of the outbreak and its effects on our business and operations, as well as the potential timing of a return to a new normal, remain uncertain. In addition, any delays in foreign shipments coming into the United States could also impact our preclinical study or clinical trial plans.</w:t>
      </w:r>
    </w:p>
    <w:p>
      <w:pPr>
        <w:spacing w:after="0" w:line="106"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We and our contract manufacturing organizations, or CMOs, and contract research organizations, or CROs, may face disruptions that could affect our ability to initiate and complete preclinical studies or clinical trials. For example, because of ongoing efforts to address the pandemic, we may face disruptions in procuring items that are essential for our research and development activities, including, due to shortages arising in raw materials used in the manufacturing of our product candidates, laboratory supplies for our preclinical studies and clinical</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trials or animals that are used for preclinical testing. We may also face delays in our preclinical research activities due to staffing issues at our CROs located in regions facing COVID-19 outbreaks. We and our CROs and CMOs may face disruptions related to our clinical trials arising from potential delays in IND-enabling studies, manufacturing disruptions and/or the ability to obtain necessary institutional review board, or IRB, or other necessary site approvals, as well as other delays at clinical trial sites, including delays related to site staffing.</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For example, in March 2020, due to COVID-19, we closed the office and laboratory spaces in our Watertown, Massachusetts facility and transitioned our employees to work from home. During the spring of 2020, we also experienced closures at the locations of some of our Indian CROs due to local lockdown requirements and, in the second quarter of 2021, we saw COVID-19 outbreaks in India impact staffing levels at some of our Indian CROs. These shutdowns have resulted and may continue to result in delays to our preclinical studies and, while it is possible that we will be able to accelerate research activities in the longer term or implement alternate mitigation plans, it is also possible that some of our preclinical research programs will suffer unavoidable delays as a result of these outbreaks of COVID-19. Due to the COVID-19 pandemic, we have also seen the risk of delays in production of components used to manufacture our lead degrader candidates increase due to previous delays at one of our China-based manufacturers, which we remediated by working with that manufacturer to change the location of future work to another of the manufacturer’s sites. In June 2020, we reopened our office location to enable a subset of our employees— those whose work can only be performed in our laboratories—to return to the office, and we have required our remaining employees to continue working from home, an arrangement that we expect will continue for some time. While the ongoing impact of this pandemic remains uncertain, we believe the redundancies we have in place between our China and India based CROs and our Watertown, Massachusetts-based laboratory staff, as well as the transition of the majority of our employees to remote work arrangements, have generally mitigated the impact of these disruptions on our business, but it also remains possible that we will see delays in some of our preclinical research activities as outbreaks of COVID-19 continue to arise in various parts of the world, which may continue until vaccination for COVID-19 becomes more broadly available globally.</w:t>
      </w:r>
    </w:p>
    <w:p>
      <w:pPr>
        <w:spacing w:after="0" w:line="10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response to the COVID-19 pandemic may result in the redirection of resources with respect to regulatory and intellectual property matters in a way that would adversely impact our ability to progress regulatory approvals and protect our intellectual property. For example, 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and resumed inspections in China and India in early 2021.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appropriate, the agency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Additionally, as of March 18, 2021, the FDA also noted that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including for oncology product development. However, FDA may not be able to continue its current pace and review timelines could be extended, including where a pre-approval inspection or an inspection of clinical sites is required and due to the COVID-19 pandemic and travel restrictions FDA is unable to complete such required inspections during the review period. In addition, we may face impediments to regulatory meetings and approvals due to measures intended to limit in-person interactions.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While we were successfully able to raise capital twice during 2020, the pandemic has caused significant disruptions in the financial markets and may continue to cause these types of disruptions, which could impact our ability to raise additional funds through public offerings and may also contribute to volatility in our stock price and otherwise impact trading in our stock. Moreover, it is possible the pandemic will significantly impact economies worldwide, which could adversely affect our business prospects, financial condition and results of operations. Any significant disruption of global financial markets, reducing our ability to access capital, could negatively affect our liquidity and ability to continue operations.</w:t>
      </w:r>
    </w:p>
    <w:p>
      <w:pPr>
        <w:spacing w:after="0" w:line="102" w:lineRule="exact"/>
        <w:rPr>
          <w:sz w:val="20"/>
          <w:szCs w:val="20"/>
          <w:color w:val="auto"/>
        </w:rPr>
      </w:pPr>
    </w:p>
    <w:p>
      <w:pPr>
        <w:ind w:left="120" w:right="80"/>
        <w:spacing w:after="0" w:line="271" w:lineRule="auto"/>
        <w:rPr>
          <w:sz w:val="20"/>
          <w:szCs w:val="20"/>
          <w:color w:val="auto"/>
        </w:rPr>
      </w:pPr>
      <w:r>
        <w:rPr>
          <w:rFonts w:ascii="Arial" w:cs="Arial" w:eastAsia="Arial" w:hAnsi="Arial"/>
          <w:sz w:val="16"/>
          <w:szCs w:val="16"/>
          <w:color w:val="auto"/>
        </w:rPr>
        <w:t>COVID-19 and actions taken to reduce its spread continue to rapidly evolve. The extent to which COVID-19 may impede the development of our product candidates, reduce the productivity of our employees, disrupt our supply chains, delay our pre-clinical studies or clinical trials, reduce our access to capital or limit our business development activities, will depend on future developments, which are highly uncertain and cannot be predicted with confidence. To the extent the COVID-19 pandemic adversely affects our business prospects, financial condition and results of operations, it may also have the effect of heightening many of the other risks described in this “Risk Factors” section, such as those relating to the timing and results of our planned and future clinical trials and our financing needs.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Credit Agreement with Perceptive Credit contains restrictions that limit our flexibility in operating our business.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June 2020, we entered into a credit agreement and guaranty, or the Credit Agreement, with Perceptive Credit, an affiliate of Perceptive Advisors LLC, or Perceptive Advisors, which is one of our significant stockholders. The Credit Agreement provides for a $20.0 million senior secured delayed draw term loan facility, or the Delayed Draw Loan Facility. The Credit Agreement is secured by a lien on substantially all of our and our subsidiaries’ assets, including, but not limited to, shares of our subsidiaries, our current and future intellectual property, insurance, trade and intercompany receivables, inventory and equipment and contract rights. The Credit Agreement requires us to meet specified minimum cash requirements, as described below, and contains various affirmative and negative covenants that limit our ability to engage in specified types of transactions. These covenants, which are subject to customary exceptions, limit our ability to, without Perceptive Credit’s prior written consent, effect any of the following, among other things:</w:t>
      </w:r>
    </w:p>
    <w:p>
      <w:pPr>
        <w:spacing w:after="0" w:line="109" w:lineRule="exact"/>
        <w:rPr>
          <w:sz w:val="20"/>
          <w:szCs w:val="20"/>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 lease, transfer or otherwise dispose of certain assets;</w:t>
      </w:r>
    </w:p>
    <w:p>
      <w:pPr>
        <w:ind w:left="340" w:hanging="224"/>
        <w:spacing w:after="0" w:line="23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another company or business or enter into a merger or similar transaction with third parties;</w:t>
      </w:r>
    </w:p>
    <w:p>
      <w:pPr>
        <w:ind w:left="340" w:hanging="224"/>
        <w:spacing w:after="0" w:line="23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ind w:left="340" w:hanging="224"/>
        <w:spacing w:after="0" w:line="23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ind w:left="340" w:hanging="224"/>
        <w:spacing w:after="0" w:line="23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inbound and outbound licenses of intellectual property, subject to certain exceptions;</w:t>
      </w:r>
    </w:p>
    <w:p>
      <w:pPr>
        <w:ind w:left="340" w:hanging="224"/>
        <w:spacing w:after="0" w:line="23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encumber or permit liens on certain assets; and</w:t>
      </w: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and make other restricted payments with respect to our common stock.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Our board of directors or management team could believe that taking any one of these actions would be in our best interests and the best interests of our stockholders. If that were the case and if we were unable to complete any of these actions because Perceptive Credit does not provide its consent, that could adversely impact our business, financial condition and results of operations.</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addition, we are required to deposit into controlled accounts all cash or other payments received in respect of any and all of our accounts receivable or any other contract or right and interest and, at all times, to maintain a minimum aggregate balance of $3.0 million in cash in one or more such controlled accounts. These accounts are required to be maintained as cash collateral accounts securing our obligations under the Credit Agreement. Until our obligations under the Credit Agreement have been discharged, our ability to use the cash amounts held in these controlled accounts in the operation of our business will be limited.</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of March 31, 2021, we drew down on $12.5 million of the Delayed Draw Loan Facility. Our ability to draw on the remaining Delayed Draw Loan Facility is contingent on our compliance with the covenants described above and certain other covenants. Even if we meet these conditions, we may elect not to draw on the remaining Delayed Draw Loan Facility. Our ability to draw down on this second tranche expires on June 30, 2021.</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the event of a default under the Credit Agreement, including, among other things, our failure to make any payment when due or our failure to comply with any provision of the Credit Agreement, subject to customary grace periods, Perceptive Credit could elect to declare all amounts outstanding to be immediately due and payable and terminate all commitments to extend further credit. If we are unable to repay the amounts due under the Credit Agreement, Perceptive Credit could proceed against the collateral granted to it to secure this indebtedness, which could have an adverse effect on our business, financial condition and results of operations.</w:t>
      </w:r>
    </w:p>
    <w:p>
      <w:pPr>
        <w:spacing w:after="0" w:line="10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Perceptive Credit’s interests as a lender may not always be aligned with our interests or with Perceptive Advisor’s interests as a stockholder. If our interests come into conflict with those of Perceptive Credit, including in the event of a default under the Credit Agreement, Perceptive Credit may choose to act in its self-interest, which could adversely affect the success of our current and future collaborative efforts with Perceptive Advisor.</w:t>
      </w:r>
    </w:p>
    <w:p>
      <w:pPr>
        <w:spacing w:after="0" w:line="80" w:lineRule="exact"/>
        <w:rPr>
          <w:sz w:val="20"/>
          <w:szCs w:val="20"/>
          <w:color w:val="auto"/>
        </w:rPr>
      </w:pPr>
    </w:p>
    <w:p>
      <w:pPr>
        <w:ind w:left="120" w:right="30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Until the time, if ever, when we can generate substantial revenue from product sales, we expect to finance our cash needs through a combination of equity offerings, debt financings, collaborations, strategic alliances and marketing, distribution or licensing arrangements. Although we may receive potential future payments under our collaborations with Biogen, Roche and Calico, we do not currently have any committed external source of funds, other than our ability to draw on the Delayed Draw Loan Facility if the necessary preconditions have been satisfied.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Pursuant to the Credit Agreement, we granted Perceptive Credit a warrant that now enables Perceptive Credit to purchase 338,784 shares of our common stock and Perceptive Credit could elect to exercise this warrant in the future. Covenants in the Credit Agreement impose certain limitations and obligations on us, including restrictions on our ability to incur additional debt and to enter into certain business combinations without Perceptive Credit’s prior written consent.</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discovery and development of our product candidates</w:t>
      </w:r>
    </w:p>
    <w:p>
      <w:pPr>
        <w:spacing w:after="0" w:line="114"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have been approved in the United States or Europe. The data underlying the feasibility of developing these types of therapeutic products is both preliminary and limited. If any adverse learnings are made by other 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106"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products candidates may have the ability to degrade the specific mutations that confer resistance to currently marketed inhibitors of disease-causing enzymes, any inherent primary or acquired secondary resistance to our product candidates in patients, or if the scientific research that forms the basis of our efforts proves to be contradicted, would prevent or diminish their clinical benefit.</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While we plan to commence a clinical study of CFT7455 in the first half of 2021, to date, we have not yet initiated, conducted, or completed a clinical trial of any product candidate and we have not yet assessed the safety of any of our product candidates in humans. Although some of our product candidates have produced observable results in animal studies, there is a limited safety data set for their effects in animals. In addition,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10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TORPEDO platform, or any similar or competitive protein degradation platforms, will result in the development of product candidates that make it through to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8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b w:val="1"/>
          <w:bCs w:val="1"/>
          <w:i w:val="1"/>
          <w:iCs w:val="1"/>
          <w:color w:val="auto"/>
        </w:rPr>
        <w:t>We are an early-stage biotechnology company and, while we plan to commence a clinical trial of CFT7455 in the first half of 2021, all of our product candidates are currently in preclinical development or in the discovery phase. If we are unable to advance to clinical development, develop, obtain regulatory approval for and commercialize our product candidates or experience significant delays in doing so, our business may be materially harmed.</w:t>
      </w:r>
    </w:p>
    <w:p>
      <w:pPr>
        <w:spacing w:after="0" w:line="9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an early-stage biotechnology company and all of our product candidates are currently in preclinical development or in the discovery stage. As a result, their risk of failure is high. We have invested substantially all of our efforts and financial resources in building our TORPEDO platform and identifying and conducting preclinical development of our current product candidates, including CFT7455 and CFT8634. Our ability to generate revenue from product sales, which we do not expect will occur for many years, if ever, will depend heavily on the successful development and eventual commercialization of one or more of our product candidates. The success of our product candidates will depend on several factors, including the following:</w:t>
      </w:r>
    </w:p>
    <w:p>
      <w:pPr>
        <w:spacing w:after="0" w:line="115" w:lineRule="exact"/>
        <w:rPr>
          <w:sz w:val="20"/>
          <w:szCs w:val="20"/>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initiations and completion of preclinical studies;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submission of INDs and initiation of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patient enrollment in, and conduct and completion of,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or trade secret protection and regulatory exclusivity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both clinical and commercial supplies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product candidates that achieve the therapeutic properties desired and appropriate for their intended indications;</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that a profile following approval;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80" w:lineRule="exact"/>
        <w:rPr>
          <w:sz w:val="20"/>
          <w:szCs w:val="20"/>
          <w:color w:val="auto"/>
        </w:rPr>
      </w:pPr>
    </w:p>
    <w:p>
      <w:pPr>
        <w:ind w:left="120" w:right="420"/>
        <w:spacing w:after="0" w:line="262" w:lineRule="auto"/>
        <w:rPr>
          <w:sz w:val="20"/>
          <w:szCs w:val="20"/>
          <w:color w:val="auto"/>
        </w:rPr>
      </w:pPr>
      <w:r>
        <w:rPr>
          <w:rFonts w:ascii="Arial" w:cs="Arial" w:eastAsia="Arial" w:hAnsi="Arial"/>
          <w:sz w:val="18"/>
          <w:szCs w:val="18"/>
          <w:b w:val="1"/>
          <w:bCs w:val="1"/>
          <w:i w:val="1"/>
          <w:iCs w:val="1"/>
          <w:color w:val="auto"/>
        </w:rPr>
        <w:t>We have limited experience as a company in completing IND-enabling preclinical studies, submitting INDs or commencing and conducting clinical trials.</w:t>
      </w:r>
    </w:p>
    <w:p>
      <w:pPr>
        <w:spacing w:after="0" w:line="8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have limited experience as a company in completing IND-enabling preclinical studies and, while we plan to commence clinical development of CFT7455 in the first half of 2021, we presently have no experience as a company in commencing and conducting clinical trials. In part because of this lack of experience, we cannot be certain that our preclinical studies will be completed on time, that we will submit INDs in a timely manner, that any INDs we submit will be cleared by the FDA in a timely manner, if at all, or if our planned clinical trials will begin or be completed on time, if at all. Large-scale clinical trials would require significant additional financial and management resources and reliance on third-party clinical investigators and consultants. Relying on third-party clinical investigators, CROs and consultants may cause us to encounter delays that are outside of our control. In addition, relying on third parties in the conduct of our preclinical studies or clinical trials exposes us to a risk that they may not adequately adhere to study or trial protocols or comply with good laboratory practice or good clinical practice, or GCP, as required for any studies or trials we plan to submit to a regulatory authority. We may be unable to identify and contract with sufficient investigators, CROs and consultants on a timely basis or at all. For each of our lead product candidates, CFT7455 and CFT8634, we have entered into a master services agreement with a CRO to lead our planned first-in-human Phase 1/2 clinical trial for the applicable product candidate. There can be no assurance that we will be able to negotiate and enter into additional master services agreement with these or other CROs, as necessary, on terms that are acceptable to us on a timely basis or at all.</w:t>
      </w:r>
    </w:p>
    <w:p>
      <w:pPr>
        <w:spacing w:after="0" w:line="264"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Before obtaining regulatory approval for the commercial sale of any of our product candidates, including CFT7455 and CFT8634, we must demonstrate through lengthy, complex and expensive preclinical studies and clinical trials that our product candidates are both safe and effective for use in each target indication. Preclinical and clinical testing is expensive and can take many years to complete. Further, the outcome of these activities is inherently uncertain. Failure can occur at any time during the preclinical study and clinical trial processes and, because our product candidates are in an early stage of development and have never been tested in humans,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It is also possible that 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or safe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desired safety, potency, purity and efficacy profile despite having progressed successfully through preclinical studies and/or initial clinical trials. Likewise, early, smaller-scale clinical trials may not be predictive of eventual safety or effectiveness in large-scale pivotal clinical trials. Many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103"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Additionally, we expect that the first clinical trials for our product candidates may be open-label studies, where both the patient and investigator know whether the patient is receiving the investigational product candidate or either an existing approved drug or placebo. This will be the case with the first-in-human clinical trial of CFT7455.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8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Any preclinical studies or clinical trials that we may conduct may not demonstrate the safety, potency, purity and efficacy necessary to obtain regulatory approval to market our product candidates. If the results of our ongoing or future preclinical studies or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those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While we plan to commence a clinical trial for CFT7455 in the first half of 2021, we have not yet initiated clinical trials for any of our product candidates and, as is the case with all drugs, it is likely that there may be side effects associated with their use related to on-target, off-target toxicity, or other mechanisms of drug toxicity including chemical-based toxicity. Results of our trials could reveal a high and unacceptable severity and prevalence of side effects of this nature. If unacceptable levels of toxicity are observed or if our product candidates have other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Any of these occurrences may significantly harm our business, financial condition and prospects and many compounds that initially showed promise in early-stage testing for treating cancer have later been found to cause side effects that prevented further development of the compound.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220"/>
        <w:spacing w:after="0" w:line="325"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3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While we plan to commence a clinical trial of CFT7455 in the first half of 2021, all of our other product candidates are presently in preclinical development or the discovery stage and their risk of failure is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 Before we can commence clinical trials for a product candidate, we must complete extensive preclinical studies that support our planned INDs in the United States or similar applications in other jurisdictions. We cannot be certain of the timely initiation, completion or outcome of our preclinical studies and, other than in the case of CFT7455, where the FDA has cleared the IND for our planned first-in-human study of this drug candidate, we cannot predict if the FDA or similar regulatory authorities outside the United States will allow us to commence our proposed clinical trials or if the outcome of our preclinical studies ultimately will support the further development of any of our product candidates.</w:t>
      </w:r>
    </w:p>
    <w:p>
      <w:pPr>
        <w:spacing w:after="0" w:line="106" w:lineRule="exact"/>
        <w:rPr>
          <w:sz w:val="20"/>
          <w:szCs w:val="20"/>
          <w:color w:val="auto"/>
        </w:rPr>
      </w:pPr>
    </w:p>
    <w:p>
      <w:pPr>
        <w:ind w:left="120" w:right="460"/>
        <w:spacing w:after="0" w:line="237"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the timing and outcome. A failure of one or more clinical trials can occur at any stage of the process. We may experience numerous unforeseen events during or as a result of clinical trials, which could delay or prevent our ability to receive marketing approval or commercialize our product candidates, including:</w:t>
      </w:r>
    </w:p>
    <w:p>
      <w:pPr>
        <w:spacing w:after="0" w:line="114" w:lineRule="exact"/>
        <w:rPr>
          <w:sz w:val="20"/>
          <w:szCs w:val="20"/>
          <w:color w:val="auto"/>
        </w:rPr>
      </w:pPr>
    </w:p>
    <w:p>
      <w:pPr>
        <w:ind w:left="340" w:right="70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the failure to reach, a consensus with regulators on clinical trial design or the inability to produce acceptable preclinical results to enable entry into human clinical trials;</w:t>
      </w:r>
    </w:p>
    <w:p>
      <w:pPr>
        <w:spacing w:after="0" w:line="114" w:lineRule="exact"/>
        <w:rPr>
          <w:rFonts w:ascii="Arial" w:cs="Arial" w:eastAsia="Arial" w:hAnsi="Arial"/>
          <w:sz w:val="18"/>
          <w:szCs w:val="18"/>
          <w:color w:val="auto"/>
        </w:rPr>
      </w:pPr>
    </w:p>
    <w:p>
      <w:pPr>
        <w:ind w:left="340" w:right="280" w:hanging="224"/>
        <w:spacing w:after="0" w:line="23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13"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the failure to reach, agreement on acceptable clinical trial contracts or clinical trial protocols with prospective trial sites or CROs;</w:t>
      </w:r>
    </w:p>
    <w:p>
      <w:pPr>
        <w:spacing w:after="0" w:line="114"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regulators or IRBs to authorize us or our investigators to commence a clinical trial or conduct a clinical trial at a prospective trial site;</w:t>
      </w:r>
    </w:p>
    <w:p>
      <w:pPr>
        <w:spacing w:after="0" w:line="11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designing clinical trials and in selecting endpoints for diseases that have not been well studied and for which the natural history and course of the disease is poorly understood;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selection of certain clinical endpoints that may require prolonged periods of clinical observation or analysis of the resulting data;</w:t>
      </w:r>
    </w:p>
    <w:p>
      <w:pPr>
        <w:spacing w:after="0" w:line="117"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the failure to recruit suitable patients to participate in our clinical trials;</w:t>
      </w:r>
    </w:p>
    <w:p>
      <w:pPr>
        <w:spacing w:after="0" w:line="113"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our clinical trials;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18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114"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third parties with whom we contract may fail to comply with regulatory requirements or meet their contractual obligations to us in a timely manner, or at all;</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from regulators or IRBs that we or our investigators suspend or terminate clinical trials for various reasons, including noncompliance with regulatory requirements or unacceptable safety risks;</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 and</w:t>
      </w:r>
    </w:p>
    <w:p>
      <w:pPr>
        <w:spacing w:after="0" w:line="117"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caused by the evolving spread and effects of the COVID-19 pandemic may increase the likelihood that we encounter these types of difficulties or cause other delays in initiating, enrolling, conducting or completing our planned clinical trials.</w:t>
      </w:r>
    </w:p>
    <w:p>
      <w:pPr>
        <w:spacing w:after="0" w:line="101"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related to our product candidates, we may:</w:t>
      </w:r>
    </w:p>
    <w:p>
      <w:pPr>
        <w:spacing w:after="0" w:line="113"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marketing approval;</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or impose restrictions on distribution of a product candidate in the form of a modified risk evaluation and mitigation strategy, or REMS;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our product removed from the market after obtaining marketing approval.</w:t>
      </w:r>
    </w:p>
    <w:p>
      <w:pPr>
        <w:spacing w:after="0" w:line="104" w:lineRule="exact"/>
        <w:rPr>
          <w:sz w:val="20"/>
          <w:szCs w:val="20"/>
          <w:color w:val="auto"/>
        </w:rPr>
      </w:pPr>
    </w:p>
    <w:p>
      <w:pPr>
        <w:ind w:left="120" w:right="320"/>
        <w:spacing w:after="0" w:line="275" w:lineRule="auto"/>
        <w:rPr>
          <w:sz w:val="20"/>
          <w:szCs w:val="20"/>
          <w:color w:val="auto"/>
        </w:rPr>
      </w:pPr>
      <w:r>
        <w:rPr>
          <w:rFonts w:ascii="Arial" w:cs="Arial" w:eastAsia="Arial" w:hAnsi="Arial"/>
          <w:sz w:val="16"/>
          <w:szCs w:val="16"/>
          <w:color w:val="auto"/>
        </w:rPr>
        <w:t>Our product development costs also will increase if we experience delays in preclinical studies or clinical trials or in obtaining marketing approvals. While we plan to commence a clinical trial for CFT7455 during the first half of 2021, we do not know whether any of our other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040"/>
        <w:spacing w:after="0" w:line="299" w:lineRule="auto"/>
        <w:rPr>
          <w:sz w:val="20"/>
          <w:szCs w:val="20"/>
          <w:color w:val="auto"/>
        </w:rPr>
      </w:pPr>
      <w:r>
        <w:rPr>
          <w:rFonts w:ascii="Arial" w:cs="Arial" w:eastAsia="Arial" w:hAnsi="Arial"/>
          <w:sz w:val="16"/>
          <w:szCs w:val="16"/>
          <w:color w:val="auto"/>
        </w:rPr>
        <w:t>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55"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planned clinical trials for our lead product candidates CFT7455 and CFT8634 and other drug candidates will be with patients who have received one or more prior treatments and we expect that we would initially seek regulatory approval of these product candidates for second-line or third-line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86"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before or more successfully than we do.</w:t>
      </w:r>
    </w:p>
    <w:p>
      <w:pPr>
        <w:spacing w:after="0" w:line="94"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102"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Targeted protein degradation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focused on developing product candidates based on small molecules for targeted protein degradation including Arvinas, Inc., BioTheryX, Inc., Cullgen Inc., Foghorn Therapeutics, Inc., Frontier Medicines Corporation, Kymera Therapeutics, Inc., Lycia Therapeutics, Inc., Monte Rosa Therapeutics, Inc., NeoMorph Inc., Nurix Therapeutics, Inc., and Vividion Therapeutics, Inc. Further, several large pharmaceutical companies have disclosed investments and research in this field, including Amgen, AstraZeneca plc, Bristol-Myers Squibb Company (and its subsidiary Celgene Corporation), GlaxoSmithKline plc, Genentech, Inc. and Novartis International AG. In addition to competition from other protein degradation therapies, any products that we develop may also face competition from other types of therapies, such as small molecule, antibody, T cell or gene therapies. For example, we understand that Adaptimmune Limited, Foghorn Therapeutics, Inc. and GlaxoSmithKline plc are pursuing the development of therapies for patients with synovial sarcoma.</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research and development tax credit carryforwards may be limited.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of December 31, 2020, we had $58.8 million federal net operating loss carryforwards and $105.1 million gross in United States state net operating loss carryforwards, portions of which expire at various dates through 2040. Under legislation enacted in 2017, informally titled the Tax Cuts and Jobs Act, or the TCJA, as modified by the Coronavirus Aid, Relief, and Economic Security Act, or the CARES Act, federal net operating losses generated in tax years beginning after 2017, if any, will not expire and may be carried forward indefinitely, but the deductibility of such federal net operating losses in tax years beginning after December 31, 2020 will be limited to the lesser of the net operating loss carryover or 80% of the corporation’s adjusted taxable income (subject to Section 382 of the Internal Revenue Code of 1986, as amended). The CARES Act temporarily allows us to carryback net operating losses arising in 2018, 2019 and 2020 to the five prior years. It is uncertain how various states will respond to the TCJA, the CARES Act or any newly enacted federal tax law. In addition, at the state level, there may be periods during which the use of net operating losses is suspended or otherwise limited, including a California franchise tax law change limiting the usability of California state net operating losses to offset taxable income in tax years beginning after 2019 and before 2023.</w:t>
      </w:r>
    </w:p>
    <w:p>
      <w:pPr>
        <w:spacing w:after="0" w:line="106"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As of December 31, 2020, we also had United States federal and state research and development tax credit carryforwards of $4.7 million and $1.1 million, respectively, which expire at various dates through 2040. These tax credit carryforwards could expire unused and be unavailable to offset our future income tax liabilities.</w:t>
      </w:r>
    </w:p>
    <w:p>
      <w:pPr>
        <w:spacing w:after="0" w:line="100"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the Company completed a study of ownership changes from inception through December 31, 2020, which concluded that we experienced ownership changes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defined by Section 382 of the Code. However, there were no net operating loss carryforwards that were limited or expired unused. We may experience ownership changes in the future as a result of subsequent changes in our stock ownership, including as a result of our recently closed initial public offering, some of which may be outside of our control. If we determine that an ownership change has occurred and our ability to use our historical net operating loss and tax credit carryforwards is materially limited, that would harm our future operating results by effectively increasing our future tax obligations.</w:t>
      </w:r>
    </w:p>
    <w:p>
      <w:pPr>
        <w:spacing w:after="0" w:line="83" w:lineRule="exact"/>
        <w:rPr>
          <w:sz w:val="20"/>
          <w:szCs w:val="20"/>
          <w:color w:val="auto"/>
        </w:rPr>
      </w:pPr>
    </w:p>
    <w:p>
      <w:pPr>
        <w:ind w:left="120" w:right="380"/>
        <w:spacing w:after="0" w:line="262" w:lineRule="auto"/>
        <w:rPr>
          <w:sz w:val="20"/>
          <w:szCs w:val="20"/>
          <w:color w:val="auto"/>
        </w:rPr>
      </w:pPr>
      <w:r>
        <w:rPr>
          <w:rFonts w:ascii="Arial" w:cs="Arial" w:eastAsia="Arial" w:hAnsi="Arial"/>
          <w:sz w:val="18"/>
          <w:szCs w:val="18"/>
          <w:b w:val="1"/>
          <w:bCs w:val="1"/>
          <w:i w:val="1"/>
          <w:iCs w:val="1"/>
          <w:color w:val="auto"/>
        </w:rPr>
        <w:t>We may not be able to file INDs to commence additional clinical trials on the timelines we expect and, even if we are able to, the FDA may not permit us to proceed with our planned clinical trials.</w:t>
      </w:r>
    </w:p>
    <w:p>
      <w:pPr>
        <w:spacing w:after="0" w:line="81"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We have limited experience as a company in preparing, submitting to and receiving clearance from the FDA on INDs. We submitted our first IND to the FDA in December 2020, for CFT7455 and, in January 2021, the FDA informed us that we are permitted to proceed with our first-in-human clinical trial for this product candidate. We plan to submit an IND for CFT8634 in the second half of 2021. While this is our current expectation, we may not be able to file this planned IND or INDs for other product candidates on the timelines we expect. For example, we may experience manufacturing delays or other delays with IND-enabling studies, we may determine that additional IND-enabling studies are warranted, or we may face delays due to the ongoing global COVID-19 pandemic. Moreover, we cannot be sure that submission of an IND will result in the FDA allowing us to commence clinical trials or that, once begun, issues will not arise that lead to the suspension or termination of our clinical trials. Additionally, even if the applicable regulatory authorities agree with the design and implementation of the clinical trials set forth in our INDs, we cannot guarantee that those regulatory authorities will not change their requirements in the future. These considerations apply to the INDs described above and also to new clinical trials we may submit as amendments to existing INDs or as part of new INDs in the future. Any failure to file INDs on the timelines we expect or to obtain regulatory approvals for our clinical trials may prevent us from completing our clinical trials or commercializing our products on a timely basis, if at all.</w:t>
      </w:r>
    </w:p>
    <w:p>
      <w:pPr>
        <w:spacing w:after="0" w:line="266" w:lineRule="exact"/>
        <w:rPr>
          <w:sz w:val="20"/>
          <w:szCs w:val="20"/>
          <w:color w:val="auto"/>
        </w:rPr>
      </w:pPr>
    </w:p>
    <w:p>
      <w:pPr>
        <w:ind w:left="120"/>
        <w:spacing w:after="0" w:line="325" w:lineRule="auto"/>
        <w:rPr>
          <w:sz w:val="20"/>
          <w:szCs w:val="20"/>
          <w:color w:val="auto"/>
        </w:rPr>
      </w:pPr>
      <w:r>
        <w:rPr>
          <w:rFonts w:ascii="Arial" w:cs="Arial" w:eastAsia="Arial" w:hAnsi="Arial"/>
          <w:sz w:val="16"/>
          <w:szCs w:val="16"/>
          <w:b w:val="1"/>
          <w:bCs w:val="1"/>
          <w:i w:val="1"/>
          <w:iCs w:val="1"/>
          <w:color w:val="auto"/>
        </w:rPr>
        <w:t>If serious adverse events, undesirable side effects or unexpected characteristics are identified during the development of any product candidates we may develop, we may need to abandon or limit our further clinical development of those product candidates.</w:t>
      </w:r>
    </w:p>
    <w:p>
      <w:pPr>
        <w:spacing w:after="0" w:line="35"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While we are planning to commence a clinical trial of CFT7455 in the first half of 2021, we have not yet evaluated any of our product candidates in human clinical trials. It is impossible to predict when or if any product candidates we may develop will prove safe in humans. There can be no assurance that any of the product candidates developed through our TORPEDO platform will not cause undesirable side effects, which could arise at any time during preclinical or clinical development.</w:t>
      </w:r>
    </w:p>
    <w:p>
      <w:pPr>
        <w:spacing w:after="0" w:line="100"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A potential risk with product candidates developed through our TORPEDO platform, or in any protein degradation product candidate, is that healthy proteins or proteins not targeted for degradation will be degraded or that the degradation of the targeted protein in and of itself could cause adverse events, undesirable side effects or unexpected characteristics. There is also the potential risk of delayed adverse events following treatment using product candidates developed through our TORPEDO platform.</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If any product candidates we develop are associated with serious adverse events or undesirable side effects or have other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The occurrence of any of these sorts of events would have an adverse effect on our business, financial condition, results of operations and prospects. Many product candidates that initially showed promise in early-stage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380"/>
        <w:spacing w:after="0" w:line="281" w:lineRule="auto"/>
        <w:rPr>
          <w:sz w:val="20"/>
          <w:szCs w:val="20"/>
          <w:color w:val="auto"/>
        </w:rPr>
      </w:pPr>
      <w:r>
        <w:rPr>
          <w:rFonts w:ascii="Arial" w:cs="Arial" w:eastAsia="Arial" w:hAnsi="Arial"/>
          <w:sz w:val="16"/>
          <w:szCs w:val="16"/>
          <w:color w:val="auto"/>
        </w:rPr>
        <w:t>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keratocanthoma, which is a skin cancer caused by paradoxical activation of BRAF upon inhibitor binding.</w:t>
      </w:r>
    </w:p>
    <w:p>
      <w:pPr>
        <w:spacing w:after="0" w:line="49"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The results of preclinical studies may not be predictive of future results in later studies or trials. Initial success in clinical trials may not be indicative of results obtained when these trials are completed or in later stage clinical trials.</w:t>
      </w:r>
    </w:p>
    <w:p>
      <w:pPr>
        <w:spacing w:after="0" w:line="8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those trials are completed or in later stage clinical trials. In particular, the small number of patients in our planned early clinical trials or the designs of these trials may make the results of these trials less predictive of the outcome of later clinical trials. For example, even if successful, the results of the dose escalation portion of our future first-in-human Phase 1/2 clinical trials of CFT7455 and CFT8634 may not be predictive of the results of further clinical trials of these product candidates or any of our other product candidates.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Our clinical trials may not ultimately be successful or support further clinical development of any of our product candidates. There is a high failure rate for product candidates proceeding through clinical trials. Many companies in the pharmaceutical and biotechnology industries have suffered significant setbacks in clinical development even after achieving encouraging results in earlier studies. Any setbacks of this nature in our clinical development could materially harm our business, financial condition, results of operations and prospects. In addition, we may conduct some of our clinical trials in a combination Phase 1/2 design and, if the Phase 1 portion of the trial is not successful, we will not be allowed to proceed into the Phase 2 portion of the trial.</w:t>
      </w:r>
    </w:p>
    <w:p>
      <w:pPr>
        <w:spacing w:after="0" w:line="262" w:lineRule="exact"/>
        <w:rPr>
          <w:sz w:val="20"/>
          <w:szCs w:val="20"/>
          <w:color w:val="auto"/>
        </w:rPr>
      </w:pPr>
    </w:p>
    <w:p>
      <w:pPr>
        <w:ind w:left="120" w:right="780"/>
        <w:spacing w:after="0" w:line="26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our clinical trials, our timelines for submitting for and receiving necessary marketing approvals could be delayed or prevented.</w:t>
      </w:r>
    </w:p>
    <w:p>
      <w:pPr>
        <w:spacing w:after="0" w:line="81"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We are preparing to advance CFT7455 into first-in-human Phase 1/2 clinical trials in MM and NHLs, including PTCL and MCL. In addition, we are planning to advance CFT8634 into first-in-human Phase 1/2 clinical trials in patients with synovial sarcoma or SMARCB1 deleted solid tumors. While we believe that we will be able to enroll a sufficient number of patients into each of these clinical trials, we cannot predict with certainty how difficult it will be to enroll patients for trials in these rare indications generally and during the COVID-19 pandemic, specifically. Our ability to identify and enroll eligible patients for our CFT7455 and CFT8634 clinical trials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 clinical trials of our competitors’ product candidates. Patient enrollment in clinical trials is also affected by other factors including:</w:t>
      </w:r>
    </w:p>
    <w:p>
      <w:pPr>
        <w:spacing w:after="0" w:line="297"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candidates offered in the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on patients due to the scope and invasiveness of required procedures under clinical trial protocols, some of which may be inconvenient and/or uncomfortable;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340" w:right="180" w:hanging="224"/>
        <w:spacing w:after="0" w:line="23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inability to enroll a sufficient number of patients for our planned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80"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b w:val="1"/>
          <w:bCs w:val="1"/>
          <w:i w:val="1"/>
          <w:iCs w:val="1"/>
          <w:color w:val="auto"/>
        </w:rPr>
        <w:t>The conclusions and analysis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94"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In addition, preliminary or top-line data also remain subject to audit and verification procedures that may result in the final data being different, potentially in material ways, from the preliminary data we previously announced or published. As a result, interim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56" w:lineRule="exact"/>
        <w:rPr>
          <w:sz w:val="20"/>
          <w:szCs w:val="20"/>
          <w:color w:val="auto"/>
        </w:rPr>
      </w:pPr>
    </w:p>
    <w:p>
      <w:pPr>
        <w:ind w:left="120" w:right="640"/>
        <w:spacing w:after="0" w:line="262"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jc w:val="both"/>
        <w:ind w:left="120" w:right="100"/>
        <w:spacing w:after="0" w:line="244" w:lineRule="auto"/>
        <w:rPr>
          <w:sz w:val="20"/>
          <w:szCs w:val="20"/>
          <w:color w:val="auto"/>
        </w:rPr>
      </w:pPr>
      <w:r>
        <w:rPr>
          <w:rFonts w:ascii="Arial" w:cs="Arial" w:eastAsia="Arial" w:hAnsi="Arial"/>
          <w:sz w:val="18"/>
          <w:szCs w:val="18"/>
          <w:b w:val="1"/>
          <w:bCs w:val="1"/>
          <w:i w:val="1"/>
          <w:iCs w:val="1"/>
          <w:color w:val="auto"/>
        </w:rPr>
        <w:t>We may develop CFT7455 in combination with other drugs for MM. If the FDA or similar regulatory authorities outside of the United States do not approve these other drugs, revoke their approval of these other drugs or if safety, efficacy, manufacturing or supply issues arise with the drugs we choose to evaluate in combination with CFT7455, we may be unable to obtain approval of or market CFT7455.</w:t>
      </w:r>
    </w:p>
    <w:p>
      <w:pPr>
        <w:spacing w:after="0" w:line="9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Once a recommended dose is identified from the dose escalation portion of our first-in-human Phase 1/2 clinical trial of CFT7455 for the treatment of MM, we plan to conduct a portion of that clinical trial in combination with a dexamethasone inhibitor. We did not develop or obtain marketing approval for, nor do we manufacture or sell, any of the currently approved drugs that we may study in combination with CFT7455. If the FDA or similar regulatory authorities outside of the United States revoke their approval of the drug or drugs we intend to deliver in combination with CFT7455, we will not be able to market CFT7455 in combination with those revoked drugs.</w:t>
      </w:r>
    </w:p>
    <w:p>
      <w:pPr>
        <w:spacing w:after="0" w:line="103"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CFT7455, the FDA or similar regulatory authorities outside of the United States may require us to conduct additional clinical trials. In addition, if manufacturing or other issues result in a shortage of supply of the drugs with which we determine to combine with CFT7455, we may not be able to complete clinical development of CFT7455 on our current timeline or at all.</w:t>
      </w:r>
    </w:p>
    <w:p>
      <w:pPr>
        <w:spacing w:after="0" w:line="78"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Even if CFT7455 were to receive marketing approval or be commercialized for use in combination with other existing drugs, we would continue to be subject to the risks that the FDA or similar regulatory authorities outside of the United States could revoke approval of the drug used in combination with CFT7455 or that safety, efficacy, manufacturing or supply issues could arise with these existing drugs.</w:t>
      </w:r>
    </w:p>
    <w:p>
      <w:pPr>
        <w:spacing w:after="0" w:line="10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product candidates.</w:t>
      </w:r>
    </w:p>
    <w:p>
      <w:pPr>
        <w:spacing w:after="0" w:line="12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While our four lead programs are focused on oncology targets, a key element of our strategy is to apply our TORPEDO platform to develop product candidates that address a broad array of targets and new therapeutic areas, such as neurodegeneration, diseases of aging and infectious disease.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116" w:lineRule="exact"/>
        <w:rPr>
          <w:sz w:val="20"/>
          <w:szCs w:val="20"/>
          <w:color w:val="auto"/>
        </w:rPr>
      </w:pPr>
    </w:p>
    <w:p>
      <w:pPr>
        <w:ind w:left="340" w:right="40" w:hanging="224"/>
        <w:spacing w:after="0" w:line="23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w:t>
      </w:r>
    </w:p>
    <w:p>
      <w:pPr>
        <w:spacing w:after="0" w:line="117" w:lineRule="exact"/>
        <w:rPr>
          <w:rFonts w:ascii="Arial" w:cs="Arial" w:eastAsia="Arial" w:hAnsi="Arial"/>
          <w:sz w:val="18"/>
          <w:szCs w:val="18"/>
          <w:color w:val="auto"/>
        </w:rPr>
      </w:pPr>
    </w:p>
    <w:p>
      <w:pPr>
        <w:ind w:left="340" w:right="240" w:hanging="224"/>
        <w:spacing w:after="0" w:line="23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size for the target indications of a potential product candidate may diminish over time due to improvements in the standard of care to the point that further development is not warranted.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sale of products in future periods, which likely would result in significant harm to our financial position and adversely impact our stock price.</w:t>
      </w:r>
    </w:p>
    <w:p>
      <w:pPr>
        <w:spacing w:after="0" w:line="80" w:lineRule="exact"/>
        <w:rPr>
          <w:sz w:val="20"/>
          <w:szCs w:val="20"/>
          <w:color w:val="auto"/>
        </w:rPr>
      </w:pPr>
    </w:p>
    <w:p>
      <w:pPr>
        <w:ind w:left="120" w:right="400"/>
        <w:spacing w:after="0" w:line="262"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dependence on third parties</w:t>
      </w:r>
    </w:p>
    <w:p>
      <w:pPr>
        <w:spacing w:after="0" w:line="114" w:lineRule="exact"/>
        <w:rPr>
          <w:sz w:val="20"/>
          <w:szCs w:val="20"/>
          <w:color w:val="auto"/>
        </w:rPr>
      </w:pPr>
    </w:p>
    <w:p>
      <w:pPr>
        <w:ind w:left="120" w:right="740"/>
        <w:spacing w:after="0" w:line="262" w:lineRule="auto"/>
        <w:rPr>
          <w:sz w:val="20"/>
          <w:szCs w:val="20"/>
          <w:color w:val="auto"/>
        </w:rPr>
      </w:pPr>
      <w:r>
        <w:rPr>
          <w:rFonts w:ascii="Arial" w:cs="Arial" w:eastAsia="Arial" w:hAnsi="Arial"/>
          <w:sz w:val="18"/>
          <w:szCs w:val="18"/>
          <w:b w:val="1"/>
          <w:bCs w:val="1"/>
          <w:i w:val="1"/>
          <w:iCs w:val="1"/>
          <w:color w:val="auto"/>
        </w:rPr>
        <w:t>We expect to rely on third parties to conduct our future clinical trials and those third parties may not perform satisfactorily, including failing to meet deadlines for the completion of such trials.</w:t>
      </w:r>
    </w:p>
    <w:p>
      <w:pPr>
        <w:spacing w:after="0" w:line="81"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We plan to rely on CROs to conduct our planned first-in-human Phase 1/2 clinical trial programs for CFT7455 and CFT8634 and our other clinical trials as we currently do not plan to independently conduct clinical trials of our other product candidates. Our agreements with these CROs might terminate for a variety of reasons, including a failure to perform by the third parties. If we were ever to need to enter into alternative arrangements, we would experience delays in our product development activities.</w:t>
      </w:r>
    </w:p>
    <w:p>
      <w:pPr>
        <w:spacing w:after="0" w:line="100" w:lineRule="exact"/>
        <w:rPr>
          <w:sz w:val="20"/>
          <w:szCs w:val="20"/>
          <w:color w:val="auto"/>
        </w:rPr>
      </w:pPr>
    </w:p>
    <w:p>
      <w:pPr>
        <w:ind w:left="120" w:right="220"/>
        <w:spacing w:after="0" w:line="272" w:lineRule="auto"/>
        <w:rPr>
          <w:sz w:val="20"/>
          <w:szCs w:val="20"/>
          <w:color w:val="auto"/>
        </w:rPr>
      </w:pPr>
      <w:r>
        <w:rPr>
          <w:rFonts w:ascii="Arial" w:cs="Arial" w:eastAsia="Arial" w:hAnsi="Arial"/>
          <w:sz w:val="16"/>
          <w:szCs w:val="16"/>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Further, these CROs may have relationships with other entities, some of which may be our peers or competitors. If the CROs with whom we work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80"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have the quantities we desire or require at an acceptable cost or quality or at the right time, which could delay, prevent or impair our development or commercialization efforts.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on and expect to continue to rely on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clinical sites is required and due to the COVID-19 pandemic and travel restrictions FDA is unable to complete such required inspections during the review period.</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w:t>
      </w:r>
    </w:p>
    <w:p>
      <w:pPr>
        <w:ind w:left="120"/>
        <w:spacing w:after="0"/>
        <w:rPr>
          <w:sz w:val="20"/>
          <w:szCs w:val="20"/>
          <w:color w:val="auto"/>
        </w:rPr>
      </w:pPr>
      <w:r>
        <w:rPr>
          <w:rFonts w:ascii="Arial" w:cs="Arial" w:eastAsia="Arial" w:hAnsi="Arial"/>
          <w:sz w:val="18"/>
          <w:szCs w:val="18"/>
          <w:color w:val="auto"/>
        </w:rPr>
        <w:t>CMOs, reliance on third-party manufacturers entails additional risks, including:</w:t>
      </w:r>
    </w:p>
    <w:p>
      <w:pPr>
        <w:spacing w:after="0" w:line="117" w:lineRule="exact"/>
        <w:rPr>
          <w:sz w:val="20"/>
          <w:szCs w:val="20"/>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manufacturing success;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 CMO;</w:t>
      </w:r>
    </w:p>
    <w:p>
      <w:pPr>
        <w:spacing w:after="0" w:line="117" w:lineRule="exact"/>
        <w:rPr>
          <w:rFonts w:ascii="Arial" w:cs="Arial" w:eastAsia="Arial" w:hAnsi="Arial"/>
          <w:sz w:val="18"/>
          <w:szCs w:val="18"/>
          <w:color w:val="auto"/>
        </w:rPr>
      </w:pPr>
    </w:p>
    <w:p>
      <w:pPr>
        <w:ind w:left="340" w:right="700" w:hanging="224"/>
        <w:spacing w:after="0" w:line="29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or the inability of the CMO to provide us with a manufacturing slot when we need it.</w:t>
      </w:r>
    </w:p>
    <w:p>
      <w:pPr>
        <w:spacing w:after="0" w:line="101"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We have only limited technology transfer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receive marketing approval for any of our product candidates, we will need to establish or have established an agreement for commercial manufacture with one or more third parties.</w:t>
      </w:r>
    </w:p>
    <w:p>
      <w:pPr>
        <w:spacing w:after="0" w:line="75"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Third-party manufacturers may not be able to comply with current good manufacturing practices, or cGMP, regulations or similar regulatory requirements outside of the United States. Our molecules are highly potent and, in the absence of additional safety data, they receive a high occupational exposure band, or OEB. These assigned OEBs dictate the contaminant and other precautions that must be taken as part of the manufacture of our product candidates and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78"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given the potency of our compounds and the fact that only certain CMOs can manufacture compounds of this nature.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Any performance failure or delay in performance on the part of our existing or future manufacturers could delay clinical development or marketing approval. For example, our contract fill/finish manufacturer had a mechanical issue arise in connection with a manufacturing step for a manufacturing run for our CFT7455 product candidate. While this issue did not ultimately delay the timing of submission of our IND for CFT7455,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 them. Although we believe that there are several potential alternative manufacturers who could manufacture our product candidates, we may incur added costs and delays in identifying and qualifying any replacement manufacturers or we may not be able to reach agreement with any alternative manufacturer. While we have identified alternate vendors for CFT7455 and CFT8634, switching vendors could result in significant additional costs of materials and significant delays to our operations and we may be constrained in the vendors we can select based on the high OEB designations of our molecules.</w:t>
      </w:r>
    </w:p>
    <w:p>
      <w:pPr>
        <w:spacing w:after="0" w:line="106" w:lineRule="exact"/>
        <w:rPr>
          <w:sz w:val="20"/>
          <w:szCs w:val="20"/>
          <w:color w:val="auto"/>
        </w:rPr>
      </w:pPr>
    </w:p>
    <w:p>
      <w:pPr>
        <w:ind w:left="120" w:right="200"/>
        <w:spacing w:after="0" w:line="299"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5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Additionally, we currently rely on single source suppliers for certain of the raw materials for our preclinical study and clinical trial supplies. If our current or future suppliers are unable to supply us with sufficient raw materials for our preclinical studies and clinical trials, we may experience delays in our development efforts as we locate and qualify new raw material manufacturers. These third-party manufacturers may incorporate their own proprietary processes into our product candidate manufacturing processes. We have limited control and oversight of a third party’s proprietary process and a third-party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100"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As our product candidates progress through preclinical studies and clinical trials towards approval and commercialization, we expect that various aspects of the manufacturing process will evolve in an effort to optimize processes and results. These types of changes may require that we make amendments to our regulatory applications, which could further delay the timeframes under which modified manufacturing processes can be used for any of our product candidates.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conduct additional bridging studies or trials, all of which would require additional time and expense.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i w:val="1"/>
          <w:iCs w:val="1"/>
          <w:color w:val="auto"/>
        </w:rPr>
        <w:t>We have existing collaborations with third parties under which we are engaged in the research, development and commercialization of certain of product candidates. If any of these collaborations are not successful, we may not be able to capitalize on the market potential of those product candidates. In addition, these collaborations could impact our intellectual property rights.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Previously, we entered into the following collaborations, which involve our research programs:</w:t>
      </w:r>
    </w:p>
    <w:p>
      <w:pPr>
        <w:spacing w:after="0" w:line="117" w:lineRule="exact"/>
        <w:rPr>
          <w:sz w:val="20"/>
          <w:szCs w:val="20"/>
          <w:color w:val="auto"/>
        </w:rPr>
      </w:pPr>
    </w:p>
    <w:p>
      <w:pPr>
        <w:ind w:left="340" w:right="38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agreement with Roche in December 2015, which we amended and restated in December 2018 and further amended in November 2020;</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agreement with Calico in March 2017;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agreement with Biogen in December 2018, which was amended in February 2020.</w:t>
      </w:r>
    </w:p>
    <w:p>
      <w:pPr>
        <w:spacing w:after="0" w:line="104" w:lineRule="exact"/>
        <w:rPr>
          <w:sz w:val="20"/>
          <w:szCs w:val="20"/>
          <w:color w:val="auto"/>
        </w:rPr>
      </w:pPr>
    </w:p>
    <w:p>
      <w:pPr>
        <w:ind w:left="120" w:right="340"/>
        <w:spacing w:after="0" w:line="237" w:lineRule="auto"/>
        <w:rPr>
          <w:sz w:val="20"/>
          <w:szCs w:val="20"/>
          <w:color w:val="auto"/>
        </w:rPr>
      </w:pPr>
      <w:r>
        <w:rPr>
          <w:rFonts w:ascii="Arial" w:cs="Arial" w:eastAsia="Arial" w:hAnsi="Arial"/>
          <w:sz w:val="18"/>
          <w:szCs w:val="18"/>
          <w:color w:val="auto"/>
        </w:rPr>
        <w:t>Under these collaboration agreements, we are generally responsible for developing drug candidates leveraging our TORPEDO platform based on partner-selected targets. Further, these agreements provide that our collaboration partners have exclusive rights to develop degraders for their selected and reserved targets. As a result, we are not permitted to pursue a target of potential interest—either alone or with another partner—while that target is bound by these restrictions.</w:t>
      </w:r>
    </w:p>
    <w:p>
      <w:pPr>
        <w:spacing w:after="0" w:line="100"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If that were to happen, we might decide to abandon the program or to move the program forward on our own, which would require us to have to devote additional resources to the program on a going-forward basis. In addition, if one of our collaborators terminates its agreement with us generally or with respect to a specific target, which they are permitted to do for convenience on between 90 and 270 days’ notice or in connection with a material breach of the agreement by us that remains uncured for a specified period of time, we may find it more difficult to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106"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It is also possible that our collaborators may not properly obtain, maintain, enforce or defend the intellectual property or proprietary rights arising out of our licensed programs or may use our proprietary information in a way that could jeopardize or invalidate our proprietary information or expose us to potential litigation. For example, Roche, Biogen and Calico have the first right to enforce and Roche also has the first right to defend, certain intellectual property rights under the applicable collaboration arrangement with respect to particular licensed programs and, although we may have the right to assume the enforcement and defense of these intellectual property rights if our collaborator does not, our ability to do so may be compromised by their actions. In addition, if any licensed program were later to revert to us, our ability to protect any intellectual property or other proprietary rights associated with that program would be impacted by the intellectual property filings made or other steps taken by our collaborator prior to program reversion. Further, our collaborators may own or co-own intellectual property covering our products that results from our collaborating with them and, in cases where that applies, we would not have the exclusive right to commercialize the collaboration intellectual property.</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We may form or seek collaborations or strategic alliances or enter into additional licensing arrangements in the future and we may not realize the benefits of those collaborations, alliances or licensing arrangements.</w:t>
      </w:r>
    </w:p>
    <w:p>
      <w:pPr>
        <w:spacing w:after="0" w:line="81"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We may in the future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Our likely collaborators in any other collaboration arrangements we may enter into include large and mid-size pharmaceutical companies and biotechnology companies. However, it is possible that we will not be able to enter into a collaboration agreement of this nature or that the terms of any potential new collaboration arrangement may not be favorable.</w:t>
      </w:r>
    </w:p>
    <w:p>
      <w:pPr>
        <w:spacing w:after="0" w:line="7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For example, we may seek to enter into collaboration arrangements to advance our CFT7455 product candidate in MM or other indications or we may form or seek to form collaboration arrangements to enable our development and commercialization of a product candidate in a specified geographic area. Any of these relationships may require us to incur non-recurring and other charges, increase our near and long-term expenditures, issue securities that dilute our existing stockholders or disrupt our management and business.</w:t>
      </w:r>
    </w:p>
    <w:p>
      <w:pPr>
        <w:spacing w:after="0" w:line="100"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for these sorts of transactions is time-consuming, complex and expensive.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 Additionally, our existing partners may decide to acquire or partner with other companies developing targeted protein degraders, which may have an adverse impact on our business prospects, financial condition and results of operations.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product candidates, we may not be able to realize the benefit of those transactions if we are unable to successfully integrate them with our existing operations and company culture, which could delay our timelines or otherwise adversely affect our business prospects, financial condition and results of operations. We also cannot be certain that, following a strategic transaction or license, we will achieve the revenue or specific net income that justifies the entry into the transaction in the first place.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commercialization of our product candidates</w:t>
      </w:r>
    </w:p>
    <w:p>
      <w:pPr>
        <w:spacing w:after="0" w:line="114" w:lineRule="exact"/>
        <w:rPr>
          <w:sz w:val="20"/>
          <w:szCs w:val="20"/>
          <w:color w:val="auto"/>
        </w:rPr>
      </w:pPr>
    </w:p>
    <w:p>
      <w:pPr>
        <w:ind w:left="120" w:right="600"/>
        <w:spacing w:after="0" w:line="325"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left="120" w:right="360"/>
        <w:spacing w:after="0" w:line="275" w:lineRule="auto"/>
        <w:rPr>
          <w:sz w:val="20"/>
          <w:szCs w:val="20"/>
          <w:color w:val="auto"/>
        </w:rPr>
      </w:pPr>
      <w:r>
        <w:rPr>
          <w:rFonts w:ascii="Arial" w:cs="Arial" w:eastAsia="Arial" w:hAnsi="Arial"/>
          <w:sz w:val="16"/>
          <w:szCs w:val="16"/>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become profitable. The degree of market acceptance of our product candidates, if approved for commercial sale, will depend on a number of factors, including:</w:t>
      </w:r>
    </w:p>
    <w:p>
      <w:pPr>
        <w:spacing w:after="0" w:line="114" w:lineRule="exact"/>
        <w:rPr>
          <w:sz w:val="20"/>
          <w:szCs w:val="20"/>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treating these patients to prescribe these therapies;</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and adequate reimbursement;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84" w:lineRule="exact"/>
        <w:rPr>
          <w:sz w:val="20"/>
          <w:szCs w:val="20"/>
          <w:color w:val="auto"/>
        </w:rPr>
      </w:pPr>
    </w:p>
    <w:p>
      <w:pPr>
        <w:ind w:left="120" w:right="320"/>
        <w:spacing w:after="0" w:line="248" w:lineRule="auto"/>
        <w:rPr>
          <w:sz w:val="20"/>
          <w:szCs w:val="20"/>
          <w:color w:val="auto"/>
        </w:rPr>
      </w:pPr>
      <w:r>
        <w:rPr>
          <w:rFonts w:ascii="Arial" w:cs="Arial" w:eastAsia="Arial" w:hAnsi="Arial"/>
          <w:sz w:val="18"/>
          <w:szCs w:val="18"/>
          <w:b w:val="1"/>
          <w:bCs w:val="1"/>
          <w:i w:val="1"/>
          <w:iCs w:val="1"/>
          <w:color w:val="auto"/>
        </w:rPr>
        <w:t>As a company, 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9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As a company, 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82"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320" w:top="459"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260"/>
        <w:spacing w:after="0" w:line="248"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we expect that they will initially be approved only for those patients who are ineligible for or have failed prior treatments. In addition, our estimates of the prevalence of our target patient populations may be inaccurate.</w:t>
      </w:r>
    </w:p>
    <w:p>
      <w:pPr>
        <w:spacing w:after="0" w:line="9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Our product candidates may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therapy—usually chemotherapy, antibody drugs, tumor-targeted small molecules, immunotherapy, hormone therapy, radiation therapy, surgery, other targeted therapies or a combination of these therapies—proves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second- or third-line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106"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86" w:lineRule="exact"/>
        <w:rPr>
          <w:sz w:val="20"/>
          <w:szCs w:val="20"/>
          <w:color w:val="auto"/>
        </w:rPr>
      </w:pPr>
    </w:p>
    <w:p>
      <w:pPr>
        <w:ind w:left="120" w:right="200"/>
        <w:spacing w:after="0" w:line="325" w:lineRule="auto"/>
        <w:rPr>
          <w:sz w:val="20"/>
          <w:szCs w:val="20"/>
          <w:color w:val="auto"/>
        </w:rPr>
      </w:pPr>
      <w:r>
        <w:rPr>
          <w:rFonts w:ascii="Arial" w:cs="Arial" w:eastAsia="Arial" w:hAnsi="Arial"/>
          <w:sz w:val="16"/>
          <w:szCs w:val="16"/>
          <w:b w:val="1"/>
          <w:bCs w:val="1"/>
          <w:i w:val="1"/>
          <w:iCs w:val="1"/>
          <w:color w:val="auto"/>
        </w:rPr>
        <w:t>Even if we receive marketing approval of any of our product candidates, our products may become subject to unfavorable pricing regulations, third-party reimbursement practices or healthcare reform initiatives, any of which would harm our business.</w:t>
      </w:r>
    </w:p>
    <w:p>
      <w:pPr>
        <w:spacing w:after="0" w:line="3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8"/>
          <w:szCs w:val="18"/>
          <w:color w:val="auto"/>
        </w:rPr>
        <w:t>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0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81"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14"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marketing approval, recall, restriction on the approval or a “black box” warning or contraindication for an approved drug;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and/or increased product liability insurance costs;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0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11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our ability to successfully commercialize our technology and products may be impaired or we may not be able to compete effectively in our market.</w:t>
      </w:r>
    </w:p>
    <w:p>
      <w:pPr>
        <w:spacing w:after="0" w:line="96"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exploiting our platform technologies, our pipeline drug product candidates, any future drug product candidates we may develop and their use or manufacture.</w:t>
      </w:r>
    </w:p>
    <w:p>
      <w:pPr>
        <w:spacing w:after="0" w:line="100"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Our commercial success depends in part on our ability to obtain and maintain patents and other proprietary protection in the United States and other countries with respect to our proprietary technology and products. We seek to protect our proprietary position by filing patent applications in the United States and abroad related to our novel technologies and product candidates. Any disclosure to or misappropriation by third parties of our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confidential proprietary information could enable competitors to quickly duplicate or surpass our technological achievements, thus eroding our competitive position in our market. Moreover, the patent applications we own, co-own or license may fail to result in issued patents in the United States or in other foreign countries.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or that we license to our collaborators. Therefore, these patents and applications may not be prosecuted and enforced in a manner consistent with the best interests of our business.</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patent position of the biopharmaceutical industry generally is highly uncertain, involves complex legal and factual questions and has been the subject of much litigation.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co-owned or licensed patents or pending patent applications, or that we were the first inventors to file for patent protection of such inventions. As a result, the issuance, scope, validity, enforceability and commercial value of our patent rights or those of our collaborators are highly uncertain. Our pending and future patent applications may not result in patents being issued that protect our technology or products,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owned, co-owned and licensed patent estate consists principally of patent applications, many of which are at an early stage of prosecution. Even if our owned, co-owned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co-owned or licensed patents by developing similar or alternative technologies or products in a non-infringing manner.</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co-owned and licensed patents or patents obtained by our collaborators may be challenged in the courts or patent offices in the United States and abroad. These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our drug product candidates might expire before or shortly after they are commercialized. As a result, our owned, co-owned and licensed patent portfolio, or that of our collaborators, may not provide us with sufficient rights to exclude others from commercializing products similar or identical to ours.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81"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On September 16, 2011, the Leahy-Smith America Invents Act, or the Leahy-Smith Act, was signed into law and made a number of significant changes to United States patent law. These changes include provisions that affect the way patent applications are prosecuted and may also affect patent litigation. The United States Patent and Trademark Office, or the USPTO, developed new regulations and procedures to govern administration of the Leahy-Smith Act and many of the substantive changes to patent law associated with the Leahy-Smith Act, including the first-inventor-to-file provisions, became effective on March 16, 2013. The Leahy-Smith Act and its implementation could increase the uncertainties and costs surrounding the prosecution of our patent applications and the enforcement or defense of our issued patents, all of which could have an adverse effect on our business and financial condition. The first-to-file provision of the Leahy-Smith Act requires us to act promptly during the period from invention to filing of a patent application. However, even with the intention to act promptly, circumstances could prevent us from promptly filing or prosecuting patent applications on our inventions. The Leahy-Smith Act also enlarged the scope of disclosures that qualify as prior art, which can impact our ability to receive patent protection for an invention.</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The Leahy-Smith Act created, for the first time, new procedures under which third parties may challenge issued patents in the United States,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derivations proceedings, all of which are adversarial proceedings conducted at the USPTO. Since the effectiveness of the Leahy-Smith Act, some third parties have been using these types of actions to seek and achieve the cancellation of selected or all claims of issued patents of their competitors. Under the Leahy-Smith Act, for a patent with a priority date of March 16, 2013 or later (which is the case for all of our patent filings), a third party can file a petition for post-grant review at any time during a nine-month window commencing at the time of issuance of the patent. In addition, for a patent with a priority date of March 16, 2013 or later, a third party can file a petition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after the nine-month period for filing a post-grant review petition has expired. Post-grant review proceedings can be brought on any ground of challenge, whereas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proceedings can only be brought to raise a challenge based on published prior art. Under applicable law, the standard of review for these types of adversarial actions at the USPTO are conducted without the presumption of validity afforded to U.S. patents, which is the standard that applies if a third party were to seek to invalidate a patent through a lawsuit filed in the U.S. federal courts. The USPTO issued a Final Rule on November 11, 2018 announcing that it will now use the same claim construction currently used in the U.S. federal courts—which is the plain and ordinary meaning of words used— to interpret patent claims in these USPTO proceedings. As a result of this regulatory landscape, if any of our patents are challenged by a third party in a USPTO proceeding of this nature, there is no guarantee that we will be successful in defending the challenged patent, which could result in our losing rights under the challenged patent in part or in whole.</w:t>
      </w:r>
    </w:p>
    <w:p>
      <w:pPr>
        <w:spacing w:after="0" w:line="105" w:lineRule="exact"/>
        <w:rPr>
          <w:sz w:val="20"/>
          <w:szCs w:val="20"/>
          <w:color w:val="auto"/>
        </w:rPr>
      </w:pPr>
    </w:p>
    <w:p>
      <w:pPr>
        <w:ind w:left="120" w:right="740"/>
        <w:spacing w:after="0" w:line="238" w:lineRule="auto"/>
        <w:rPr>
          <w:sz w:val="20"/>
          <w:szCs w:val="20"/>
          <w:color w:val="auto"/>
        </w:rPr>
      </w:pPr>
      <w:r>
        <w:rPr>
          <w:rFonts w:ascii="Arial" w:cs="Arial" w:eastAsia="Arial" w:hAnsi="Arial"/>
          <w:sz w:val="18"/>
          <w:szCs w:val="18"/>
          <w:color w:val="auto"/>
        </w:rPr>
        <w:t>As a result of this legislation, the issuance, scope, validity, enforceability and commercial value of our patent rights, or those of our collaborators, are highly uncertain, which could have an adverse effect on our business, financial condition, results of operations and prospects.</w:t>
      </w:r>
    </w:p>
    <w:p>
      <w:pPr>
        <w:spacing w:after="0" w:line="80"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81" w:lineRule="exact"/>
        <w:rPr>
          <w:sz w:val="20"/>
          <w:szCs w:val="20"/>
          <w:color w:val="auto"/>
        </w:rPr>
      </w:pPr>
    </w:p>
    <w:p>
      <w:pPr>
        <w:ind w:left="120" w:right="980"/>
        <w:spacing w:after="0" w:line="239" w:lineRule="auto"/>
        <w:rPr>
          <w:sz w:val="20"/>
          <w:szCs w:val="20"/>
          <w:color w:val="auto"/>
        </w:rPr>
      </w:pPr>
      <w:r>
        <w:rPr>
          <w:rFonts w:ascii="Arial" w:cs="Arial" w:eastAsia="Arial" w:hAnsi="Arial"/>
          <w:sz w:val="18"/>
          <w:szCs w:val="18"/>
          <w:color w:val="auto"/>
        </w:rPr>
        <w:t>Competitors may infringe our issued patents, the patents of our licensors or collaborators or other intellectual property. To counter infringement or unauthorized use, we may be required to file infringement claims, which</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can be expensive, time-consuming and unpredictable. Any claims we assert against perceived infringers could provoke these parties to assert counterclaims against us alleging that we infringe their patents. In addition, in a patent infringement proceeding, a court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or actually invalidated, held unenforceable or interpreted narrowly. Even if we successfully assert our patents, a court may not award remedies that sufficiently compensate us for our losses.</w:t>
      </w:r>
    </w:p>
    <w:p>
      <w:pPr>
        <w:spacing w:after="0" w:line="81" w:lineRule="exact"/>
        <w:rPr>
          <w:sz w:val="20"/>
          <w:szCs w:val="20"/>
          <w:color w:val="auto"/>
        </w:rPr>
      </w:pPr>
    </w:p>
    <w:p>
      <w:pPr>
        <w:ind w:left="120" w:right="580"/>
        <w:spacing w:after="0" w:line="26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licenses of this nature may not be available or may not be available on commercially reasonable terms.</w:t>
      </w:r>
    </w:p>
    <w:p>
      <w:pPr>
        <w:spacing w:after="0" w:line="8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 third party may hold intellectual property, including patent rights, that are important or necessary to the development of our products or our collaborators’ products. It may, therefore, be necessary for us to use the patented or proprietary technology of a third party to commercialize our own technology or products or those of our collaborators, in which case we or our collaborators would be required to obtain a license from that third party. A license to that intellectual property may not be available or may not be available on commercially reasonable terms, which could have an adverse effect on our business and financial condition.</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that we may seek to acquire.</w:t>
      </w:r>
    </w:p>
    <w:p>
      <w:pPr>
        <w:spacing w:after="0" w:line="82"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81"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biopharmaceutical industry, as well as administrative proceedings for challenging patents, including reexamination,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or interference proceedings before the USPTO and oppositions and other comparable proceedings in foreign jurisdictions.</w:t>
      </w:r>
    </w:p>
    <w:p>
      <w:pPr>
        <w:spacing w:after="0" w:line="75"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 xml:space="preserve">We may become party to or threatened with future adversarial proceedings or litigation regarding intellectual property rights with respect to our products and technology, including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before the USPTO. Third parties may assert infringement claims against us based on existing patents or patents that may be granted in the future. As the bio-pharmaceutical industry expands and more patents are issued, the risk increases that our product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If we are found by a court of competent jurisdiction to infringe a third party’s intellectual property rights, we could be required to obtain a license from the applicable third-party intellectual property holder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86"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i w:val="1"/>
          <w:iCs w:val="1"/>
          <w:color w:val="auto"/>
        </w:rPr>
        <w:t>A number of other companies, as well as universities and other organizations, file and obtain patents in the same areas as our products, which are targeted protein degraders, and these patent filings could be asserted against us or our collaborators in the future, which could have an adverse effect on the success of our business and, if successful, could lead to expensive litigation that could affect the profitability of our products and/or prohibit the sale or use of our products.</w:t>
      </w:r>
    </w:p>
    <w:p>
      <w:pPr>
        <w:spacing w:after="0" w:line="96"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MonoDAC and BiDAC product candidates are small molecule pharmaceuticals, which degrade specific proteins. A number of companies and institutions have patent applications and issued patents in this general area, such as, for example, Arvinas, Inc., Cullgen, Inc., Kymera Therapeutics, LLC., the Dana-Farber Cancer Institute and its Center for Protein Degradation, the University of Michigan School of Medicine, Foghorn Therapeutics, Inc., Nurix Therapeutics, Inc., Monta Rosa Therapeutics, AG, BioTheryX, Inc., Bristol Myers Squibb, Roche, Novartis AG, Amgen Inc., AstraZeneca PLC, GlaxoSmithKline PLC, Vertex Pharmaceuticals, Inc. and others. If any of these companies or institutions or others not included in this list were to assert that one of its patents is infringed by any product we might develop or its use or manufacture, we or our collaborators may be drawn into expensive litigation, which could adversely affect our business prospects, financial condition and results of operations, require extensive time from and cause the distraction of members of our management team and employees at large. Further, if litigation of this nature were successful, that could have a material and adverse effect on the profitability of our products or prohibit their sale. We may not be aware of patent claims that are currently or may in the future be pending that could affect our business or products. Patent applications are typically published between six and eighteen months from filing and the presentation of new claims in already pending applications can sometimes not be visible to the public, which would include us, for a period of time. In addition, even after a patent application is publicly available, we may not yet have seen that patent application and may, therefore, not be aware of the claims or scope of filed and published patent applications. As a result, we cannot provide any assurance that a third party practicing in the general area of our technology will not present or has not presented a patent claim that covers one or more of our products or their methods of use or manufacture. If that were to occur, we or our collaborators, as applicable, may have to take steps to try to invalidate the applicable patent or application and, in a situation of that nature, we or our collaborators may either choose not to do so or our attempt may not be successful. If we determine that we require a license to a third party’s patent or patent application, we may discover that a license may not be available on reasonable terms, or at all, which could prevent us or our collaborators from selling a product or using our proprietary technologies.</w:t>
      </w: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which is also referred to as the Hatch Waxman Act, in the United States, which can increase the risk of litigation with generic companies trying to sell our products and may cause us to lose patent protection.</w:t>
      </w:r>
    </w:p>
    <w:p>
      <w:pPr>
        <w:spacing w:after="0" w:line="9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Because our clinical candidates are pharmaceutical molecules that will be reviewed by the Center for Drug Evaluation and Research of the FDA, after commercialization they will be subject in the United States to the patent litigation process of the Hatch-Waxman Act, as amended to date, which allows a generic company to submit an Abbreviated New Drug Application, or ANDA, to the FDA to obtain approval to sell a generic version of our drug using bioequivalence data only. Under amendments made to the Hatch-Waxman Act, we will have the opportunity to list our patents that cover our drug products or their respective methods of use in the FDA’s compendium of “Approved Drug Products with Therapeutic Equivalence Evaluation,” sometimes referred to as the FDA’s Orange Book.</w:t>
      </w:r>
    </w:p>
    <w:p>
      <w:pPr>
        <w:spacing w:after="0" w:line="10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or NCEs, which are drugs that contain no active portion that has been approved by the FDA in any other new drug application, or NDA. We expect that all of our products will qualify as NCEs. A generic company can submit an ANDA to the FDA four years after approval of any of our drug products. The submission of an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generic manufacturer elects the latter, we will have 45 days to bring a patent infringement lawsuit against the generic company. If we were to do so, that would likely initiate a challenge to one or more of our Orange Book listed patents based on arguments from the generic manufacturer that our listed patents are invalid, unenforceable or not infringed. Under amendments to the Hatch-Waxman Act, if a lawsuit is brought, the FDA is prevented from issuing a final approval on the generic drug until 30 months after the end of the data exclusivity period (7.5 years) or a final decision of a court holding that our asserted patent claims are invalid, unenforceable or not infringed. If we do not properly list our relevant patents in the Orange Book or if we fail to file a lawsuit in response to a certification from a generic company under an ANDA in a timely manner, or if we do not prevail in the resulting patent litigation, we can lose our ability to benefit from a proprietary market based on patent protection covering our drug products and we may find that physicians will switch to prescribing and dispensing generic versions of our drug products. Further, even if we were to list our relevant patents in the Orange Book correctly, bring a lawsuit in a timely manner and prevail in that lawsuit, the generic litigation may come at a significant cost to us, both in terms of attorneys’ fees and employee time and distraction over a long period. Further, it is common for more than one generic company to try to sell an innovator’s drug at the same time and, as a result, we may face the cost and distraction of multiple lawsuits from generic manufacturers at the same time. We may also determine that it is necessary to settle these types of lawsuits in a manner that allows the generic company to enter our market prior to the expiration of our patent or otherwise in a manner that adversely affects the strength, validity or enforceability of our patents.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U.S. Federal Trade Commission or a corresponding agency in another country based on how they have conducted or settled patent litigation related to pharmaceutical products. In fact, certain reviews have led to an allegation of an anti-trust violation, sometimes resulting in a fine or loss of rights. We cannot be sure that we would not also be subject to a review of this nature or that the result of a review of this nature would be favorable to us, or that any review of this nature would not result in a fine or penalty.</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The U.S. Federal Trade Commission, or FTC, has brought a number of lawsuits in federal court in the past few years to challenge ANDA litigation settlements reached between innovator companies and generic companies as anti-competitive. As an example, the FTC has taken an aggressive position that anything of value is a payment, whether money is paid or not. Under their approach, if an innovator, as part of a patent settlement, agrees not to launch or delay its launch of an authorized generic during the 180-day period granted to the first generic company to challenge an Orange Book listed patent covering an innovator drug, or negotiates a delay in entry without payment, the FTC may consider it an unacceptable reverse payment. Companies in the pharmaceutical industry have argued that these types of agreements are rational business decisions entered into by drug innovators as a way to address risk and that these settlements should, therefore, be immune from antitrust attack if the terms of the settlement are within the scope of the exclusionary potential of the patent. In 2013, the U.S. Supreme Court in a five-to-three decision in </w:t>
      </w:r>
      <w:r>
        <w:rPr>
          <w:rFonts w:ascii="Arial" w:cs="Arial" w:eastAsia="Arial" w:hAnsi="Arial"/>
          <w:sz w:val="18"/>
          <w:szCs w:val="18"/>
          <w:i w:val="1"/>
          <w:iCs w:val="1"/>
          <w:color w:val="auto"/>
        </w:rPr>
        <w:t>FTC v. Actavis, Inc.</w:t>
      </w:r>
      <w:r>
        <w:rPr>
          <w:rFonts w:ascii="Arial" w:cs="Arial" w:eastAsia="Arial" w:hAnsi="Arial"/>
          <w:sz w:val="18"/>
          <w:szCs w:val="18"/>
          <w:color w:val="auto"/>
        </w:rPr>
        <w:t xml:space="preserve"> rejected both the pharmaceutical industry’s and FTC’s arguments with regard to so-called reverse payments. Instead, the Supreme Court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drug to enter the market before the patent expires on the branded drug without the patentee paying the generic manufacturer. Further, whether a reverse payment is justified depends upon its size, scale in relation to the patentee’s anticipated future litigation costs, and independence from other services for which it might represent payment (as was the case in </w:t>
      </w:r>
      <w:r>
        <w:rPr>
          <w:rFonts w:ascii="Arial" w:cs="Arial" w:eastAsia="Arial" w:hAnsi="Arial"/>
          <w:sz w:val="18"/>
          <w:szCs w:val="18"/>
          <w:i w:val="1"/>
          <w:iCs w:val="1"/>
          <w:color w:val="auto"/>
        </w:rPr>
        <w:t>Actavis</w:t>
      </w:r>
      <w:r>
        <w:rPr>
          <w:rFonts w:ascii="Arial" w:cs="Arial" w:eastAsia="Arial" w:hAnsi="Arial"/>
          <w:sz w:val="18"/>
          <w:szCs w:val="18"/>
          <w:color w:val="auto"/>
        </w:rPr>
        <w:t>), as well as the lack of any other convincing justification. The Supreme Court instead held that reverse payment settlements can potentially violate antitrust laws and are subject to the standard antitrust rule-of-reason analysis, with the burden of proving that an agreement is unlawful on the FTC. In reaching this decision, the Supreme Court left to the lower courts the structuring of this rule of reason analysis.</w:t>
      </w:r>
    </w:p>
    <w:p>
      <w:pPr>
        <w:spacing w:after="0" w:line="105"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If we are faced with drug patent litigation, including Hatch-Waxman litigation with a generic company, we could be faced with an FTC challenge of this nature, which challenge could impact how or whether we settle the case and, even if we strongly disagree with the FTC’s position, we could face a significant expense or penalty. Any litigation settlements we enter into with generic companies under the Hatch-Waxman Act could also be challenged by third-party payors such as insurance companies, direct purchasers or others who consider themselves adversely affected by the settlement. These kinds of follow-on lawsuits, which may be class action suits, can be expensive and can continue over multiple years. If we were to face lawsuits of this nature, we may not be successful in defeating these claims and we may, therefore, be subject to large payment obligations, which we may not be able to satisfy in whole or in part.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220"/>
        <w:spacing w:after="0" w:line="325" w:lineRule="auto"/>
        <w:rPr>
          <w:sz w:val="20"/>
          <w:szCs w:val="20"/>
          <w:color w:val="auto"/>
        </w:rPr>
      </w:pPr>
      <w:r>
        <w:rPr>
          <w:rFonts w:ascii="Arial" w:cs="Arial" w:eastAsia="Arial" w:hAnsi="Arial"/>
          <w:sz w:val="16"/>
          <w:szCs w:val="16"/>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35"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length of the patent term extension is typically calculated as one-half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our failure to apply within the applicable period, failure to apply prior to the expiration of relevant patents or other failure to satisfy any of the numerous applicable requirements. Moreover, the applicable authorities, including the FDA and the USPTO in the United States and any equivalent regulatory authority in other countries, may not agree with our assessment of whether extensions of this nature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an adverse effect on our ability to generate product revenue.</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1997, as part of the Food &amp; Drug Administration Modernization Act, or FDAMA, Congress enacted a law that provides incentives to drug manufacturers who conduct studies of drugs in children. The law, which provides six-months exclusivity in return for conducting pediatric studies, is referred to as the “pediatric exclusivity provision.” If we were to conduct clinical trials that comply with the FDAMA, we could receive an additional six-month term added to our regulatory data exclusivity period and on the patent term extension period, if received, on our product. However, if we choose not to carry out pediatric studies that comply with the FDAMA, or carry out studies that are not accepted by the FDA for this purpose, we would not receive this additional six-month exclusivity extension to our data exclusivity or our patent term extension.</w:t>
      </w:r>
    </w:p>
    <w:p>
      <w:pPr>
        <w:spacing w:after="0" w:line="101"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this period can be extended to five and a half years if data from clinical trials is obtained in accordance with an agreed Pediatric Investigation Plan. Although all countries in Europe must provide supplementary protection certificates, there is no unified legislation among European countries and, as a result, drug developers must apply for supplementary protection certificates on a country-by-country basis. As a result, a company may need to expend significant resources to apply for and receive these certificates in all relevant countries and may receive them in some, but not all, countries, if at all.</w:t>
      </w:r>
    </w:p>
    <w:p>
      <w:pPr>
        <w:spacing w:after="0" w:line="82"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Weakening patent laws and enforcement by courts in the United States and foreign countries may impact our ability to protect our markets.</w:t>
      </w:r>
    </w:p>
    <w:p>
      <w:pPr>
        <w:spacing w:after="0" w:line="81"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6"/>
          <w:szCs w:val="16"/>
          <w:color w:val="auto"/>
        </w:rPr>
        <w:t>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75"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spacing w:after="0" w:line="62" w:lineRule="exact"/>
        <w:rPr>
          <w:sz w:val="20"/>
          <w:szCs w:val="20"/>
          <w:color w:val="auto"/>
        </w:rPr>
      </w:pPr>
    </w:p>
    <w:p>
      <w:pPr>
        <w:ind w:left="120" w:right="260"/>
        <w:spacing w:after="0" w:line="325"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we, our employees, consultants or contractors have misappropriated the applicable third party’s intellectual property or claiming ownership of what we regard as our own intellectual property.</w:t>
      </w:r>
    </w:p>
    <w:p>
      <w:pPr>
        <w:spacing w:after="0" w:line="35"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We may also be subject to claims that former employers or other third parties have an ownership interest in our patents.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reputational loss and be a distraction to our management and other employees.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any resulting intellectual property to us, we may be unsuccessful in executing an agreement to that effect with each party who in fact develops intellectual property that we regard as our own. Assignment agreements of this nature may not be self-executing or may be breached and we may be forced to bring claims against third parties or defend claims they may bring against us, to determine the ownership of what we regard as our intellectual property. In addition, an employee or contractor could create an invention but not inform us of it, in which case we could lose the benefit of the invention and the employee or contractor may leave to develop the invention elsewhere.</w:t>
      </w:r>
    </w:p>
    <w:p>
      <w:pPr>
        <w:spacing w:after="0" w:line="81" w:lineRule="exact"/>
        <w:rPr>
          <w:sz w:val="20"/>
          <w:szCs w:val="20"/>
          <w:color w:val="auto"/>
        </w:rPr>
      </w:pPr>
    </w:p>
    <w:p>
      <w:pPr>
        <w:ind w:left="120" w:right="800"/>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1"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proceedings of this nature more effectively than we can because of their greater financial resources. Uncertainties resulting from the initiation and continuation of patent litigation or other proceedings could compromise our ability to compete in the marketplace.</w:t>
      </w:r>
    </w:p>
    <w:p>
      <w:pPr>
        <w:spacing w:after="0" w:line="81"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9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Periodic maintenance fees on any issued patent are due to be paid to the USPTO and patent offices in foreign countries in several stages over the lifetime of the patent. The USPTO and patent offices in foreign countries require compliance with many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20" w:right="100"/>
        <w:spacing w:after="0" w:line="267"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These agreements may not effectively prevent disclosure of confidential information nor result in the effective assignment to us of intellectual property and may not provide an adequate remedy in the event of unauthorized disclosure of confidential information or other breaches of the agreements. In addition, others may independently discover our trade secrets and proprietary information. In that case, we could not assert any trade secret rights against that third party.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of a dispute of this nature is inherently unpredictable. Costly and time-consuming litigation could be necessary to seek to enforce and determine the scope of our proprietary rights and our failure to obtain or maintain trade secret protection could adversely affect our competitive business position. In addition, some courts outside of the United States are less willing or unwilling to protect trade secrets. The Defend Trade Secrets Act of 2016 is a U.S. federal law</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that allows an owner of a trade secret to sue in federal court when its trade secret has been misappropriated. Congress passed this law in an attempt to strengthen the rights of trade secret owners whose valuable assets are taken without authorization.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83" w:lineRule="exact"/>
        <w:rPr>
          <w:sz w:val="20"/>
          <w:szCs w:val="20"/>
          <w:color w:val="auto"/>
        </w:rPr>
      </w:pPr>
    </w:p>
    <w:p>
      <w:pPr>
        <w:ind w:left="120" w:right="880"/>
        <w:spacing w:after="0" w:line="262" w:lineRule="auto"/>
        <w:rPr>
          <w:sz w:val="20"/>
          <w:szCs w:val="20"/>
          <w:color w:val="auto"/>
        </w:rPr>
      </w:pPr>
      <w:r>
        <w:rPr>
          <w:rFonts w:ascii="Arial" w:cs="Arial" w:eastAsia="Arial" w:hAnsi="Arial"/>
          <w:sz w:val="18"/>
          <w:szCs w:val="18"/>
          <w:b w:val="1"/>
          <w:bCs w:val="1"/>
          <w:i w:val="1"/>
          <w:iCs w:val="1"/>
          <w:color w:val="auto"/>
        </w:rPr>
        <w:t>We only have limited geographical protection with respect to certain of our patents and we may not be able to protect our intellectual property rights throughout the world.</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Filing, prosecuting and defending patents covering our product candidates in all countries throughout the world would be prohibitively expensive. As a result, our intellectual property rights in some countries outside the United States can be less extensive than the protection we might have in the United States. In-licensing patents covering our product candidates in all countries throughout the world may similarly be prohibitively expensive, if these in-licensing opportunities are available to us at all. Further, in-licensing or filing, prosecuting and defending patents even in only those jurisdictions in which we develop or commercialize our product candidates may be prohibitively expensive or impractical. Competitors may use our and our licensors’ technologies in jurisdictions where we have not obtained patent protection or licensed patents to develop their own products and, further, may export otherwise infringing products to territories where we and our licensors have patent protection, but enforcement is not as strong as that in the United States or the European Union. These products may compete with our product candidates, and our or our licensors’ patents or other intellectual property rights may not be effective or sufficient to prevent them from competing.</w:t>
      </w:r>
    </w:p>
    <w:p>
      <w:pPr>
        <w:spacing w:after="0" w:line="106" w:lineRule="exact"/>
        <w:rPr>
          <w:sz w:val="20"/>
          <w:szCs w:val="20"/>
          <w:color w:val="auto"/>
        </w:rPr>
      </w:pPr>
    </w:p>
    <w:p>
      <w:pPr>
        <w:ind w:left="120" w:right="160"/>
        <w:spacing w:after="0" w:line="269" w:lineRule="auto"/>
        <w:rPr>
          <w:sz w:val="20"/>
          <w:szCs w:val="20"/>
          <w:color w:val="auto"/>
        </w:rPr>
      </w:pPr>
      <w:r>
        <w:rPr>
          <w:rFonts w:ascii="Arial" w:cs="Arial" w:eastAsia="Arial" w:hAnsi="Arial"/>
          <w:sz w:val="16"/>
          <w:szCs w:val="16"/>
          <w:color w:val="auto"/>
        </w:rPr>
        <w:t>In addition, we may decide to abandon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8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Moreover, the legal systems of certain countries, particularly certain developing countries, do not favor the enforcement of patents, trade secrets or other forms of intellectual property, which could make it difficult for us to prevent competitors in some jurisdictions from marketing competing products in violation of our proprietary rights generally.</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Proceedings to enforce our patent rights in foreign jurisdictions, whether or not successful, are likely to result in substantial costs and divert our efforts and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that we initiate, while damages or other remedies may be awarded to the adverse party, which may be commercially significant. If we prevail, damages or other remedies awarded to us, if any, may not be commercially meaningful. Accordingly, our efforts to enforce our intellectual</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101"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 some jurisdictions, compulsory licensing laws compel patent owners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under patents relevant to our business, or if we or our licensors are prevented from enforcing patent rights against third parties, our competitive position may be substantially impaired in such jurisdictions.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regulatory matters</w:t>
      </w:r>
    </w:p>
    <w:p>
      <w:pPr>
        <w:spacing w:after="0" w:line="114" w:lineRule="exact"/>
        <w:rPr>
          <w:sz w:val="20"/>
          <w:szCs w:val="20"/>
          <w:color w:val="auto"/>
        </w:rPr>
      </w:pPr>
    </w:p>
    <w:p>
      <w:pPr>
        <w:jc w:val="both"/>
        <w:ind w:left="120" w:right="62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and, if we are ultimately unable to obtain marketing approval for our product candidates, our business will be substantially harmed.</w:t>
      </w:r>
    </w:p>
    <w:p>
      <w:pPr>
        <w:spacing w:after="0" w:line="9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117"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that a product candidate is safe and effective for its proposed indication;</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may not meet the level of statistical significance required by the FDA for approval;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17"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data collected from clinical trials of our product candidates may not be sufficient to support the submission of an NDA to the FDA or other submission or to obtain marketing approval in the United States;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24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may significantly change in a manner rendering our clinical data insufficient for approval.</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has substantial discretion in the approval process and determining when or whether regulatory approval will be obtained for any of our product candidates. Even if we believe the data collected from clinical trials of our product candidates are promising, that data may not be sufficient to support approval by the FDA.</w:t>
      </w:r>
    </w:p>
    <w:p>
      <w:pPr>
        <w:spacing w:after="0" w:line="103"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3" w:lineRule="exact"/>
        <w:rPr>
          <w:sz w:val="20"/>
          <w:szCs w:val="20"/>
          <w:color w:val="auto"/>
        </w:rPr>
      </w:pPr>
    </w:p>
    <w:p>
      <w:pPr>
        <w:ind w:left="120" w:right="740"/>
        <w:spacing w:after="0" w:line="325" w:lineRule="auto"/>
        <w:rPr>
          <w:sz w:val="20"/>
          <w:szCs w:val="20"/>
          <w:color w:val="auto"/>
        </w:rPr>
      </w:pPr>
      <w:r>
        <w:rPr>
          <w:rFonts w:ascii="Arial" w:cs="Arial" w:eastAsia="Arial" w:hAnsi="Arial"/>
          <w:sz w:val="16"/>
          <w:szCs w:val="16"/>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35" w:lineRule="exact"/>
        <w:rPr>
          <w:sz w:val="20"/>
          <w:szCs w:val="20"/>
          <w:color w:val="auto"/>
        </w:rPr>
      </w:pPr>
    </w:p>
    <w:p>
      <w:pPr>
        <w:ind w:left="120" w:right="980"/>
        <w:spacing w:after="0" w:line="239"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80" w:lineRule="exact"/>
        <w:rPr>
          <w:sz w:val="20"/>
          <w:szCs w:val="20"/>
          <w:color w:val="auto"/>
        </w:rPr>
      </w:pPr>
    </w:p>
    <w:p>
      <w:pPr>
        <w:ind w:left="120" w:right="780"/>
        <w:spacing w:after="0" w:line="262"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380"/>
        <w:spacing w:after="0" w:line="262" w:lineRule="auto"/>
        <w:rPr>
          <w:sz w:val="20"/>
          <w:szCs w:val="20"/>
          <w:color w:val="auto"/>
        </w:rPr>
      </w:pPr>
      <w:r>
        <w:rPr>
          <w:rFonts w:ascii="Arial" w:cs="Arial" w:eastAsia="Arial" w:hAnsi="Arial"/>
          <w:sz w:val="18"/>
          <w:szCs w:val="18"/>
          <w:b w:val="1"/>
          <w:bCs w:val="1"/>
          <w:i w:val="1"/>
          <w:iCs w:val="1"/>
          <w:color w:val="auto"/>
        </w:rPr>
        <w:t>be subject to penalties if we fail to comply with regulatory requirements or experience unanticipated problems with our product candidates.</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03"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8"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15" w:lineRule="exact"/>
        <w:rPr>
          <w:sz w:val="20"/>
          <w:szCs w:val="20"/>
          <w:color w:val="auto"/>
        </w:rPr>
      </w:pPr>
    </w:p>
    <w:p>
      <w:pPr>
        <w:ind w:left="340" w:hanging="224"/>
        <w:spacing w:after="0" w:line="23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w:t>
      </w:r>
    </w:p>
    <w:p>
      <w:pPr>
        <w:spacing w:after="0" w:line="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ind w:left="120" w:right="520"/>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9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seek Breakthrough Therapy designation for our CFT7455 and CFT8634 product candidates and some or all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100"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CFT7455 and CFT8634 and some or all of our future product candidates for the treatment of various cancers, there can be no assurance that we will receive Breakthrough Therapy designations.</w:t>
      </w:r>
    </w:p>
    <w:p>
      <w:pPr>
        <w:spacing w:after="0" w:line="58"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A Fast Track designation by the FDA, even if granted for CFT7455 and/or CFT8634, or any of our other current or future product candidates, may not lead to a faster development or regulatory review or approval process and does not increase the likelihood that our product candidates will receive marketing approval.</w:t>
      </w:r>
    </w:p>
    <w:p>
      <w:pPr>
        <w:spacing w:after="0" w:line="9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We may seek Fast Track designation for one or more of our future product candidates. If a drug is intended for the treatment of a serious or life-threatening condition and the drug demonstrates the potential to address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unmet medical needs for this condition, the drug sponsor may apply for FDA Fast Track designation for a particular indication. We may seek Fast Track designation for CFT7455 and/or CFT8634 and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264"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b w:val="1"/>
          <w:bCs w:val="1"/>
          <w:i w:val="1"/>
          <w:iCs w:val="1"/>
          <w:color w:val="auto"/>
        </w:rPr>
        <w:t>If we decide to seek Orphan Drug Designation for any of our current or future product candidates, we may be unsuccessful or may be unable to maintain the benefits associated with Orphan Drug Designation, including the potential for supplemental market exclusivity.</w:t>
      </w:r>
    </w:p>
    <w:p>
      <w:pPr>
        <w:spacing w:after="0" w:line="94"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We may seek Orphan Drug Designation for one or more of our current or future product candidates. Regulatory authorities in some jurisdictions, including the United States and Europe,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81" w:lineRule="exact"/>
        <w:rPr>
          <w:sz w:val="20"/>
          <w:szCs w:val="20"/>
          <w:color w:val="auto"/>
        </w:rPr>
      </w:pPr>
    </w:p>
    <w:p>
      <w:pPr>
        <w:ind w:left="120" w:right="220"/>
        <w:spacing w:after="0" w:line="269" w:lineRule="auto"/>
        <w:rPr>
          <w:sz w:val="20"/>
          <w:szCs w:val="20"/>
          <w:color w:val="auto"/>
        </w:rPr>
      </w:pPr>
      <w:r>
        <w:rPr>
          <w:rFonts w:ascii="Arial" w:cs="Arial" w:eastAsia="Arial" w:hAnsi="Arial"/>
          <w:sz w:val="16"/>
          <w:szCs w:val="16"/>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indication or disease. Further, the FDA can waive orphan drug exclusivity if we are unable to manufacture sufficient supply of our product.</w:t>
      </w:r>
    </w:p>
    <w:p>
      <w:pPr>
        <w:spacing w:after="0" w:line="78" w:lineRule="exact"/>
        <w:rPr>
          <w:sz w:val="20"/>
          <w:szCs w:val="20"/>
          <w:color w:val="auto"/>
        </w:rPr>
      </w:pPr>
    </w:p>
    <w:p>
      <w:pPr>
        <w:ind w:left="120" w:right="240"/>
        <w:spacing w:after="0" w:line="275" w:lineRule="auto"/>
        <w:rPr>
          <w:sz w:val="20"/>
          <w:szCs w:val="20"/>
          <w:color w:val="auto"/>
        </w:rPr>
      </w:pPr>
      <w:r>
        <w:rPr>
          <w:rFonts w:ascii="Arial" w:cs="Arial" w:eastAsia="Arial" w:hAnsi="Arial"/>
          <w:sz w:val="16"/>
          <w:szCs w:val="16"/>
          <w:color w:val="auto"/>
        </w:rPr>
        <w:t>We may seek Orphan Drug Designations for CFT7455, CFT8634 and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Drug and Cosmetic Act, and regulations promulgated thereunder, in a way that limits or blocks our ability to obtain an Orphan Drug Designation or orphan drug exclusivity, if our product candidates are approved, for our targeted indications.</w:t>
      </w:r>
    </w:p>
    <w:p>
      <w:pPr>
        <w:spacing w:after="0" w:line="82"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auto"/>
        </w:rPr>
        <w:t>Accelerated approval by the FDA, even if granted for CFT7455 and/or CFT8634, or any other current or future product candidates, may not lead to a faster development or regulatory review or approval process and it does not increase the likelihood that our product candidates will receive marketing approval.</w:t>
      </w:r>
    </w:p>
    <w:p>
      <w:pPr>
        <w:spacing w:after="0" w:line="94"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We plan to seek accelerated approval of CFT7455 and CFT8634 and may seek approval of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 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for any of our product candidates, we may not experience a faster development or regulatory review or approval process. Further, receiving accelerated approval does not provide assurance of ultimate full FDA approval.</w:t>
      </w:r>
    </w:p>
    <w:p>
      <w:pPr>
        <w:spacing w:after="0" w:line="86" w:lineRule="exact"/>
        <w:rPr>
          <w:sz w:val="20"/>
          <w:szCs w:val="20"/>
          <w:color w:val="auto"/>
        </w:rPr>
      </w:pPr>
    </w:p>
    <w:p>
      <w:pPr>
        <w:ind w:left="120" w:right="380"/>
        <w:spacing w:after="0" w:line="248"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w:t>
      </w:r>
    </w:p>
    <w:p>
      <w:pPr>
        <w:spacing w:after="0" w:line="10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01"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spacing w:after="0" w:line="267"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to cover or not to separately reimburse for our medical products or therapies using our products could reduce physician utilization of our products once approved. 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100"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 &amp; Medicaid Services, or CMS, an agency within the U.S. Department of Health and Human Services, or HHS. CMS will decide whether and to what extent our products will be covered and reimbursed under Medicare and private payors tend to follow CMS to a substantial degree. Factors payors consider in determining reimbursement are based on whether the product is:</w:t>
      </w:r>
    </w:p>
    <w:p>
      <w:pPr>
        <w:spacing w:after="0" w:line="115"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ind w:left="340" w:hanging="224"/>
        <w:spacing w:after="0" w:line="23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ind w:left="340" w:hanging="224"/>
        <w:spacing w:after="0" w:line="23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ind w:left="340" w:hanging="224"/>
        <w:spacing w:after="0" w:line="23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04" w:lineRule="exact"/>
        <w:rPr>
          <w:sz w:val="20"/>
          <w:szCs w:val="20"/>
          <w:color w:val="auto"/>
        </w:rPr>
      </w:pPr>
    </w:p>
    <w:p>
      <w:pPr>
        <w:ind w:left="120" w:right="540"/>
        <w:spacing w:after="0" w:line="239" w:lineRule="auto"/>
        <w:rPr>
          <w:sz w:val="20"/>
          <w:szCs w:val="20"/>
          <w:color w:val="auto"/>
        </w:rPr>
      </w:pPr>
      <w:r>
        <w:rPr>
          <w:rFonts w:ascii="Arial" w:cs="Arial" w:eastAsia="Arial" w:hAnsi="Arial"/>
          <w:sz w:val="18"/>
          <w:szCs w:val="18"/>
          <w:color w:val="auto"/>
        </w:rPr>
        <w:t>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06"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Lastly, in some foreign countries, the proposed pricing for a drug must be approved before it may be lawfully marketed. The requirements governing drug pricing vary widely from country to country. For example, countries in the European Union, or EU, Member States can restrict the range of medicinal products for which their national health insurance systems provide reimbursement and they can control the prices of medicinal</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Social Security Fund.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spacing w:after="0" w:line="86" w:lineRule="exact"/>
        <w:rPr>
          <w:sz w:val="20"/>
          <w:szCs w:val="20"/>
          <w:color w:val="auto"/>
        </w:rPr>
      </w:pPr>
    </w:p>
    <w:p>
      <w:pPr>
        <w:ind w:left="120" w:right="220"/>
        <w:spacing w:after="0" w:line="262"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8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Affordable Care Act, or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15" w:lineRule="exact"/>
        <w:rPr>
          <w:sz w:val="20"/>
          <w:szCs w:val="20"/>
          <w:color w:val="auto"/>
        </w:rPr>
      </w:pPr>
    </w:p>
    <w:p>
      <w:pPr>
        <w:ind w:left="340" w:right="200" w:hanging="224"/>
        <w:spacing w:after="0" w:line="23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113"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14" w:lineRule="exact"/>
        <w:rPr>
          <w:rFonts w:ascii="Arial" w:cs="Arial" w:eastAsia="Arial" w:hAnsi="Arial"/>
          <w:sz w:val="18"/>
          <w:szCs w:val="18"/>
          <w:color w:val="auto"/>
        </w:rPr>
      </w:pPr>
    </w:p>
    <w:p>
      <w:pPr>
        <w:ind w:left="340" w:right="440" w:hanging="224"/>
        <w:spacing w:after="0" w:line="23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creation of a new Patient-Centered Outcomes Research Institute to oversee and conduct comparative clinical effectiveness research, as well as funding for such research; and</w:t>
      </w:r>
    </w:p>
    <w:p>
      <w:pPr>
        <w:spacing w:after="0" w:line="114" w:lineRule="exact"/>
        <w:rPr>
          <w:rFonts w:ascii="Arial" w:cs="Arial" w:eastAsia="Arial" w:hAnsi="Arial"/>
          <w:sz w:val="18"/>
          <w:szCs w:val="18"/>
          <w:color w:val="auto"/>
        </w:rPr>
      </w:pPr>
    </w:p>
    <w:p>
      <w:pPr>
        <w:ind w:left="340" w:right="38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0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There have been judicial, Congressional and executive branch challenges to certain aspects of the ACA. While Congress has not passed comprehensive repeal legislation, it has enacted laws that modify certain provisions of the ACA such as removing penalties, effective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coverage and medical device tax and, effective January 1, 2021, also eliminated the health insurer tax. On December 14, 2018, a U.S. District Court Judge in Texas ruled that the ACA is unconstitutional in its entirety because the “individual mandate” was repealed by Congress as part of the TCJA. Additionally, on December 18, 2019, the U.S. Court of Appeals for the 5th Circuit ruled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or how the Supreme Court will rule. On February 10, 2021, the Biden administration withdrew the federal government’s support for overturning the ACA. Although the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 It is also unclear how the Supreme Court ruling, other litigation and the healthcare reform measures of the Biden administration will impact the ACA and our business.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pursuant to the CARES Act, and subsequent legislation, these Medicare sequester reductions have been suspended from May 1, 2020 through December 31, 2021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Bipartisan Budget Act of 2018, or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These laws or any other similar laws introduced in the future may result in additional reductions in Medicare and other health care funding, which could negatively affect our customers and accordingly, our financial operations.</w:t>
      </w:r>
    </w:p>
    <w:p>
      <w:pPr>
        <w:spacing w:after="0" w:line="10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former Trump administration used several means to propose or implement drug pricing reform, including through federal budget proposals, executive orders and policy initiatives. For example, former President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Trump announced several executive orders related to prescription drug pricing that sought to implement several of the former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2020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Court for the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the new safe harbor for point-of-sale reductions in price for prescription pharmaceutical products and pharmacy benefit manager service fees has also been delayed until January 1, 2023. Although a number of these and other healthcare reform measures may require additional authorization to become effective, and the Biden administration may reverse or otherwise change these measures, Congress has indicated that it will continue to seek new legislative measures to control drug costs.</w:t>
      </w:r>
    </w:p>
    <w:p>
      <w:pPr>
        <w:spacing w:after="0" w:line="104"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for an FDA-approved drug that was originally intended to be marketed in a foreign country and that was authorized for sale in that foreign country. The market implications of the final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develop and adversely affect our future revenues and prospects for profitability. Further, legally mandated price controls on payment amounts by third-party payors or other restrictions could adversely affect our business prospects,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This could result in reduced demand for any product candidate we develop or could result in additional pricing pressures.</w:t>
      </w:r>
    </w:p>
    <w:p>
      <w:pPr>
        <w:spacing w:after="0" w:line="100"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for companies selling products in Canada.</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will be taken in response to the COVID-19 pandemic. 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83" w:lineRule="exact"/>
        <w:rPr>
          <w:sz w:val="20"/>
          <w:szCs w:val="20"/>
          <w:color w:val="auto"/>
        </w:rPr>
      </w:pPr>
    </w:p>
    <w:p>
      <w:pPr>
        <w:ind w:left="120" w:right="220"/>
        <w:spacing w:after="0" w:line="262" w:lineRule="auto"/>
        <w:rPr>
          <w:sz w:val="20"/>
          <w:szCs w:val="20"/>
          <w:color w:val="auto"/>
        </w:rPr>
      </w:pPr>
      <w:r>
        <w:rPr>
          <w:rFonts w:ascii="Arial" w:cs="Arial" w:eastAsia="Arial" w:hAnsi="Arial"/>
          <w:sz w:val="18"/>
          <w:szCs w:val="18"/>
          <w:b w:val="1"/>
          <w:bCs w:val="1"/>
          <w:i w:val="1"/>
          <w:iCs w:val="1"/>
          <w:color w:val="auto"/>
        </w:rPr>
        <w:t>We may face potential liability under applicable privacy laws if we obtain identifiable patient health information from clinical trials sponsored by us.</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Most healthcare providers, including certain research institutions from which we may obtain patient health information, are subject to privacy and security regulations promulgated under the Health Insurance Portability and Accountability Act of 1966, or HIPAA, as amended by the Health Information Technology for Economic and Clinical Health Act. Depending on the facts and circumstances, we could be subject to civil, criminal, and administrative penalties if we obtain, use, or disclose individually identifiable health information maintained by a HIPAA-covered entity in a manner that is not authorized or permitted by HIPAA. In addition, we may be subject to state laws requiring notification of affected individuals and state regulators in the event of a breach of personal information, which is a broader class of information than the health information protected by HIPAA.</w:t>
      </w:r>
    </w:p>
    <w:p>
      <w:pPr>
        <w:spacing w:after="0" w:line="101"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68" w:lineRule="auto"/>
        <w:rPr>
          <w:sz w:val="20"/>
          <w:szCs w:val="20"/>
          <w:color w:val="auto"/>
        </w:rPr>
      </w:pPr>
      <w:r>
        <w:rPr>
          <w:rFonts w:ascii="Arial" w:cs="Arial" w:eastAsia="Arial" w:hAnsi="Arial"/>
          <w:sz w:val="16"/>
          <w:szCs w:val="16"/>
          <w:color w:val="auto"/>
        </w:rPr>
        <w:t>us by governmental entities or others. Further, the California Consumer Privacy Act of 2018, or the CCPA, went into effect in January 2020. The CCPA provides new data privacy rights for consumers and new operational requirements for companies, including placing increased privacy and security obligations on entities handling certain personal data of consumers or households. These requirements could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 which exemplifies the vulnerability of our business to the evolving regulatory environment related to personal data and protected health information.</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expect that there will continue to be new laws, regulations and industry standards concerning privacy, data protection and information security proposed and enacted in various international jurisdictions. For example, European legislators adopted the GDPR, which became effective on May 25, 2018. The GDPR further implemented through binding guidance by the European Data Protection Board (“EDPB”) (and supplemented by national laws in individual EU member states), imposes more stringent data protection compliance requirements and provides for more significant penalties for noncompliance in Europe. The GDPR creates new compliance obligations applicable to our business, which could cause us to change our business practices, and increases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that processing is subject to the GDPR. In addition, we may be required to put in place additional mechanisms to ensure compliance with the GDPR, including GDPR requirements as implemented by individual countries. Compliance with the GDPR will be a rigorous and time-intensive process that may increase our cost of doing business or require us to change our business practices. Despite those efforts, there is a risk that we may be subject to fines and penalties, litigation and reputational harm in connection with our European activities.</w:t>
      </w:r>
    </w:p>
    <w:p>
      <w:pPr>
        <w:spacing w:after="0" w:line="10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may not be able to do so in the future, which could increase our costs and limit our ability to process personal data from the EU.</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Further, the United Kingdom’s departure from the EU, often referred to as Brexit, has created uncertainty with regard to data protection regulation in the United Kingdom and how data transfers to and from the United Kingdom will be regulated. We may, however, incur liabilities, expenses, costs and other operational losses under the GDPR and applicable EU Member States and the United Kingdom privacy laws in connection with any measures we take to comply with them.</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Further,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01"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81" w:lineRule="exact"/>
        <w:rPr>
          <w:sz w:val="20"/>
          <w:szCs w:val="20"/>
          <w:color w:val="auto"/>
        </w:rPr>
      </w:pPr>
    </w:p>
    <w:p>
      <w:pPr>
        <w:ind w:left="120" w:right="200"/>
        <w:spacing w:after="0" w:line="325" w:lineRule="auto"/>
        <w:rPr>
          <w:sz w:val="20"/>
          <w:szCs w:val="20"/>
          <w:color w:val="auto"/>
        </w:rPr>
      </w:pPr>
      <w:r>
        <w:rPr>
          <w:rFonts w:ascii="Arial" w:cs="Arial" w:eastAsia="Arial" w:hAnsi="Arial"/>
          <w:sz w:val="16"/>
          <w:szCs w:val="16"/>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3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83" w:lineRule="exact"/>
        <w:rPr>
          <w:sz w:val="20"/>
          <w:szCs w:val="20"/>
          <w:color w:val="auto"/>
        </w:rPr>
      </w:pPr>
    </w:p>
    <w:p>
      <w:pPr>
        <w:ind w:left="120" w:right="160"/>
        <w:spacing w:after="0" w:line="294" w:lineRule="auto"/>
        <w:rPr>
          <w:sz w:val="20"/>
          <w:szCs w:val="20"/>
          <w:color w:val="auto"/>
        </w:rPr>
      </w:pPr>
      <w:r>
        <w:rPr>
          <w:rFonts w:ascii="Arial" w:cs="Arial" w:eastAsia="Arial" w:hAnsi="Arial"/>
          <w:sz w:val="16"/>
          <w:szCs w:val="16"/>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9"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of 2001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employee matters, managing growth and operational matters</w:t>
      </w:r>
    </w:p>
    <w:p>
      <w:pPr>
        <w:spacing w:after="0" w:line="114" w:lineRule="exact"/>
        <w:rPr>
          <w:sz w:val="20"/>
          <w:szCs w:val="20"/>
          <w:color w:val="auto"/>
        </w:rPr>
      </w:pPr>
    </w:p>
    <w:p>
      <w:pPr>
        <w:ind w:left="120" w:right="220"/>
        <w:spacing w:after="0" w:line="262"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81"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medical personnel, sales and marketing and</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other personnel. We are highly dependent on our management, scientific and medical personnel, including our President and Chief Executive Officer, our Chief Scientific Officer, our Chief Medical Officer, our Chief Financial Officer, and our Chief Legal Officer. Our Chief Financial Officer is presently a consultant.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101" w:lineRule="exact"/>
        <w:rPr>
          <w:sz w:val="20"/>
          <w:szCs w:val="20"/>
          <w:color w:val="auto"/>
        </w:rPr>
      </w:pPr>
    </w:p>
    <w:p>
      <w:pPr>
        <w:ind w:left="120" w:right="220"/>
        <w:spacing w:after="0" w:line="271" w:lineRule="auto"/>
        <w:rPr>
          <w:sz w:val="20"/>
          <w:szCs w:val="20"/>
          <w:color w:val="auto"/>
        </w:rPr>
      </w:pPr>
      <w:r>
        <w:rPr>
          <w:rFonts w:ascii="Arial" w:cs="Arial" w:eastAsia="Arial" w:hAnsi="Arial"/>
          <w:sz w:val="16"/>
          <w:szCs w:val="16"/>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7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To encourage valuable employees to remain at our company, in addition to salary and cash incentives, we have provided stock options that vest over time. The value to our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 notice. Our success also depends on our ability to continue to attract, retain and motivate highly skilled junior, mid-level, and senior managers, as well as junior, mid-level, and senior scientific, medical, and general and administrative personnel.</w:t>
      </w:r>
    </w:p>
    <w:p>
      <w:pPr>
        <w:spacing w:after="0" w:line="10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80"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 which could disrupt our operations.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manufacturing, regulatory affairs and, if any of our product candidates receives marketing approval, sales, marketing, and distribution. In addition, in connection with our transition to being a publicly traded company, we expect to increase the size of our general and administrative teams to support the growth of our business and the requirements of being a publicly traded company. To manage our anticipated future growth, we must continue to implement and improve our managerial, operational, and financial systems, expand our facilities, and continue to recruit and train additional qualified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personnel. Future growth would impose significant added responsibilities on members of management, including:</w:t>
      </w:r>
    </w:p>
    <w:p>
      <w:pPr>
        <w:spacing w:after="0" w:line="117"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CFT7455, CFT8634 and any other product candidates we develop, while complying with our contractual obligations to contractors and other third parties;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future financial performance and our ability to advance into clinical development and, if approved, commercialize CFT7455, CFT8634 and any of our other product candidates we develop will depend, in part, on our ability to effectively manage any future growth. Due to our limited financial resources and the limited experience of our management team in managing a company with this type of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Further, research at our Indian CROs also exposes us to various risks, including regulatory, economic, and political instability, potentially unfavorable tax, import and export policies, fluctuations in foreign exchange and inflation rates, international and civil hostilities, terrorism, natural disasters and pandemics.</w:t>
      </w:r>
    </w:p>
    <w:p>
      <w:pPr>
        <w:spacing w:after="0" w:line="80" w:lineRule="exact"/>
        <w:rPr>
          <w:sz w:val="20"/>
          <w:szCs w:val="20"/>
          <w:color w:val="auto"/>
        </w:rPr>
      </w:pPr>
    </w:p>
    <w:p>
      <w:pPr>
        <w:ind w:left="120" w:right="740"/>
        <w:spacing w:after="0" w:line="262" w:lineRule="auto"/>
        <w:rPr>
          <w:sz w:val="20"/>
          <w:szCs w:val="20"/>
          <w:color w:val="auto"/>
        </w:rPr>
      </w:pPr>
      <w:r>
        <w:rPr>
          <w:rFonts w:ascii="Arial" w:cs="Arial" w:eastAsia="Arial" w:hAnsi="Arial"/>
          <w:sz w:val="18"/>
          <w:szCs w:val="18"/>
          <w:b w:val="1"/>
          <w:bCs w:val="1"/>
          <w:i w:val="1"/>
          <w:iCs w:val="1"/>
          <w:color w:val="auto"/>
        </w:rPr>
        <w:t>Our internal computer systems, or those of any of our collaborators, contractors, or consultants, may fail or suffer security breaches, which could result in a material disruption of our product development programs.</w:t>
      </w:r>
    </w:p>
    <w:p>
      <w:pPr>
        <w:spacing w:after="0" w:line="81" w:lineRule="exact"/>
        <w:rPr>
          <w:sz w:val="20"/>
          <w:szCs w:val="20"/>
          <w:color w:val="auto"/>
        </w:rPr>
      </w:pPr>
    </w:p>
    <w:p>
      <w:pPr>
        <w:ind w:left="120" w:right="120"/>
        <w:spacing w:after="0" w:line="26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While we have not experienced any material system failure, accidents, or security breaches of this nature to date,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To the extent that any disruption or security breach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300"/>
        <w:spacing w:after="0" w:line="325"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5"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CMOs and consultants may engage in fraudulent conduct or other illegal activity. Misconduct by these parties could include, among other things:</w:t>
      </w:r>
    </w:p>
    <w:p>
      <w:pPr>
        <w:spacing w:after="0" w:line="114" w:lineRule="exact"/>
        <w:rPr>
          <w:sz w:val="20"/>
          <w:szCs w:val="20"/>
          <w:color w:val="auto"/>
        </w:rPr>
      </w:pPr>
    </w:p>
    <w:p>
      <w:pPr>
        <w:ind w:left="340" w:right="36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of unauthorized activities to us that violate the regulations of the FDA or similar foreign regulatory authorities;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healthcare fraud and abuse laws and regulations in the United States and abroad;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violations of United States federal securities laws relating to trading in our common stock;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10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 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business prospects, financial condition and results of operations.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were to determine to raise additional capital in the future, you would suffer dilution of your investment.</w:t>
      </w:r>
    </w:p>
    <w:p>
      <w:pPr>
        <w:spacing w:after="0" w:line="12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300"/>
        <w:spacing w:after="0" w:line="325" w:lineRule="auto"/>
        <w:rPr>
          <w:sz w:val="20"/>
          <w:szCs w:val="20"/>
          <w:color w:val="auto"/>
        </w:rPr>
      </w:pPr>
      <w:r>
        <w:rPr>
          <w:rFonts w:ascii="Arial" w:cs="Arial" w:eastAsia="Arial" w:hAnsi="Arial"/>
          <w:sz w:val="16"/>
          <w:szCs w:val="16"/>
          <w:b w:val="1"/>
          <w:bCs w:val="1"/>
          <w:i w:val="1"/>
          <w:iCs w:val="1"/>
          <w:color w:val="auto"/>
        </w:rPr>
        <w:t>We do not know whether an active, liquid and orderly trading market will be sustained for our common stock or what the market price of our common stock will be and, as a result, it may be difficult for you to sell your shares of our common stock.</w:t>
      </w:r>
    </w:p>
    <w:p>
      <w:pPr>
        <w:spacing w:after="0" w:line="3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Prior to our initial public offering, there was no public trading market for shares of our common stock. Although our common stock is listed on The Nasdaq Global Select Market, an active trading market for our shares may not be sustained.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3" w:lineRule="exact"/>
        <w:rPr>
          <w:sz w:val="20"/>
          <w:szCs w:val="20"/>
          <w:color w:val="auto"/>
        </w:rPr>
      </w:pPr>
    </w:p>
    <w:p>
      <w:pPr>
        <w:ind w:left="120" w:right="16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issue an adverse or misleading opinion regarding our stock, our stock price and trading volume could decline.</w:t>
      </w:r>
    </w:p>
    <w:p>
      <w:pPr>
        <w:spacing w:after="0" w:line="8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trading market for our common stock is and will continue to be influenced by the research and reports that industry or securities analysts publish about us, our business or the targeted protein degradation space. We currently have limited research coverage by securities and industry analysts. If no or few securities or industry analysts cover us, the trading price for our common stock could be impacted negatively.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80"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trading price of shares of our common stock is likely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w:t>
      </w:r>
    </w:p>
    <w:p>
      <w:pPr>
        <w:spacing w:after="0" w:line="116" w:lineRule="exact"/>
        <w:rPr>
          <w:sz w:val="20"/>
          <w:szCs w:val="20"/>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degree of success of competitive products or technologies or changes in standard of care regimens;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technologies or product candidates;</w:t>
      </w:r>
    </w:p>
    <w:p>
      <w:pPr>
        <w:spacing w:after="0" w:line="117" w:lineRule="exact"/>
        <w:rPr>
          <w:rFonts w:ascii="Arial" w:cs="Arial" w:eastAsia="Arial" w:hAnsi="Arial"/>
          <w:sz w:val="18"/>
          <w:szCs w:val="18"/>
          <w:color w:val="auto"/>
        </w:rPr>
      </w:pPr>
    </w:p>
    <w:p>
      <w:pPr>
        <w:jc w:val="center"/>
        <w:ind w:left="5520" w:right="540" w:hanging="5404"/>
        <w:spacing w:after="0" w:line="411" w:lineRule="auto"/>
        <w:tabs>
          <w:tab w:leader="none" w:pos="3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 68</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capital we have raised and may not use them effectively.</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Our management has broad discretion in the application of the net proceeds from our prior financings, including our initial public offering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prior financing activities in a manner that does not produce income or that loses value.</w:t>
      </w:r>
    </w:p>
    <w:p>
      <w:pPr>
        <w:spacing w:after="0" w:line="83" w:lineRule="exact"/>
        <w:rPr>
          <w:sz w:val="20"/>
          <w:szCs w:val="20"/>
          <w:color w:val="auto"/>
        </w:rPr>
      </w:pPr>
    </w:p>
    <w:p>
      <w:pPr>
        <w:ind w:left="120" w:right="72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will have the ability to control or significantly influence matters submitted to stockholders for approval.</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executive officers and directors, combined with our stockholders who have reported through filings made with the Securities and Exchange Commission that they own more than 5% of our outstanding common stock, in the aggregate, beneficially own a significant percentage of our shares. As a result, our executive officers and directors, combined with our greater than 5% stockholders, have the ability to control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114"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5520" w:right="1440" w:hanging="5404"/>
        <w:spacing w:after="0" w:line="411" w:lineRule="auto"/>
        <w:tabs>
          <w:tab w:leader="none" w:pos="3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 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240"/>
        <w:spacing w:after="0" w:line="248"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94" w:lineRule="exact"/>
        <w:rPr>
          <w:sz w:val="20"/>
          <w:szCs w:val="20"/>
          <w:color w:val="auto"/>
        </w:rPr>
      </w:pPr>
    </w:p>
    <w:p>
      <w:pPr>
        <w:ind w:left="120" w:right="40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13" w:lineRule="exact"/>
        <w:rPr>
          <w:sz w:val="20"/>
          <w:szCs w:val="20"/>
          <w:color w:val="auto"/>
        </w:rPr>
      </w:pPr>
    </w:p>
    <w:p>
      <w:pPr>
        <w:ind w:left="340" w:right="16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the result of which is that not all members of the board will be elected at one time;</w:t>
      </w:r>
    </w:p>
    <w:p>
      <w:pPr>
        <w:spacing w:after="0" w:line="114"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the result of which is that all stockholder actions will have to be taken at a meeting of our stockholders;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13"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80"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94"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will remain an EGC until the earlier of: (1) the last day of the fiscal year in which we have total annual gross revenue of $1.07 billion or more; (2) the last day of 2025; (3) the date on which we have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issued more than $1.0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of such year. For so long as we remain an EGC, we are permitted and intend to rely on exemptions from certain disclosure requirements that are applicable to other public companies that are not EGCs. These exemptions include:</w:t>
      </w:r>
    </w:p>
    <w:p>
      <w:pPr>
        <w:spacing w:after="0" w:line="116" w:lineRule="exact"/>
        <w:rPr>
          <w:sz w:val="20"/>
          <w:szCs w:val="20"/>
          <w:color w:val="auto"/>
        </w:rPr>
      </w:pPr>
    </w:p>
    <w:p>
      <w:pPr>
        <w:ind w:left="340" w:hanging="224"/>
        <w:spacing w:after="0" w:line="238"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17"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of the Public Company Accounting Oversight Board regarding the communication of critical audit matters in the auditor’s report on the financial statements.</w:t>
      </w:r>
    </w:p>
    <w:p>
      <w:pPr>
        <w:spacing w:after="0" w:line="101" w:lineRule="exact"/>
        <w:rPr>
          <w:sz w:val="20"/>
          <w:szCs w:val="20"/>
          <w:color w:val="auto"/>
        </w:rPr>
      </w:pPr>
    </w:p>
    <w:p>
      <w:pPr>
        <w:ind w:left="120" w:right="220"/>
        <w:spacing w:after="0" w:line="272" w:lineRule="auto"/>
        <w:rPr>
          <w:sz w:val="20"/>
          <w:szCs w:val="20"/>
          <w:color w:val="auto"/>
        </w:rPr>
      </w:pPr>
      <w:r>
        <w:rPr>
          <w:rFonts w:ascii="Arial" w:cs="Arial" w:eastAsia="Arial" w:hAnsi="Arial"/>
          <w:sz w:val="16"/>
          <w:szCs w:val="16"/>
          <w:color w:val="auto"/>
        </w:rPr>
        <w:t>We may choose to take advantage of some, but not all, of these available exemptions. We have taken advantage of reduced reporting requirements in our periodic reports. In particular,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7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until the earlier of the date that we (i) are no longer an emerging growth company or (ii) affirmatively and irrevocably opt out of the extended transition period provided in the JOBS Act.</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also are a “smaller reporting company,” meaning that either (i) the market value of our stock held by non-affiliates is less than $250 million as of the prior June 30 or (ii) our annual revenue is less than $100 million during the most recently completed fiscal year and the market value of our stock held by non-affiliates is less than $700 million as of the prior June 30. If we are a smaller reporting company when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a public company, and particularly after we are no longer an EGC, we will continue to incur significant legal, accounting and other expenses that we did not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and insurance costs and will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10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are evaluating these rules and regulations and cannot predict or estimate the amount of additional costs we may incur or the timing of these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Pursuant to Section 404 of Sarbanes-Oxley,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have started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condensed consolidated financial statements.</w:t>
      </w:r>
    </w:p>
    <w:p>
      <w:pPr>
        <w:spacing w:after="0" w:line="86"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81" w:lineRule="exact"/>
        <w:rPr>
          <w:sz w:val="20"/>
          <w:szCs w:val="20"/>
          <w:color w:val="auto"/>
        </w:rPr>
      </w:pPr>
    </w:p>
    <w:p>
      <w:pPr>
        <w:ind w:left="120" w:right="100"/>
        <w:spacing w:after="0" w:line="264"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state law claims for (1) any derivative action or proceeding brought on our behalf;</w:t>
      </w:r>
    </w:p>
    <w:p>
      <w:pPr>
        <w:ind w:left="120" w:right="920" w:hanging="4"/>
        <w:spacing w:after="0" w:line="239" w:lineRule="auto"/>
        <w:tabs>
          <w:tab w:leader="none" w:pos="3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other employees to us or our stockholders; (3) any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We refer to this provision in our bylaws as the Delaware Forum Provision. The Delaware Forum Provision will not apply to any causes of action arising under the Securities Act of 1933, as amended, the Securities Act, or the Exchange Act of 1934, as amended,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as our headquarters are located in Watertown, Massachusetts. We refer to this provision in our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89"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69"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81"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 preclude us from paying dividends. As a result, capital appreciation, if any, of our common stock will be your sole source of gain for the foreseeable future.</w:t>
      </w:r>
    </w:p>
    <w:p>
      <w:pPr>
        <w:spacing w:after="0" w:line="49"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8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pandemic has caused significant instability and disruptions in the capital and credit markets. A severe or prolonged economic downturn could result in a variety of risks to our business, including weakened demand for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580"/>
        <w:spacing w:after="0" w:line="237" w:lineRule="auto"/>
        <w:rPr>
          <w:sz w:val="20"/>
          <w:szCs w:val="20"/>
          <w:color w:val="auto"/>
        </w:rPr>
      </w:pPr>
      <w:r>
        <w:rPr>
          <w:rFonts w:ascii="Arial" w:cs="Arial" w:eastAsia="Arial" w:hAnsi="Arial"/>
          <w:sz w:val="18"/>
          <w:szCs w:val="18"/>
          <w:color w:val="auto"/>
        </w:rPr>
        <w:t>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Failure to secure any necessary financing in a timely manner and on favorable terms could have an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public offering price per share of our common stock will be substantially higher than the as adjusted net tangible book value per share of</w:t>
      </w:r>
    </w:p>
    <w:p>
      <w:pPr>
        <w:spacing w:after="0" w:line="19" w:lineRule="exact"/>
        <w:rPr>
          <w:sz w:val="20"/>
          <w:szCs w:val="20"/>
          <w:color w:val="auto"/>
        </w:rPr>
      </w:pPr>
    </w:p>
    <w:p>
      <w:pPr>
        <w:ind w:left="120" w:right="240"/>
        <w:spacing w:after="0" w:line="234" w:lineRule="auto"/>
        <w:rPr>
          <w:sz w:val="20"/>
          <w:szCs w:val="20"/>
          <w:color w:val="auto"/>
        </w:rPr>
      </w:pPr>
      <w:r>
        <w:rPr>
          <w:rFonts w:ascii="Arial" w:cs="Arial" w:eastAsia="Arial" w:hAnsi="Arial"/>
          <w:sz w:val="18"/>
          <w:szCs w:val="18"/>
          <w:color w:val="auto"/>
        </w:rPr>
        <w:t>our common stock. Based on an assumed public offering price of $ per share, which was the last reported sale price of our common stock on The Nasdaq Global Select Market on , 2021, you will experience immediate dilution of $ per share, representing the</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difference between our as adjusted net tangible book value per share, after giving effect to this offering, and the assumed public offering price. To the extent shares are subsequently issued upon exercise of outstanding options, you will incur further dilution. In addition, purchasers of common stock in this offering will have contributed approximately % of the aggregate price paid by all purchasers of shares of our common stock but will own only approximately % of our common stock outstanding after this offering (assuming no exercise of the underwriters’ option to purchase additional shares). See the section titled “Dilution” for more information.</w:t>
      </w:r>
    </w:p>
    <w:p>
      <w:pPr>
        <w:spacing w:after="0" w:line="10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choose to raise additional capital in the future, depending on market conditions, strategic considerations and operational requirements. To the extent we raise additional capital through the sale and issuance of shares or other securities convertible into shares, our stockholders will be diluted. 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82"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our business, or if they issue an adverse or misleading opinion regarding our stock, our stock price and trading volume could decline.</w:t>
      </w:r>
    </w:p>
    <w:p>
      <w:pPr>
        <w:spacing w:after="0" w:line="81"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our business or the targeted protein degradation space. We do not have control over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these analysts. There can be no assurance that existing analysts will continue to provide research coverage of that new analysts will begin to provide coverage. Although we have obtained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82"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trading price of shares of our common stock may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public offering price or at or above the price at which you acquired it. The market price for our common stock may be influenced by many factors, including:</w:t>
      </w:r>
    </w:p>
    <w:p>
      <w:pPr>
        <w:spacing w:after="0" w:line="116" w:lineRule="exact"/>
        <w:rPr>
          <w:sz w:val="20"/>
          <w:szCs w:val="20"/>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degree of success of competitive products or technologies;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technologies or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If any of the foregoing matters were to occur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83"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matters submitted to stockholders for approval.</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executive officers and directors, combined with our stockholders who own more than 5% of our outstanding common stock, in the aggregate, beneficially own shares representing approximately % of our capital stock (assuming no exercise of the underwriters’ option to purchase additional shares, no exercise of outstanding options and no purchases of shares in this offering by any member of this group). Our executive officers and directors, combined with our stockholders who own more than 5% of our outstanding common stock, have the ability to control us through this ownership position. As a result, these stockholders, if acting together, will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-795020</wp:posOffset>
            </wp:positionV>
            <wp:extent cx="1238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93" w:lineRule="exact"/>
        <w:rPr>
          <w:sz w:val="20"/>
          <w:szCs w:val="20"/>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84"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94"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13" w:lineRule="exact"/>
        <w:rPr>
          <w:sz w:val="20"/>
          <w:szCs w:val="20"/>
          <w:color w:val="auto"/>
        </w:rPr>
      </w:pPr>
    </w:p>
    <w:p>
      <w:pPr>
        <w:ind w:left="340" w:right="12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the result of which is that not all members of the board will be elected at one time;</w:t>
      </w:r>
    </w:p>
    <w:p>
      <w:pPr>
        <w:spacing w:after="0" w:line="114"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the result of which is that all stockholder actions will have to be taken at a meeting of our stockholders;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13"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14"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80"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81" w:lineRule="exact"/>
        <w:rPr>
          <w:sz w:val="20"/>
          <w:szCs w:val="20"/>
          <w:color w:val="auto"/>
        </w:rPr>
      </w:pPr>
    </w:p>
    <w:p>
      <w:pPr>
        <w:ind w:left="120" w:right="160"/>
        <w:spacing w:after="0" w:line="264"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 could reduce the market price of our common stock. Upon completion of this offering, we will have</w:t>
      </w:r>
    </w:p>
    <w:p>
      <w:pPr>
        <w:ind w:left="120" w:right="80" w:firstLine="634"/>
        <w:spacing w:after="0" w:line="264" w:lineRule="auto"/>
        <w:rPr>
          <w:sz w:val="20"/>
          <w:szCs w:val="20"/>
          <w:color w:val="auto"/>
        </w:rPr>
      </w:pPr>
      <w:r>
        <w:rPr>
          <w:rFonts w:ascii="Arial" w:cs="Arial" w:eastAsia="Arial" w:hAnsi="Arial"/>
          <w:sz w:val="16"/>
          <w:szCs w:val="16"/>
          <w:color w:val="auto"/>
        </w:rPr>
        <w:t>outstanding shares of common stock based on the number of shares outstanding as of March 31, 2021 (assuming no exercise of the underwriters’ option to purchase additional shares). This includes the shares that we are selling in this offering, which may be resold in the</w:t>
      </w:r>
    </w:p>
    <w:p>
      <w:pPr>
        <w:ind w:left="120" w:right="100"/>
        <w:spacing w:after="0" w:line="234" w:lineRule="auto"/>
        <w:rPr>
          <w:sz w:val="20"/>
          <w:szCs w:val="20"/>
          <w:color w:val="auto"/>
        </w:rPr>
      </w:pPr>
      <w:r>
        <w:rPr>
          <w:rFonts w:ascii="Arial" w:cs="Arial" w:eastAsia="Arial" w:hAnsi="Arial"/>
          <w:sz w:val="18"/>
          <w:szCs w:val="18"/>
          <w:color w:val="auto"/>
        </w:rPr>
        <w:t>public market immediately without restriction, unless purchased by our affiliates. Of the remaining shares, shares are currently restricted as a result of securities laws or lock-up agreements but will become eligible to be sold at various times after the offering. Moreover,</w:t>
      </w:r>
    </w:p>
    <w:p>
      <w:pPr>
        <w:spacing w:after="0" w:line="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securityholders holding an aggregate of shares of our common stock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“Shares Eligible For Future Sale” section of this prospectus.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94" w:lineRule="exact"/>
        <w:rPr>
          <w:sz w:val="20"/>
          <w:szCs w:val="20"/>
          <w:color w:val="auto"/>
        </w:rPr>
      </w:pPr>
    </w:p>
    <w:p>
      <w:pPr>
        <w:ind w:left="120" w:right="340"/>
        <w:spacing w:after="0" w:line="264"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or the JOBS Act. We will remain an EGC until the earlier of: (1) the last day of the fiscal year in which we have total annual gross revenue of $1.07 billion or more;</w:t>
      </w:r>
    </w:p>
    <w:p>
      <w:pPr>
        <w:ind w:left="120" w:right="60" w:hanging="4"/>
        <w:spacing w:after="0" w:line="236" w:lineRule="auto"/>
        <w:tabs>
          <w:tab w:leader="none" w:pos="3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last day of 2025; (3) the date on which we have issued more than $1.0 billion in nonconvertible debt during the previous three years; and (4) the date on which we are deemed to be a large accelerated filer under the rules of the SEC, which means the last day of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EGCs. These exemptions include:</w:t>
      </w:r>
    </w:p>
    <w:p>
      <w:pPr>
        <w:spacing w:after="0" w:line="116" w:lineRule="exact"/>
        <w:rPr>
          <w:sz w:val="20"/>
          <w:szCs w:val="20"/>
          <w:color w:val="auto"/>
        </w:rPr>
      </w:pPr>
    </w:p>
    <w:p>
      <w:pPr>
        <w:ind w:left="340" w:hanging="224"/>
        <w:spacing w:after="0" w:line="238"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incorporated by reference in this prospectus;</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17"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exemption from compliance with the requirement of the Public Company Accounting Oversight Board regarding the communication of critical audit matters in the auditor’s report on the financial statements.</w:t>
      </w:r>
    </w:p>
    <w:p>
      <w:pPr>
        <w:spacing w:after="0" w:line="101"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We may choose to take advantage of some, but not all, of these available exemptions. We have taken advantage of reduced reporting requirements in this prospectus. In particular, we have not included all of the executive compensation information that would be required if we were not an EGC and we have presented only two years of audited financial statements and correspondingly reduced “Management’s Discussion and Analysis of Financial Condition and Results of Operations” disclosure.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7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until the earlier of the date that we (i) are no longer an emerging growth company or (ii) affirmatively and irrevocably opt out of the extended transition period provided in the JOBS Act.</w:t>
      </w:r>
    </w:p>
    <w:p>
      <w:pPr>
        <w:spacing w:after="0" w:line="100"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We also are a “smaller reporting company,” meaning that the market value of our stock held by non-affiliates plus the proposed aggregate amount of gross proceeds to us as a result of this offering is less than $700 million as of the prior June 30 and our annual revenue is less than $100 million during the most recently completed fiscal year. We may continue to be a smaller reporting company after this offering if either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 the market value of our stock held by non-affiliates is less than $250 million as of the prior June 30 or (ii) our annual revenue is less than</w:t>
      </w:r>
    </w:p>
    <w:p>
      <w:pPr>
        <w:spacing w:after="0" w:line="19"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$100 million during the most recently completed fiscal year and the market value of our stock held by non-affiliates is less than $700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w:t>
      </w:r>
    </w:p>
    <w:p>
      <w:pPr>
        <w:ind w:left="120" w:right="60"/>
        <w:spacing w:after="0" w:line="239" w:lineRule="auto"/>
        <w:rPr>
          <w:sz w:val="20"/>
          <w:szCs w:val="20"/>
          <w:color w:val="auto"/>
        </w:rPr>
      </w:pPr>
      <w:r>
        <w:rPr>
          <w:rFonts w:ascii="Arial" w:cs="Arial" w:eastAsia="Arial" w:hAnsi="Arial"/>
          <w:sz w:val="18"/>
          <w:szCs w:val="18"/>
          <w:color w:val="auto"/>
        </w:rPr>
        <w:t>Form 10-K and, similar to emerging growth companies, smaller reporting companies have reduced disclosure obligations regarding executive compensation.</w:t>
      </w:r>
    </w:p>
    <w:p>
      <w:pPr>
        <w:spacing w:after="0" w:line="81" w:lineRule="exact"/>
        <w:rPr>
          <w:sz w:val="20"/>
          <w:szCs w:val="20"/>
          <w:color w:val="auto"/>
        </w:rPr>
      </w:pPr>
    </w:p>
    <w:p>
      <w:pPr>
        <w:jc w:val="both"/>
        <w:ind w:left="120" w:right="260"/>
        <w:spacing w:after="0" w:line="248"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we may not be able to accurately report our financial results, which may cause investors to lose confidence in our reported financial information and may lead to a decline in the market price of our stock.</w:t>
      </w:r>
    </w:p>
    <w:p>
      <w:pPr>
        <w:spacing w:after="0" w:line="9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Pursuant to Section 404 of Sarbanes-Oxley, or Section 404, we are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In the preparation of our consolidated financial statements to meet the requirements of our initial public offering, we determined that a material weakness in our internal control over financial reporting existed as of December 31, 2019. The material weakness identified in our internal control over financial reporting arose because we did not maintain effective segregation of duties in the process and recording of journal entries. We communicated the material weakness to our audit committee and as of December 31, 2020, remediated the material weakness by taking a number of actions including engaging system controls that prevent one person from initiating and approving the same journal entry and performing additional reviews and other post-closing procedures. While we believe that this material weakness has now been remediated, we cannot assure you that the measures we take to address internal control over financial reporting will be sufficient to prevent future material weaknesses or will prevent any significant deficiencies in our internal control over financial reporting from occurring.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consolidated financial statements.</w:t>
      </w:r>
    </w:p>
    <w:p>
      <w:pPr>
        <w:spacing w:after="0" w:line="84"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8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hanging="4"/>
        <w:spacing w:after="0" w:line="267" w:lineRule="auto"/>
        <w:tabs>
          <w:tab w:leader="none" w:pos="3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or our certificate of incorporation or bylaws; (4) any action to interpret, apply, enforce or determine the validity of our certificate of incorporation or bylaws; or (5) any action asserting a claim governed by the internal affairs doctrine. We refer to this provision in our bylaws as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as our headquarters are located in Watertown, Massachusetts. We refer to this provision in our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8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69"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81"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the terms of our Credit Agreement with Perceptive Credit also preclude us from paying dividends. As a result, capital appreciation, if any, of our common stock will be your sole source of gain for the foreseeable future.</w:t>
      </w:r>
    </w:p>
    <w:p>
      <w:pPr>
        <w:spacing w:after="0" w:line="49"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8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recent significant volatility associated with the COVID-19 pandemic has caused significant instability and disruptions in the capital and credit markets. A severe or prolonged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Failure to secure any necessary financing in a timely manner and on favorable terms could have an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prospectus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115" w:lineRule="exact"/>
        <w:rPr>
          <w:sz w:val="20"/>
          <w:szCs w:val="20"/>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17" w:lineRule="exact"/>
        <w:rPr>
          <w:rFonts w:ascii="Arial" w:cs="Arial" w:eastAsia="Arial" w:hAnsi="Arial"/>
          <w:sz w:val="18"/>
          <w:szCs w:val="18"/>
          <w:color w:val="auto"/>
        </w:rPr>
      </w:pPr>
    </w:p>
    <w:p>
      <w:pPr>
        <w:ind w:left="340" w:right="100" w:hanging="224"/>
        <w:spacing w:after="0" w:line="23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113" w:lineRule="exact"/>
        <w:rPr>
          <w:rFonts w:ascii="Arial" w:cs="Arial" w:eastAsia="Arial" w:hAnsi="Arial"/>
          <w:sz w:val="18"/>
          <w:szCs w:val="18"/>
          <w:color w:val="auto"/>
        </w:rPr>
      </w:pPr>
    </w:p>
    <w:p>
      <w:pPr>
        <w:ind w:left="340" w:right="240" w:hanging="224"/>
        <w:spacing w:after="0" w:line="299"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ultimate impact of the current novel coronavirus, or COVID-19, pandemic, or any other health epidemic, on our business, manufacturing, clinical trials, research programs, supply chain, regulatory review, healthcare systems or the global economy as a whole;</w:t>
      </w:r>
    </w:p>
    <w:p>
      <w:pPr>
        <w:spacing w:after="0" w:line="68" w:lineRule="exact"/>
        <w:rPr>
          <w:rFonts w:ascii="Arial" w:cs="Arial" w:eastAsia="Arial" w:hAnsi="Arial"/>
          <w:sz w:val="16"/>
          <w:szCs w:val="16"/>
          <w:color w:val="auto"/>
        </w:rPr>
      </w:pPr>
    </w:p>
    <w:p>
      <w:pPr>
        <w:ind w:left="340" w:right="20" w:hanging="224"/>
        <w:spacing w:after="0" w:line="271"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risks related to the direct or indirect impact of the COVID-19 pandemic or any future large-scale adverse health event, such as the scope and duration of the outbreak, government actions and restrictive measures implemented in response, material delays in diagnoses, initiation or continuation of treatment for diseases that may be addressed by our development candidates and investigational medicines, or in patient enrollment in clinical trials, potential clinical trials, regulatory review or supply chain disruptions, and other potential impacts to our business, the effectiveness or timeliness of steps taken by us to mitigate the impact of the pandemic, and our ability to execute business continuity plans to address disruptions caused by the COVID-19 pandemic or future large-scale adverse health event;</w:t>
      </w:r>
    </w:p>
    <w:p>
      <w:pPr>
        <w:spacing w:after="0" w:line="89" w:lineRule="exact"/>
        <w:rPr>
          <w:rFonts w:ascii="Arial" w:cs="Arial" w:eastAsia="Arial" w:hAnsi="Arial"/>
          <w:sz w:val="16"/>
          <w:szCs w:val="16"/>
          <w:color w:val="auto"/>
        </w:rPr>
      </w:pPr>
    </w:p>
    <w:p>
      <w:pPr>
        <w:ind w:left="340" w:right="360" w:hanging="224"/>
        <w:spacing w:after="0" w:line="23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manufacturing and commercialization of our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any of our current or future product candidates;</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 of time over which we anticipate our existing cash and cash equivalents and marketable securities will be sufficient to fund our operating expenses and capital expenditure requirements;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identify and develop product candidates for treatment of additional disease indications;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for any product candidates we may develop;</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340" w:right="520" w:hanging="224"/>
        <w:spacing w:after="0" w:line="23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competition with respect to any of our current or future product candidates, as well as innovations by current and future competitors in our industry;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any product candidates we may develop and our TORPEDO platform;</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line="23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Hoffman-La Roche Ltd. and Hoffman-LaRoche Inc., or Roche, Biogen MA, Inc., or Biogen, and Calico Life Sciences LLC, or Calico, or other new collaboration agreements;</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manufacturing and commercialization of our product candidates, if approved;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risks and uncertainties, including those discussed under the heading “Risk Factors” in this prospectus.</w:t>
      </w:r>
    </w:p>
    <w:p>
      <w:pPr>
        <w:spacing w:after="0" w:line="10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as exhibits to the registration statement, of which this prospectus forms a part, completely and with the understanding that our actual future results may be materially different from any future results expressed or implied by these forward-looking statements.</w:t>
      </w:r>
    </w:p>
    <w:p>
      <w:pPr>
        <w:spacing w:after="0" w:line="28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Market, industry and other data</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This prospectus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You are cautioned not to give undue weight to any such information, projections and estimates.</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color w:val="auto"/>
              </w:rPr>
              <w:t>We estimate that the net proceeds to us from the sale of</w:t>
            </w:r>
          </w:p>
        </w:tc>
        <w:tc>
          <w:tcPr>
            <w:tcW w:w="4780" w:type="dxa"/>
            <w:vAlign w:val="bottom"/>
            <w:gridSpan w:val="3"/>
          </w:tcPr>
          <w:p>
            <w:pPr>
              <w:ind w:left="440"/>
              <w:spacing w:after="0"/>
              <w:rPr>
                <w:sz w:val="20"/>
                <w:szCs w:val="20"/>
                <w:color w:val="auto"/>
              </w:rPr>
            </w:pPr>
            <w:r>
              <w:rPr>
                <w:rFonts w:ascii="Arial" w:cs="Arial" w:eastAsia="Arial" w:hAnsi="Arial"/>
                <w:sz w:val="18"/>
                <w:szCs w:val="18"/>
                <w:color w:val="auto"/>
              </w:rPr>
              <w:t>shares of our common stock in this offering will be $</w:t>
            </w: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rPr>
              <w:t>million, or</w:t>
            </w:r>
          </w:p>
        </w:tc>
      </w:tr>
      <w:tr>
        <w:trPr>
          <w:trHeight w:val="203"/>
        </w:trPr>
        <w:tc>
          <w:tcPr>
            <w:tcW w:w="4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080" w:type="dxa"/>
            <w:vAlign w:val="bottom"/>
            <w:gridSpan w:val="6"/>
          </w:tcPr>
          <w:p>
            <w:pPr>
              <w:ind w:left="300"/>
              <w:spacing w:after="0" w:line="202" w:lineRule="exact"/>
              <w:rPr>
                <w:sz w:val="20"/>
                <w:szCs w:val="20"/>
                <w:color w:val="auto"/>
              </w:rPr>
            </w:pPr>
            <w:r>
              <w:rPr>
                <w:rFonts w:ascii="Arial" w:cs="Arial" w:eastAsia="Arial" w:hAnsi="Arial"/>
                <w:sz w:val="18"/>
                <w:szCs w:val="18"/>
                <w:color w:val="auto"/>
              </w:rPr>
              <w:t>million if the underwriters exercise their option to purchase additional shares in full, assuming a public offering price of $</w:t>
            </w:r>
          </w:p>
        </w:tc>
        <w:tc>
          <w:tcPr>
            <w:tcW w:w="380" w:type="dxa"/>
            <w:vAlign w:val="bottom"/>
          </w:tcPr>
          <w:p>
            <w:pPr>
              <w:ind w:left="120"/>
              <w:spacing w:after="0" w:line="202" w:lineRule="exact"/>
              <w:rPr>
                <w:sz w:val="20"/>
                <w:szCs w:val="20"/>
                <w:color w:val="auto"/>
              </w:rPr>
            </w:pPr>
            <w:r>
              <w:rPr>
                <w:rFonts w:ascii="Arial" w:cs="Arial" w:eastAsia="Arial" w:hAnsi="Arial"/>
                <w:sz w:val="18"/>
                <w:szCs w:val="18"/>
                <w:color w:val="auto"/>
                <w:w w:val="92"/>
              </w:rPr>
              <w:t>per</w:t>
            </w:r>
          </w:p>
        </w:tc>
      </w:tr>
      <w:tr>
        <w:trPr>
          <w:trHeight w:val="203"/>
        </w:trPr>
        <w:tc>
          <w:tcPr>
            <w:tcW w:w="8440" w:type="dxa"/>
            <w:vAlign w:val="bottom"/>
            <w:gridSpan w:val="5"/>
          </w:tcPr>
          <w:p>
            <w:pPr>
              <w:spacing w:after="0" w:line="202" w:lineRule="exact"/>
              <w:rPr>
                <w:sz w:val="20"/>
                <w:szCs w:val="20"/>
                <w:color w:val="auto"/>
              </w:rPr>
            </w:pPr>
            <w:r>
              <w:rPr>
                <w:rFonts w:ascii="Arial" w:cs="Arial" w:eastAsia="Arial" w:hAnsi="Arial"/>
                <w:sz w:val="18"/>
                <w:szCs w:val="18"/>
                <w:color w:val="auto"/>
              </w:rPr>
              <w:t>share, which is the last reported sale price of our common stock on The Nasdaq Global Select Market on</w:t>
            </w:r>
          </w:p>
        </w:tc>
        <w:tc>
          <w:tcPr>
            <w:tcW w:w="2440" w:type="dxa"/>
            <w:vAlign w:val="bottom"/>
            <w:gridSpan w:val="3"/>
          </w:tcPr>
          <w:p>
            <w:pPr>
              <w:ind w:left="320"/>
              <w:spacing w:after="0" w:line="202" w:lineRule="exact"/>
              <w:rPr>
                <w:sz w:val="20"/>
                <w:szCs w:val="20"/>
                <w:color w:val="auto"/>
              </w:rPr>
            </w:pPr>
            <w:r>
              <w:rPr>
                <w:rFonts w:ascii="Arial" w:cs="Arial" w:eastAsia="Arial" w:hAnsi="Arial"/>
                <w:sz w:val="18"/>
                <w:szCs w:val="18"/>
                <w:color w:val="auto"/>
                <w:w w:val="98"/>
              </w:rPr>
              <w:t>, 2021, and after deducting</w:t>
            </w:r>
          </w:p>
        </w:tc>
      </w:tr>
      <w:tr>
        <w:trPr>
          <w:trHeight w:val="211"/>
        </w:trPr>
        <w:tc>
          <w:tcPr>
            <w:tcW w:w="8440" w:type="dxa"/>
            <w:vAlign w:val="bottom"/>
            <w:gridSpan w:val="5"/>
          </w:tcPr>
          <w:p>
            <w:pPr>
              <w:spacing w:after="0"/>
              <w:rPr>
                <w:sz w:val="20"/>
                <w:szCs w:val="20"/>
                <w:color w:val="auto"/>
              </w:rPr>
            </w:pPr>
            <w:r>
              <w:rPr>
                <w:rFonts w:ascii="Arial" w:cs="Arial" w:eastAsia="Arial" w:hAnsi="Arial"/>
                <w:sz w:val="18"/>
                <w:szCs w:val="18"/>
                <w:color w:val="auto"/>
              </w:rPr>
              <w:t>estimated underwriting discounts and commissions and estimated offering expenses payable by us.</w:t>
            </w: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02"/>
        </w:trPr>
        <w:tc>
          <w:tcPr>
            <w:tcW w:w="5660" w:type="dxa"/>
            <w:vAlign w:val="bottom"/>
            <w:gridSpan w:val="4"/>
          </w:tcPr>
          <w:p>
            <w:pPr>
              <w:spacing w:after="0"/>
              <w:rPr>
                <w:sz w:val="20"/>
                <w:szCs w:val="20"/>
                <w:color w:val="auto"/>
              </w:rPr>
            </w:pPr>
            <w:r>
              <w:rPr>
                <w:rFonts w:ascii="Arial" w:cs="Arial" w:eastAsia="Arial" w:hAnsi="Arial"/>
                <w:sz w:val="18"/>
                <w:szCs w:val="18"/>
                <w:color w:val="auto"/>
              </w:rPr>
              <w:t>A $1.00 increase (decrease) in the assumed public offering price of $</w:t>
            </w:r>
          </w:p>
        </w:tc>
        <w:tc>
          <w:tcPr>
            <w:tcW w:w="5220" w:type="dxa"/>
            <w:vAlign w:val="bottom"/>
            <w:gridSpan w:val="4"/>
          </w:tcPr>
          <w:p>
            <w:pPr>
              <w:ind w:left="320"/>
              <w:spacing w:after="0"/>
              <w:rPr>
                <w:sz w:val="20"/>
                <w:szCs w:val="20"/>
                <w:color w:val="auto"/>
              </w:rPr>
            </w:pPr>
            <w:r>
              <w:rPr>
                <w:rFonts w:ascii="Arial" w:cs="Arial" w:eastAsia="Arial" w:hAnsi="Arial"/>
                <w:sz w:val="18"/>
                <w:szCs w:val="18"/>
                <w:color w:val="auto"/>
                <w:w w:val="99"/>
              </w:rPr>
              <w:t>per share, which is the last reported sale price of our common</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stock on The Nasdaq Global Select Market on</w:t>
            </w:r>
          </w:p>
        </w:tc>
        <w:tc>
          <w:tcPr>
            <w:tcW w:w="6600" w:type="dxa"/>
            <w:vAlign w:val="bottom"/>
            <w:gridSpan w:val="5"/>
          </w:tcPr>
          <w:p>
            <w:pPr>
              <w:ind w:left="320"/>
              <w:spacing w:after="0" w:line="202" w:lineRule="exact"/>
              <w:rPr>
                <w:sz w:val="20"/>
                <w:szCs w:val="20"/>
                <w:color w:val="auto"/>
              </w:rPr>
            </w:pPr>
            <w:r>
              <w:rPr>
                <w:rFonts w:ascii="Arial" w:cs="Arial" w:eastAsia="Arial" w:hAnsi="Arial"/>
                <w:sz w:val="18"/>
                <w:szCs w:val="18"/>
                <w:color w:val="auto"/>
                <w:w w:val="98"/>
              </w:rPr>
              <w:t>, 2021, would increase (decrease) the net proceeds to us from this offering by $</w:t>
            </w:r>
          </w:p>
        </w:tc>
        <w:tc>
          <w:tcPr>
            <w:tcW w:w="380" w:type="dxa"/>
            <w:vAlign w:val="bottom"/>
          </w:tcPr>
          <w:p>
            <w:pPr>
              <w:spacing w:after="0"/>
              <w:rPr>
                <w:sz w:val="17"/>
                <w:szCs w:val="17"/>
                <w:color w:val="auto"/>
              </w:rPr>
            </w:pPr>
          </w:p>
        </w:tc>
      </w:tr>
    </w:tbl>
    <w:p>
      <w:pPr>
        <w:ind w:left="120" w:right="80"/>
        <w:spacing w:after="0" w:line="264" w:lineRule="auto"/>
        <w:rPr>
          <w:sz w:val="20"/>
          <w:szCs w:val="20"/>
          <w:color w:val="auto"/>
        </w:rPr>
      </w:pPr>
      <w:r>
        <w:rPr>
          <w:rFonts w:ascii="Arial" w:cs="Arial" w:eastAsia="Arial" w:hAnsi="Arial"/>
          <w:sz w:val="16"/>
          <w:szCs w:val="16"/>
          <w:color w:val="auto"/>
        </w:rPr>
        <w:t>million, assuming that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net</w:t>
      </w:r>
    </w:p>
    <w:p>
      <w:pPr>
        <w:ind w:left="120" w:right="40"/>
        <w:spacing w:after="0" w:line="237" w:lineRule="auto"/>
        <w:rPr>
          <w:sz w:val="20"/>
          <w:szCs w:val="20"/>
          <w:color w:val="auto"/>
        </w:rPr>
      </w:pPr>
      <w:r>
        <w:rPr>
          <w:rFonts w:ascii="Arial" w:cs="Arial" w:eastAsia="Arial" w:hAnsi="Arial"/>
          <w:sz w:val="18"/>
          <w:szCs w:val="18"/>
          <w:color w:val="auto"/>
        </w:rPr>
        <w:t>proceeds to us from this offering by $ million, assuming no change in the assumed public offering price per share, and after deducting estimated underwriting discounts and commissions and estimated offering expenses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00"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As of March 31, 2021, we had cash and cash equivalents and marketable securities of $346.0 million. We currently intend to use the net proceeds from this offering, together with our existing cash resources, as follows:</w:t>
      </w:r>
    </w:p>
    <w:p>
      <w:pPr>
        <w:spacing w:after="0" w:line="114"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the first-in-human Phase 1/2 clinical trial of CFT7455 for patients with MM or NHL;</w:t>
      </w:r>
    </w:p>
    <w:p>
      <w:pPr>
        <w:spacing w:after="0" w:line="117"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the planned first-in-human Phase 1/2 clinical trial of CFT8634 for patients with synovial sarcoma or SMARCB1 deleted solid tumors;</w:t>
      </w:r>
    </w:p>
    <w:p>
      <w:pPr>
        <w:spacing w:after="0" w:line="114"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and complete IND-enabling studies with respect to our BRAF V600E and RET programs and initiate planned first-in-human Phase 1/2 clinical trials for each of these programs; and</w:t>
      </w:r>
    </w:p>
    <w:p>
      <w:pPr>
        <w:spacing w:after="0" w:line="114" w:lineRule="exact"/>
        <w:rPr>
          <w:rFonts w:ascii="Arial" w:cs="Arial" w:eastAsia="Arial" w:hAnsi="Arial"/>
          <w:sz w:val="18"/>
          <w:szCs w:val="18"/>
          <w:color w:val="auto"/>
        </w:rPr>
      </w:pPr>
    </w:p>
    <w:p>
      <w:pPr>
        <w:ind w:left="340" w:right="760" w:hanging="224"/>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continued development of our TORPEDO platform and advancement and identification of additional targets and development candidates, hiring of additional personnel, capital expenditures and other general corporate purposes.</w:t>
      </w:r>
    </w:p>
    <w:p>
      <w:pPr>
        <w:spacing w:after="0" w:line="101"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Based on our current plans, we believe our existing cash, cash equivalents, and marketable securities of $346.0 million as of March 31, 2021, together with future payments expected to be received under existing collaboration agreements and the net proceeds from this offering will be</w:t>
      </w:r>
    </w:p>
    <w:p>
      <w:pPr>
        <w:ind w:left="120"/>
        <w:spacing w:after="0"/>
        <w:tabs>
          <w:tab w:leader="none" w:pos="4740" w:val="left"/>
        </w:tabs>
        <w:rPr>
          <w:sz w:val="20"/>
          <w:szCs w:val="20"/>
          <w:color w:val="auto"/>
        </w:rPr>
      </w:pPr>
      <w:r>
        <w:rPr>
          <w:rFonts w:ascii="Arial" w:cs="Arial" w:eastAsia="Arial" w:hAnsi="Arial"/>
          <w:sz w:val="18"/>
          <w:szCs w:val="18"/>
          <w:color w:val="auto"/>
        </w:rPr>
        <w:t>sufficient to fund our existing operating plan to</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and the extent of clinical development may vary significantly depending on numerous factors, including the timing and progress of our development, the status of and results from preclinical studies or clinical trials we may commence in the future, as well as any</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99" w:lineRule="auto"/>
        <w:rPr>
          <w:sz w:val="20"/>
          <w:szCs w:val="20"/>
          <w:color w:val="auto"/>
        </w:rPr>
      </w:pPr>
      <w:r>
        <w:rPr>
          <w:rFonts w:ascii="Arial" w:cs="Arial" w:eastAsia="Arial" w:hAnsi="Arial"/>
          <w:sz w:val="16"/>
          <w:szCs w:val="16"/>
          <w:color w:val="auto"/>
        </w:rPr>
        <w:t>collaborations that we may enter into with third parties for our product candidates or strategic opportunities that become available to us and any unforeseen cash needs. As a result, our management will retain broad discretion over the allocation of the net proceeds from this offering.</w:t>
      </w:r>
    </w:p>
    <w:p>
      <w:pPr>
        <w:spacing w:after="0" w:line="55"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Pending our use of proceeds from this offering, we intend to invest the net proceeds in a variety of capital preservation instruments, including short-term, investment-grade, interest-bearing instruments and U.S. government securities.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 In addition, the terms of our Credit Agreement with Perceptive Credit preclude us from paying dividends.</w:t>
      </w:r>
    </w:p>
    <w:p>
      <w:pPr>
        <w:spacing w:after="0" w:line="11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420"/>
          </w:cols>
          <w:pgMar w:left="320" w:top="459" w:right="11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and cash equivalents and marketable securities and our capitalization as of March 31, 2021:</w:t>
      </w:r>
    </w:p>
    <w:p>
      <w:pPr>
        <w:spacing w:after="0" w:line="117"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on an actual basis;</w:t>
      </w:r>
    </w:p>
    <w:p>
      <w:pPr>
        <w:spacing w:after="0" w:line="113" w:lineRule="exact"/>
        <w:rPr>
          <w:sz w:val="20"/>
          <w:szCs w:val="20"/>
          <w:color w:val="auto"/>
        </w:rPr>
      </w:pPr>
    </w:p>
    <w:p>
      <w:pPr>
        <w:ind w:left="120"/>
        <w:spacing w:after="0"/>
        <w:tabs>
          <w:tab w:leader="none" w:pos="320" w:val="left"/>
          <w:tab w:leader="none" w:pos="6260" w:val="left"/>
        </w:tabs>
        <w:rPr>
          <w:sz w:val="20"/>
          <w:szCs w:val="20"/>
          <w:color w:val="auto"/>
        </w:rPr>
      </w:pPr>
      <w:r>
        <w:rPr>
          <w:rFonts w:ascii="Arial" w:cs="Arial" w:eastAsia="Arial" w:hAnsi="Arial"/>
          <w:sz w:val="18"/>
          <w:szCs w:val="18"/>
          <w:color w:val="auto"/>
        </w:rPr>
        <w:t>•</w:t>
        <w:tab/>
        <w:t>on an as-adjusted basis to give effect to the sale and issuance by us of</w:t>
      </w:r>
      <w:r>
        <w:rPr>
          <w:sz w:val="20"/>
          <w:szCs w:val="20"/>
          <w:color w:val="auto"/>
        </w:rPr>
        <w:tab/>
      </w:r>
      <w:r>
        <w:rPr>
          <w:rFonts w:ascii="Arial" w:cs="Arial" w:eastAsia="Arial" w:hAnsi="Arial"/>
          <w:sz w:val="16"/>
          <w:szCs w:val="16"/>
          <w:color w:val="auto"/>
        </w:rPr>
        <w:t>shares of our common stock in this offering at an assumed</w:t>
      </w:r>
    </w:p>
    <w:p>
      <w:pPr>
        <w:ind w:left="340"/>
        <w:spacing w:after="0"/>
        <w:tabs>
          <w:tab w:leader="none" w:pos="280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share, the last reported sale price of our common stock on The Nasdaq Global Select market</w:t>
      </w:r>
    </w:p>
    <w:p>
      <w:pPr>
        <w:spacing w:after="0" w:line="1"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2021, after deducting estimated underwriting discounts and commissions and estimated offering expenses payable by us.</w:t>
      </w:r>
    </w:p>
    <w:p>
      <w:pPr>
        <w:spacing w:after="0" w:line="10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You should read this table below with our unaudited condensed consolidated financial statements and the related notes and the “Management’s Discussion and Analysis of Financial Condition and Results of Operations” section included in our Quarterly Report on Form 10-Q for the quarter ended March 31, 2021, which is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8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As of March 31, 2021</w:t>
            </w:r>
          </w:p>
        </w:tc>
      </w:tr>
      <w:tr>
        <w:trPr>
          <w:trHeight w:val="196"/>
        </w:trPr>
        <w:tc>
          <w:tcPr>
            <w:tcW w:w="48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Actual</w:t>
            </w:r>
          </w:p>
        </w:tc>
        <w:tc>
          <w:tcPr>
            <w:tcW w:w="11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As adjusted</w:t>
            </w:r>
          </w:p>
        </w:tc>
        <w:tc>
          <w:tcPr>
            <w:tcW w:w="120" w:type="dxa"/>
            <w:vAlign w:val="bottom"/>
            <w:gridSpan w:val="2"/>
          </w:tcPr>
          <w:p>
            <w:pPr>
              <w:spacing w:after="0"/>
              <w:rPr>
                <w:sz w:val="17"/>
                <w:szCs w:val="17"/>
                <w:color w:val="auto"/>
              </w:rPr>
            </w:pPr>
          </w:p>
        </w:tc>
      </w:tr>
      <w:tr>
        <w:trPr>
          <w:trHeight w:val="177"/>
        </w:trPr>
        <w:tc>
          <w:tcPr>
            <w:tcW w:w="48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right"/>
              <w:ind w:right="20"/>
              <w:spacing w:after="0" w:line="177" w:lineRule="exact"/>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5"/>
                <w:szCs w:val="15"/>
                <w:color w:val="auto"/>
              </w:rPr>
            </w:pPr>
          </w:p>
        </w:tc>
      </w:tr>
      <w:tr>
        <w:trPr>
          <w:trHeight w:val="203"/>
        </w:trPr>
        <w:tc>
          <w:tcPr>
            <w:tcW w:w="48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5"/>
          </w:tcPr>
          <w:p>
            <w:pPr>
              <w:jc w:val="right"/>
              <w:ind w:right="120"/>
              <w:spacing w:after="0" w:line="202" w:lineRule="exact"/>
              <w:rPr>
                <w:sz w:val="20"/>
                <w:szCs w:val="20"/>
                <w:color w:val="auto"/>
              </w:rPr>
            </w:pPr>
            <w:r>
              <w:rPr>
                <w:rFonts w:ascii="Arial" w:cs="Arial" w:eastAsia="Arial" w:hAnsi="Arial"/>
                <w:sz w:val="18"/>
                <w:szCs w:val="18"/>
                <w:b w:val="1"/>
                <w:bCs w:val="1"/>
                <w:color w:val="auto"/>
              </w:rPr>
              <w:t>(In thousands, except</w:t>
            </w:r>
          </w:p>
        </w:tc>
      </w:tr>
      <w:tr>
        <w:trPr>
          <w:trHeight w:val="234"/>
        </w:trPr>
        <w:tc>
          <w:tcPr>
            <w:tcW w:w="48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w w:val="96"/>
              </w:rPr>
              <w:t>share and per share data)</w:t>
            </w:r>
          </w:p>
        </w:tc>
      </w:tr>
      <w:tr>
        <w:trPr>
          <w:trHeight w:val="197"/>
        </w:trPr>
        <w:tc>
          <w:tcPr>
            <w:tcW w:w="48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Cash and cash equivalents and marketable securities</w:t>
            </w:r>
          </w:p>
        </w:tc>
        <w:tc>
          <w:tcPr>
            <w:tcW w:w="3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52"/>
              <w:spacing w:after="0" w:line="197" w:lineRule="exact"/>
              <w:rPr>
                <w:sz w:val="20"/>
                <w:szCs w:val="20"/>
                <w:color w:val="auto"/>
              </w:rPr>
            </w:pPr>
            <w:r>
              <w:rPr>
                <w:rFonts w:ascii="Arial" w:cs="Arial" w:eastAsia="Arial" w:hAnsi="Arial"/>
                <w:sz w:val="18"/>
                <w:szCs w:val="18"/>
                <w:color w:val="auto"/>
              </w:rPr>
              <w:t>345,974</w:t>
            </w:r>
          </w:p>
        </w:tc>
        <w:tc>
          <w:tcPr>
            <w:tcW w:w="380" w:type="dxa"/>
            <w:vAlign w:val="bottom"/>
            <w:tcBorders>
              <w:bottom w:val="single" w:sz="8" w:color="auto"/>
            </w:tcBorders>
            <w:shd w:val="clear" w:color="auto" w:fill="CCEEFF"/>
          </w:tcPr>
          <w:p>
            <w:pPr>
              <w:jc w:val="right"/>
              <w:ind w:right="12"/>
              <w:spacing w:after="0" w:line="197"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rPr>
              <w:t>Long-term debt</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10,231</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6"/>
        </w:trPr>
        <w:tc>
          <w:tcPr>
            <w:tcW w:w="48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3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760" w:type="dxa"/>
            <w:vAlign w:val="bottom"/>
            <w:gridSpan w:val="3"/>
          </w:tcPr>
          <w:p>
            <w:pPr>
              <w:ind w:left="220"/>
              <w:spacing w:after="0" w:line="206" w:lineRule="exact"/>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4800" w:type="dxa"/>
            <w:vAlign w:val="bottom"/>
          </w:tcPr>
          <w:p>
            <w:pPr>
              <w:ind w:left="420"/>
              <w:spacing w:after="0" w:line="200" w:lineRule="exact"/>
              <w:rPr>
                <w:sz w:val="20"/>
                <w:szCs w:val="20"/>
                <w:color w:val="auto"/>
              </w:rPr>
            </w:pPr>
            <w:r>
              <w:rPr>
                <w:rFonts w:ascii="Arial" w:cs="Arial" w:eastAsia="Arial" w:hAnsi="Arial"/>
                <w:sz w:val="18"/>
                <w:szCs w:val="18"/>
                <w:color w:val="auto"/>
              </w:rPr>
              <w:t>actual</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760" w:type="dxa"/>
            <w:vAlign w:val="bottom"/>
            <w:gridSpan w:val="3"/>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$0.0001 par value; 150,000,000 shares authorized, 43,108,960 shares issued and</w:t>
            </w: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outstanding, actual; 150,000,000 shares authorized,</w:t>
            </w:r>
          </w:p>
        </w:tc>
        <w:tc>
          <w:tcPr>
            <w:tcW w:w="3960" w:type="dxa"/>
            <w:vAlign w:val="bottom"/>
            <w:gridSpan w:val="2"/>
            <w:shd w:val="clear" w:color="auto" w:fill="CCEEFF"/>
          </w:tcPr>
          <w:p>
            <w:pPr>
              <w:jc w:val="right"/>
              <w:ind w:right="852"/>
              <w:spacing w:after="0" w:line="202" w:lineRule="exact"/>
              <w:rPr>
                <w:sz w:val="20"/>
                <w:szCs w:val="20"/>
                <w:color w:val="auto"/>
              </w:rPr>
            </w:pPr>
            <w:r>
              <w:rPr>
                <w:rFonts w:ascii="Arial" w:cs="Arial" w:eastAsia="Arial" w:hAnsi="Arial"/>
                <w:sz w:val="18"/>
                <w:szCs w:val="18"/>
                <w:color w:val="auto"/>
              </w:rPr>
              <w:t>shares issued and outstanding, as</w:t>
            </w: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480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adjusted</w:t>
            </w:r>
          </w:p>
        </w:tc>
        <w:tc>
          <w:tcPr>
            <w:tcW w:w="3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2"/>
              <w:spacing w:after="0" w:line="200"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468,589</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3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w:t>
            </w:r>
          </w:p>
        </w:tc>
      </w:tr>
      <w:tr>
        <w:trPr>
          <w:trHeight w:val="209"/>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8"/>
              </w:rPr>
              <w:t>(204,794)</w:t>
            </w:r>
          </w:p>
        </w:tc>
        <w:tc>
          <w:tcPr>
            <w:tcW w:w="380" w:type="dxa"/>
            <w:vAlign w:val="bottom"/>
          </w:tcPr>
          <w:p>
            <w:pPr>
              <w:spacing w:after="0"/>
              <w:rPr>
                <w:sz w:val="18"/>
                <w:szCs w:val="18"/>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(204,794)</w:t>
            </w:r>
          </w:p>
        </w:tc>
      </w:tr>
      <w:tr>
        <w:trPr>
          <w:trHeight w:val="203"/>
        </w:trPr>
        <w:tc>
          <w:tcPr>
            <w:tcW w:w="48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stockholders’ equity</w:t>
            </w:r>
          </w:p>
        </w:tc>
        <w:tc>
          <w:tcPr>
            <w:tcW w:w="38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263,705</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capitalization</w:t>
            </w:r>
          </w:p>
        </w:tc>
        <w:tc>
          <w:tcPr>
            <w:tcW w:w="3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374,007</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11"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A $1.00 increase (decrease) in the assumed public offering price of $ per share, which is the last reported sale price of our common stock on The Nasdaq Global Select Market on , 2021, would increase (decrease) the as adjusted amount of each of cash and cash equivalents and marketable securities, additional paid-in capital, total stockholders’ equity and total capitalization by $ , assuming that</w:t>
      </w:r>
    </w:p>
    <w:p>
      <w:pPr>
        <w:spacing w:after="0" w:line="2" w:lineRule="exact"/>
        <w:rPr>
          <w:sz w:val="20"/>
          <w:szCs w:val="20"/>
          <w:color w:val="auto"/>
        </w:rPr>
      </w:pPr>
    </w:p>
    <w:p>
      <w:pPr>
        <w:ind w:left="120" w:right="100"/>
        <w:spacing w:after="0" w:line="198" w:lineRule="auto"/>
        <w:rPr>
          <w:sz w:val="20"/>
          <w:szCs w:val="20"/>
          <w:color w:val="auto"/>
        </w:rPr>
      </w:pPr>
      <w:r>
        <w:rPr>
          <w:rFonts w:ascii="Arial" w:cs="Arial" w:eastAsia="Arial" w:hAnsi="Arial"/>
          <w:sz w:val="16"/>
          <w:szCs w:val="16"/>
          <w:color w:val="auto"/>
        </w:rPr>
        <w:t>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as adjusted amount of each of cash and cash equivalents and marketable securities, additional paid-in capital, total stockholders’ equity and total capitalization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tabs>
          <w:tab w:leader="none" w:pos="780" w:val="left"/>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assuming the public offering price of $</w:t>
      </w:r>
      <w:r>
        <w:rPr>
          <w:sz w:val="20"/>
          <w:szCs w:val="20"/>
          <w:color w:val="auto"/>
        </w:rPr>
        <w:tab/>
      </w:r>
      <w:r>
        <w:rPr>
          <w:rFonts w:ascii="Arial" w:cs="Arial" w:eastAsia="Arial" w:hAnsi="Arial"/>
          <w:sz w:val="16"/>
          <w:szCs w:val="16"/>
          <w:color w:val="auto"/>
        </w:rPr>
        <w:t>per share, the last reported sale price of our common stock 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The Nasdaq Global Select Market on , 2021, remains the same and after deducting estimated underwriting discounts and commissions and estimated offering expenses payable by us.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above excludes the following as of March 31, 2021:</w:t>
      </w:r>
    </w:p>
    <w:p>
      <w:pPr>
        <w:spacing w:after="0" w:line="117" w:lineRule="exact"/>
        <w:rPr>
          <w:sz w:val="20"/>
          <w:szCs w:val="20"/>
          <w:color w:val="auto"/>
        </w:rPr>
      </w:pPr>
    </w:p>
    <w:p>
      <w:pPr>
        <w:ind w:left="340" w:right="40" w:hanging="224"/>
        <w:spacing w:after="0" w:line="23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5,952,914 shares of common stock issuable upon exercise of stock options outstanding under our 2015 Plan and under our 2020 Plan at a weighted-average exercise price of $18.10 per share;</w:t>
      </w:r>
    </w:p>
    <w:p>
      <w:pPr>
        <w:spacing w:after="0" w:line="114"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338,784 shares of our common stock issuable upon the exercise of warrants to purchase shares of our common stock at an exercise price of $8.86 per share;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4,602,393 shares of common stock reserved for future issuance under our 2020 Plan;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868,405 shares of common stock reserved for future issuance under our 2020 Employee Stock Purchase Plan.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 As of March 31, 2021, our historical net tangible book value was $263.7 million, or $6.12 per share of common stock.</w:t>
      </w:r>
    </w:p>
    <w:p>
      <w:pPr>
        <w:spacing w:after="0" w:line="69" w:lineRule="exact"/>
        <w:rPr>
          <w:sz w:val="20"/>
          <w:szCs w:val="20"/>
          <w:color w:val="auto"/>
        </w:rPr>
      </w:pPr>
    </w:p>
    <w:p>
      <w:pPr>
        <w:ind w:left="120" w:right="200"/>
        <w:spacing w:after="0" w:line="299" w:lineRule="auto"/>
        <w:rPr>
          <w:sz w:val="20"/>
          <w:szCs w:val="20"/>
          <w:color w:val="auto"/>
        </w:rPr>
      </w:pPr>
      <w:r>
        <w:rPr>
          <w:rFonts w:ascii="Arial" w:cs="Arial" w:eastAsia="Arial" w:hAnsi="Arial"/>
          <w:sz w:val="16"/>
          <w:szCs w:val="16"/>
          <w:color w:val="auto"/>
        </w:rPr>
        <w:t>Our historical net tangible book value is the amount of our total tangible assets less our total liabilities. Historical net tangible book value per share represents historical net tangible book value divided by 43,108,960 shares of common stock outstanding as of March 31, 2021.</w:t>
      </w:r>
    </w:p>
    <w:p>
      <w:pPr>
        <w:sectPr>
          <w:pgSz w:w="11900" w:h="16838" w:orient="portrait"/>
          <w:cols w:equalWidth="0" w:num="1">
            <w:col w:w="11140"/>
          </w:cols>
          <w:pgMar w:left="320" w:top="459" w:right="439" w:bottom="1440" w:gutter="0" w:footer="0" w:header="0"/>
        </w:sectPr>
      </w:pPr>
    </w:p>
    <w:p>
      <w:pPr>
        <w:spacing w:after="0" w:line="5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After giving effect to our issuance and sale of shares of our common stock in this offering at an assumed public offering price of $ share, which is the last reported sale price of our common stock on The Nasdaq Global Select Market on , 2021, after deducting</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per</w:t>
      </w:r>
    </w:p>
    <w:p>
      <w:pPr>
        <w:spacing w:after="0" w:line="229" w:lineRule="exact"/>
        <w:rPr>
          <w:sz w:val="20"/>
          <w:szCs w:val="20"/>
          <w:color w:val="auto"/>
        </w:rPr>
      </w:pPr>
    </w:p>
    <w:p>
      <w:pPr>
        <w:sectPr>
          <w:pgSz w:w="11900" w:h="16838" w:orient="portrait"/>
          <w:cols w:equalWidth="0" w:num="2">
            <w:col w:w="10620" w:space="120"/>
            <w:col w:w="4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estimated underwriting discounts and commissions and estimated offering expenses payable by us, our as adjusted net tangible book value</w:t>
      </w:r>
    </w:p>
    <w:p>
      <w:pPr>
        <w:sectPr>
          <w:pgSz w:w="11900" w:h="16838" w:orient="portrait"/>
          <w:cols w:equalWidth="0" w:num="1">
            <w:col w:w="11140"/>
          </w:cols>
          <w:pgMar w:left="320" w:top="459" w:right="439" w:bottom="1440" w:gutter="0" w:footer="0" w:header="0"/>
          <w:type w:val="continuous"/>
        </w:sectPr>
      </w:pPr>
    </w:p>
    <w:p>
      <w:pPr>
        <w:spacing w:after="0" w:line="19" w:lineRule="exact"/>
        <w:rPr>
          <w:sz w:val="20"/>
          <w:szCs w:val="20"/>
          <w:color w:val="auto"/>
        </w:rPr>
      </w:pPr>
    </w:p>
    <w:p>
      <w:pPr>
        <w:ind w:left="120" w:right="520"/>
        <w:spacing w:after="0" w:line="234" w:lineRule="auto"/>
        <w:rPr>
          <w:sz w:val="20"/>
          <w:szCs w:val="20"/>
          <w:color w:val="auto"/>
        </w:rPr>
      </w:pPr>
      <w:r>
        <w:rPr>
          <w:rFonts w:ascii="Arial" w:cs="Arial" w:eastAsia="Arial" w:hAnsi="Arial"/>
          <w:sz w:val="18"/>
          <w:szCs w:val="18"/>
          <w:color w:val="auto"/>
        </w:rPr>
        <w:t>as of March 31, 2021 would have been $ , or $ per share of common stock. This represents an immediate increase in as adjusted net tangible book value of $ per share to existing stockholders and an immediate dilution of $ in as adjusted net</w:t>
      </w:r>
    </w:p>
    <w:p>
      <w:pPr>
        <w:sectPr>
          <w:pgSz w:w="11900" w:h="16838" w:orient="portrait"/>
          <w:cols w:equalWidth="0" w:num="1">
            <w:col w:w="11140"/>
          </w:cols>
          <w:pgMar w:left="320" w:top="459" w:right="439" w:bottom="1440" w:gutter="0" w:footer="0" w:header="0"/>
          <w:type w:val="continuous"/>
        </w:sectPr>
      </w:pP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tangible book value per share to new investors purchasing common stock in this offering. Dilution per share to new investors is determined by subtracting as adjusted net tangible book value per share after this offering from the assumed public offering price per share paid by new investors. The following table illustrates this dilution on a per share basis:</w:t>
      </w:r>
    </w:p>
    <w:p>
      <w:pPr>
        <w:spacing w:after="0" w:line="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24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9"/>
                <w:szCs w:val="19"/>
                <w:color w:val="auto"/>
              </w:rPr>
            </w:pPr>
          </w:p>
        </w:tc>
      </w:tr>
      <w:tr>
        <w:trPr>
          <w:trHeight w:val="209"/>
        </w:trPr>
        <w:tc>
          <w:tcPr>
            <w:tcW w:w="9040" w:type="dxa"/>
            <w:vAlign w:val="bottom"/>
          </w:tcPr>
          <w:p>
            <w:pPr>
              <w:ind w:left="220"/>
              <w:spacing w:after="0" w:line="202" w:lineRule="exact"/>
              <w:rPr>
                <w:sz w:val="20"/>
                <w:szCs w:val="20"/>
                <w:color w:val="auto"/>
              </w:rPr>
            </w:pPr>
            <w:r>
              <w:rPr>
                <w:rFonts w:ascii="Arial" w:cs="Arial" w:eastAsia="Arial" w:hAnsi="Arial"/>
                <w:sz w:val="18"/>
                <w:szCs w:val="18"/>
                <w:color w:val="auto"/>
              </w:rPr>
              <w:t>Historical net tangible book value per share as of March 31, 2021</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6.12</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904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Increase in as adjusted net tangible book value per share attributable to new investors purchasing common</w:t>
            </w:r>
          </w:p>
        </w:tc>
        <w:tc>
          <w:tcPr>
            <w:tcW w:w="2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904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stock in this offering</w:t>
            </w:r>
          </w:p>
        </w:tc>
        <w:tc>
          <w:tcPr>
            <w:tcW w:w="2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04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9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Dilution in as adjusted net tangible book value per share to new investors purchasing common stock in this</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90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offering</w:t>
            </w:r>
          </w:p>
        </w:tc>
        <w:tc>
          <w:tcPr>
            <w:tcW w:w="24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9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dilution information discussed above is illustrative only and will depend on the actual public offering price and other terms of this offering</w:t>
      </w:r>
    </w:p>
    <w:p>
      <w:pPr>
        <w:spacing w:after="0" w:line="19"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determined at pricing. A $1.00 increase (decrease) in the assumed public offering price of $ per share, the last reported sale price of our common stock on The Nasdaq Global Select Market on , 2021, would increase (decrease) the as adjusted net tangible book value by $ per share and the dilution to investors purchasing common stock in this offering by $ per share, assuming the number of</w:t>
      </w:r>
    </w:p>
    <w:p>
      <w:pPr>
        <w:spacing w:after="0" w:line="2" w:lineRule="exact"/>
        <w:rPr>
          <w:sz w:val="20"/>
          <w:szCs w:val="20"/>
          <w:color w:val="auto"/>
        </w:rPr>
      </w:pPr>
    </w:p>
    <w:p>
      <w:pPr>
        <w:ind w:left="120" w:right="60"/>
        <w:spacing w:after="0" w:line="396"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estimated underwriting discounts and commissions and estimated offering expenses payable by us. An increase of 1,000,000 shares in the number of shares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by us in this offering would increase the as adjusted net tangible book value by $ per share and would decrease the dilution per share to new investors purchasing common stock in this offering by $ per share, assuming no change in the assumed public offering price of</w:t>
      </w:r>
    </w:p>
    <w:p>
      <w:pPr>
        <w:spacing w:after="0" w:line="1" w:lineRule="exact"/>
        <w:rPr>
          <w:sz w:val="20"/>
          <w:szCs w:val="20"/>
          <w:color w:val="auto"/>
        </w:rPr>
      </w:pPr>
    </w:p>
    <w:p>
      <w:pPr>
        <w:ind w:left="840" w:hanging="724"/>
        <w:spacing w:after="0"/>
        <w:tabs>
          <w:tab w:leader="none" w:pos="8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 share, and after deducting estimated underwriting discounts and commissions and estimated offering expenses payable by us. A</w:t>
      </w:r>
    </w:p>
    <w:p>
      <w:pPr>
        <w:spacing w:after="0" w:line="1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decrease of 1,000,000 shares in the number of shares offered by us, as set forth on the cover page of this prospectus, would decrease our as</w:t>
      </w:r>
    </w:p>
    <w:p>
      <w:pPr>
        <w:spacing w:after="0" w:line="22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adjusted net tangible book value after this offering by $ per share and increase the dilution to new investors purchasing common stock in this offering by $ per share, assuming no change in the assumed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00"/>
        <w:spacing w:after="0" w:line="334" w:lineRule="auto"/>
        <w:rPr>
          <w:sz w:val="20"/>
          <w:szCs w:val="20"/>
          <w:color w:val="auto"/>
        </w:rPr>
      </w:pPr>
      <w:r>
        <w:rPr>
          <w:rFonts w:ascii="Arial" w:cs="Arial" w:eastAsia="Arial" w:hAnsi="Arial"/>
          <w:sz w:val="16"/>
          <w:szCs w:val="16"/>
          <w:color w:val="auto"/>
        </w:rPr>
        <w:t>public offering price and after deducting estimated underwriting discounts and commissions and estimated offering expenses payable by us. If the underwriters exercise their option to purchase additional shares in full, our as adjusted net tangible book value per share after this</w:t>
      </w:r>
    </w:p>
    <w:p>
      <w:pPr>
        <w:spacing w:after="0" w:line="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offering would be $ , representing an immediate increase in as adjusted net tangible book value per share of $ to existing stockholders and immediate dilution in as adjusted net tangible book value per share of $ to new investors purchasing common stock in this offering, assuming an public offering price of $ per share, the last reported sale price of our common stock on The Nasdaq Global Select Market on , 2021, and after deducting estimated underwriting discounts and commissions and estimated offering expenses payable by us.</w:t>
      </w:r>
    </w:p>
    <w:p>
      <w:pPr>
        <w:spacing w:after="0" w:line="293"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The table above assumes no exercise of the underwriters’ option to purchase additional shares in this offering. If the underwriters exercise their option to purchase additional shares of our common stock in full, the number of shares of our common stock held by existing stockholders and new investors would be % and %, respectively, of the total number of shares of our common stock outstanding after this offering.</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foregoing tables and calculations are based on 43,108,960 shares of our common stock outstanding as of March 31, 2021 and exclude:</w:t>
      </w:r>
    </w:p>
    <w:p>
      <w:pPr>
        <w:spacing w:after="0" w:line="140" w:lineRule="exact"/>
        <w:rPr>
          <w:sz w:val="20"/>
          <w:szCs w:val="20"/>
          <w:color w:val="auto"/>
        </w:rPr>
      </w:pPr>
    </w:p>
    <w:p>
      <w:pPr>
        <w:ind w:left="340" w:right="48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5,952,914 shares of common stock issuable upon exercise of stock options outstanding under our 2015 Plan and our 2020 Plan at a weighted-average exercise price of $18.10 per share;</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338,784 shares of our common stock issuable upon the exercise of warrants to purchase shares of our common stock at an exercise price of $8.86 per share;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4,602,393 shares of common stock reserved for future issuance under our 2020 Plan;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868,405 shares of common stock reserved for future issuance under our 2020 Employee Stock Purchase Plan.</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To the extent that outstanding stock options or warrants are exercised, new stock options are issued,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Principal stockholders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as of May 12, 2021, information regarding the beneficial ownership of our common stock by:</w:t>
      </w:r>
    </w:p>
    <w:p>
      <w:pPr>
        <w:spacing w:after="0" w:line="117"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 the beneficial owner of 5% or more of our outstanding common stock;</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information in the following table is calculated based on (i) 43,202,807 shares of common stock outstanding as of May 12, 2021 and</w:t>
      </w:r>
    </w:p>
    <w:p>
      <w:pPr>
        <w:ind w:left="120" w:right="20" w:hanging="4"/>
        <w:spacing w:after="0" w:line="238" w:lineRule="auto"/>
        <w:tabs>
          <w:tab w:leader="none" w:pos="9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common stock outstanding after this offering, (assuming no exercise by the underwriters of their option to purchase additional shares of common stock). The number of shares outstanding after this offering gives effect to the sale of shares of common stock in this offering (assuming no exercise of the underwriters’ option to purchase additional shares).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May 12, 2021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w:t>
      </w:r>
    </w:p>
    <w:p>
      <w:pPr>
        <w:spacing w:after="0" w:line="10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Each individual or entity shown on the table has furnished information with respect to beneficial ownership. Except as otherwise indicated below, the address of each officer, director and five percent stockholder listed below is c/o C4 Therapeutics, Inc., 490 Arsenal Way, Suite 200, Watertown, MA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180" w:type="dxa"/>
            <w:vAlign w:val="bottom"/>
          </w:tcPr>
          <w:p>
            <w:pPr>
              <w:spacing w:after="0"/>
              <w:rPr>
                <w:sz w:val="18"/>
                <w:szCs w:val="18"/>
                <w:color w:val="auto"/>
              </w:rPr>
            </w:pPr>
          </w:p>
        </w:tc>
        <w:tc>
          <w:tcPr>
            <w:tcW w:w="1820" w:type="dxa"/>
            <w:vAlign w:val="bottom"/>
          </w:tcPr>
          <w:p>
            <w:pPr>
              <w:jc w:val="right"/>
              <w:ind w:right="492"/>
              <w:spacing w:after="0"/>
              <w:rPr>
                <w:sz w:val="20"/>
                <w:szCs w:val="20"/>
                <w:color w:val="auto"/>
              </w:rPr>
            </w:pPr>
            <w:r>
              <w:rPr>
                <w:rFonts w:ascii="Arial" w:cs="Arial" w:eastAsia="Arial" w:hAnsi="Arial"/>
                <w:sz w:val="18"/>
                <w:szCs w:val="18"/>
                <w:b w:val="1"/>
                <w:bCs w:val="1"/>
                <w:color w:val="auto"/>
              </w:rPr>
              <w:t>Number of</w:t>
            </w:r>
          </w:p>
        </w:tc>
        <w:tc>
          <w:tcPr>
            <w:tcW w:w="1340" w:type="dxa"/>
            <w:vAlign w:val="bottom"/>
          </w:tcPr>
          <w:p>
            <w:pPr>
              <w:spacing w:after="0"/>
              <w:rPr>
                <w:sz w:val="18"/>
                <w:szCs w:val="18"/>
                <w:color w:val="auto"/>
              </w:rPr>
            </w:pPr>
          </w:p>
        </w:tc>
        <w:tc>
          <w:tcPr>
            <w:tcW w:w="16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22"/>
        </w:trPr>
        <w:tc>
          <w:tcPr>
            <w:tcW w:w="6180" w:type="dxa"/>
            <w:vAlign w:val="bottom"/>
          </w:tcPr>
          <w:p>
            <w:pPr>
              <w:spacing w:after="0"/>
              <w:rPr>
                <w:sz w:val="10"/>
                <w:szCs w:val="10"/>
                <w:color w:val="auto"/>
              </w:rPr>
            </w:pPr>
          </w:p>
        </w:tc>
        <w:tc>
          <w:tcPr>
            <w:tcW w:w="1820" w:type="dxa"/>
            <w:vAlign w:val="bottom"/>
            <w:vMerge w:val="restart"/>
          </w:tcPr>
          <w:p>
            <w:pPr>
              <w:jc w:val="right"/>
              <w:ind w:right="492"/>
              <w:spacing w:after="0" w:line="202" w:lineRule="exact"/>
              <w:rPr>
                <w:sz w:val="20"/>
                <w:szCs w:val="20"/>
                <w:color w:val="auto"/>
              </w:rPr>
            </w:pPr>
            <w:r>
              <w:rPr>
                <w:rFonts w:ascii="Arial" w:cs="Arial" w:eastAsia="Arial" w:hAnsi="Arial"/>
                <w:sz w:val="18"/>
                <w:szCs w:val="18"/>
                <w:b w:val="1"/>
                <w:bCs w:val="1"/>
                <w:color w:val="auto"/>
              </w:rPr>
              <w:t>shares</w:t>
            </w:r>
          </w:p>
        </w:tc>
        <w:tc>
          <w:tcPr>
            <w:tcW w:w="134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8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6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beneficially owned</w:t>
            </w: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1820" w:type="dxa"/>
            <w:vAlign w:val="bottom"/>
            <w:vMerge w:val="restart"/>
          </w:tcPr>
          <w:p>
            <w:pPr>
              <w:jc w:val="right"/>
              <w:ind w:right="492"/>
              <w:spacing w:after="0" w:line="202" w:lineRule="exact"/>
              <w:rPr>
                <w:sz w:val="20"/>
                <w:szCs w:val="20"/>
                <w:color w:val="auto"/>
              </w:rPr>
            </w:pPr>
            <w:r>
              <w:rPr>
                <w:rFonts w:ascii="Arial" w:cs="Arial" w:eastAsia="Arial" w:hAnsi="Arial"/>
                <w:sz w:val="18"/>
                <w:szCs w:val="18"/>
                <w:b w:val="1"/>
                <w:bCs w:val="1"/>
                <w:color w:val="auto"/>
              </w:rPr>
              <w:t>beneficially</w:t>
            </w:r>
          </w:p>
        </w:tc>
        <w:tc>
          <w:tcPr>
            <w:tcW w:w="13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1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18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owned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Before offering</w:t>
            </w:r>
          </w:p>
        </w:tc>
        <w:tc>
          <w:tcPr>
            <w:tcW w:w="1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After offering</w:t>
            </w:r>
          </w:p>
        </w:tc>
        <w:tc>
          <w:tcPr>
            <w:tcW w:w="0" w:type="dxa"/>
            <w:vAlign w:val="bottom"/>
          </w:tcPr>
          <w:p>
            <w:pPr>
              <w:spacing w:after="0"/>
              <w:rPr>
                <w:sz w:val="1"/>
                <w:szCs w:val="1"/>
                <w:color w:val="auto"/>
              </w:rPr>
            </w:pPr>
          </w:p>
        </w:tc>
      </w:tr>
      <w:tr>
        <w:trPr>
          <w:trHeight w:val="48"/>
        </w:trPr>
        <w:tc>
          <w:tcPr>
            <w:tcW w:w="6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Perceptive Advisors(1)</w:t>
            </w:r>
          </w:p>
        </w:tc>
        <w:tc>
          <w:tcPr>
            <w:tcW w:w="182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3,158,566</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Cobro Ventures and its affiliates(2)</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2,484,425</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Andrew J. Hirsch(3)</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317,188</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William T. McKee(4)</w:t>
            </w:r>
          </w:p>
        </w:tc>
        <w:tc>
          <w:tcPr>
            <w:tcW w:w="182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64,527</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Adam S. Crystal, M.D., Ph.D.(5)</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128,380</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Kenneth C. Anderson, M.D.(6)</w:t>
            </w:r>
          </w:p>
        </w:tc>
        <w:tc>
          <w:tcPr>
            <w:tcW w:w="182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307,369</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Alain J. Cohen(7)</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4,227,695</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Marc A. Cohen(8)</w:t>
            </w:r>
          </w:p>
        </w:tc>
        <w:tc>
          <w:tcPr>
            <w:tcW w:w="182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4,497,009</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10.37%</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Downey(9)</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513,214</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Glenn Dubin(10)</w:t>
            </w:r>
          </w:p>
        </w:tc>
        <w:tc>
          <w:tcPr>
            <w:tcW w:w="1820" w:type="dxa"/>
            <w:vAlign w:val="bottom"/>
          </w:tcPr>
          <w:p>
            <w:pPr>
              <w:jc w:val="right"/>
              <w:ind w:right="492"/>
              <w:spacing w:after="0" w:line="202" w:lineRule="exact"/>
              <w:rPr>
                <w:sz w:val="20"/>
                <w:szCs w:val="20"/>
                <w:color w:val="auto"/>
              </w:rPr>
            </w:pPr>
            <w:r>
              <w:rPr>
                <w:rFonts w:ascii="Arial" w:cs="Arial" w:eastAsia="Arial" w:hAnsi="Arial"/>
                <w:sz w:val="18"/>
                <w:szCs w:val="18"/>
                <w:color w:val="auto"/>
              </w:rPr>
              <w:t>790,607</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Elena Prokupets Ph.D.(11)</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735,119</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20"/>
                <w:szCs w:val="20"/>
                <w:color w:val="auto"/>
              </w:rPr>
            </w:pPr>
            <w:r>
              <w:rPr>
                <w:rFonts w:ascii="Arial" w:cs="Arial" w:eastAsia="Arial" w:hAnsi="Arial"/>
                <w:sz w:val="18"/>
                <w:szCs w:val="18"/>
                <w:color w:val="auto"/>
              </w:rPr>
              <w:t>Malcolm Salter(12)</w:t>
            </w:r>
          </w:p>
        </w:tc>
        <w:tc>
          <w:tcPr>
            <w:tcW w:w="1820" w:type="dxa"/>
            <w:vAlign w:val="bottom"/>
          </w:tcPr>
          <w:p>
            <w:pPr>
              <w:jc w:val="right"/>
              <w:ind w:right="492"/>
              <w:spacing w:after="0"/>
              <w:rPr>
                <w:sz w:val="20"/>
                <w:szCs w:val="20"/>
                <w:color w:val="auto"/>
              </w:rPr>
            </w:pPr>
            <w:r>
              <w:rPr>
                <w:rFonts w:ascii="Arial" w:cs="Arial" w:eastAsia="Arial" w:hAnsi="Arial"/>
                <w:sz w:val="18"/>
                <w:szCs w:val="18"/>
                <w:color w:val="auto"/>
              </w:rPr>
              <w:t>40,025</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current executive officers and directors as a group (12 persons)(13)</w:t>
            </w:r>
          </w:p>
        </w:tc>
        <w:tc>
          <w:tcPr>
            <w:tcW w:w="182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b w:val="1"/>
                <w:bCs w:val="1"/>
                <w:color w:val="auto"/>
              </w:rPr>
              <w:t>9,381,478</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21.27%</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180" w:type="dxa"/>
            <w:vAlign w:val="bottom"/>
          </w:tcPr>
          <w:p>
            <w:pPr>
              <w:ind w:left="5400"/>
              <w:spacing w:after="0"/>
              <w:rPr>
                <w:sz w:val="20"/>
                <w:szCs w:val="20"/>
                <w:color w:val="auto"/>
              </w:rPr>
            </w:pPr>
            <w:r>
              <w:rPr>
                <w:rFonts w:ascii="Arial" w:cs="Arial" w:eastAsia="Arial" w:hAnsi="Arial"/>
                <w:sz w:val="18"/>
                <w:szCs w:val="18"/>
                <w:color w:val="auto"/>
              </w:rPr>
              <w:t>92</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0"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our outstanding common stock.</w:t>
      </w:r>
    </w:p>
    <w:p>
      <w:pPr>
        <w:spacing w:after="0" w:line="67"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Information herein is based solely upon a Schedule 13G filed with the SEC on February 16, 2021.</w:t>
      </w:r>
    </w:p>
    <w:p>
      <w:pPr>
        <w:spacing w:after="0" w:line="66" w:lineRule="exact"/>
        <w:rPr>
          <w:rFonts w:ascii="Arial" w:cs="Arial" w:eastAsia="Arial" w:hAnsi="Arial"/>
          <w:sz w:val="13"/>
          <w:szCs w:val="13"/>
          <w:color w:val="auto"/>
        </w:rPr>
      </w:pPr>
    </w:p>
    <w:p>
      <w:pPr>
        <w:ind w:left="440" w:hanging="324"/>
        <w:spacing w:after="0" w:line="245"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Information herein is based solely upon a Schedule 13D filed with the SEC on October 16, 2020. Marc Cohen and Alain Cohen are managers of Cobro Opportunity Fund GP, LLC, the general partner of Cobro Ventures, and may be deemed to exercise shared voting and investment power over the shares held by Cobro Ventures. They disclaim beneficial ownership of the shares held by Cobro Ventures except to the extent of their respective pecuniary interest in such shares. Marc Cohen is our director, Co-Founder, and Executive Chairman, and Alain Cohen is our director.</w:t>
      </w:r>
    </w:p>
    <w:p>
      <w:pPr>
        <w:spacing w:after="0" w:line="51"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317,188 shares of common stock exercisable within 60 days of May 12, 2021 underlying options held by Mr. Hirsch.</w:t>
      </w:r>
    </w:p>
    <w:p>
      <w:pPr>
        <w:spacing w:after="0" w:line="66" w:lineRule="exact"/>
        <w:rPr>
          <w:rFonts w:ascii="Arial" w:cs="Arial" w:eastAsia="Arial" w:hAnsi="Arial"/>
          <w:sz w:val="13"/>
          <w:szCs w:val="13"/>
          <w:color w:val="auto"/>
        </w:rPr>
      </w:pPr>
    </w:p>
    <w:p>
      <w:pPr>
        <w:ind w:left="440" w:right="500" w:hanging="324"/>
        <w:spacing w:after="0" w:line="258"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5,263 shares of common stock held by Mr. McKee and 59,264 shares of common stock exercisable within 60 days of May 12, 2021 underlying options held by Mr. McKee.</w:t>
      </w:r>
    </w:p>
    <w:p>
      <w:pPr>
        <w:spacing w:after="0" w:line="43" w:lineRule="exact"/>
        <w:rPr>
          <w:rFonts w:ascii="Arial" w:cs="Arial" w:eastAsia="Arial" w:hAnsi="Arial"/>
          <w:sz w:val="13"/>
          <w:szCs w:val="13"/>
          <w:color w:val="auto"/>
        </w:rPr>
      </w:pPr>
    </w:p>
    <w:p>
      <w:pPr>
        <w:ind w:left="440" w:hanging="324"/>
        <w:spacing w:after="0"/>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128,380 shares of common stock exercisable within 60 days of May 12, 2021 underlying options held by Dr. Crystal.</w:t>
      </w:r>
    </w:p>
    <w:p>
      <w:pPr>
        <w:spacing w:after="0" w:line="66" w:lineRule="exact"/>
        <w:rPr>
          <w:rFonts w:ascii="Arial" w:cs="Arial" w:eastAsia="Arial" w:hAnsi="Arial"/>
          <w:sz w:val="13"/>
          <w:szCs w:val="13"/>
          <w:color w:val="auto"/>
        </w:rPr>
      </w:pPr>
    </w:p>
    <w:p>
      <w:pPr>
        <w:ind w:left="440" w:hanging="324"/>
        <w:spacing w:after="0" w:line="245"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16,939 shares of common stock held by Kenneth C. Anderson 2015 Irrevocable Trust; (ii) 16,939 shares of common stock held by Cynthia E. Anderson 2015 Irrevocable Trust; (iii) 61,265 shares of common stock held by Kenneth C. Anderson 2016 Grantor Retained Annuity Trust; (iv) 61,265 shares of common stock held by Cynthia E. Anderson 2016 Grantor Retained Annuity Trust; (v) 85,146 shares of common stock held by Dr. Anderson; (vi) 47,316 shares of common stock held by Cynthia Anderson; and (vii) 18,499 shares of common stock exercisable within 60 days of May 12, 2021 underlying options held by Dr. Anderson.</w:t>
      </w:r>
    </w:p>
    <w:p>
      <w:pPr>
        <w:spacing w:after="0" w:line="51" w:lineRule="exact"/>
        <w:rPr>
          <w:rFonts w:ascii="Arial" w:cs="Arial" w:eastAsia="Arial" w:hAnsi="Arial"/>
          <w:sz w:val="13"/>
          <w:szCs w:val="13"/>
          <w:color w:val="auto"/>
        </w:rPr>
      </w:pPr>
    </w:p>
    <w:p>
      <w:pPr>
        <w:ind w:left="440" w:right="140" w:hanging="324"/>
        <w:spacing w:after="0" w:line="238"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1,719,332 shares of common stock held by Mr. A. Cohen as trustee of Alain J. Cohen Revocable Trust; (ii) 266 shares of common stock held by Mr. A. Cohen; (iii) 23,672 shares of common stock exercisable within 60 days of May 12, 2021 underlying options held by Mr. A. Cohen; and (iv) the shares of common stock described in note</w:t>
      </w:r>
    </w:p>
    <w:p>
      <w:pPr>
        <w:ind w:left="640" w:hanging="200"/>
        <w:spacing w:after="0"/>
        <w:tabs>
          <w:tab w:leader="none" w:pos="640" w:val="left"/>
        </w:tabs>
        <w:numPr>
          <w:ilvl w:val="1"/>
          <w:numId w:val="57"/>
        </w:numPr>
        <w:rPr>
          <w:rFonts w:ascii="Arial" w:cs="Arial" w:eastAsia="Arial" w:hAnsi="Arial"/>
          <w:sz w:val="13"/>
          <w:szCs w:val="13"/>
          <w:color w:val="auto"/>
        </w:rPr>
      </w:pPr>
      <w:r>
        <w:rPr>
          <w:rFonts w:ascii="Arial" w:cs="Arial" w:eastAsia="Arial" w:hAnsi="Arial"/>
          <w:sz w:val="13"/>
          <w:szCs w:val="13"/>
          <w:color w:val="auto"/>
        </w:rPr>
        <w:t>above.</w:t>
      </w:r>
    </w:p>
    <w:p>
      <w:pPr>
        <w:spacing w:after="0" w:line="66" w:lineRule="exact"/>
        <w:rPr>
          <w:rFonts w:ascii="Arial" w:cs="Arial" w:eastAsia="Arial" w:hAnsi="Arial"/>
          <w:sz w:val="13"/>
          <w:szCs w:val="13"/>
          <w:color w:val="auto"/>
        </w:rPr>
      </w:pPr>
    </w:p>
    <w:p>
      <w:pPr>
        <w:ind w:left="440" w:right="20" w:hanging="324"/>
        <w:spacing w:after="0" w:line="248"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1,852,207 shares of common stock held by Mr. M. Cohen as trustee of Marc Andrew Cohen Revocable Trust; (ii) 6,119 shares of common stock held by Mr. M. Cohen; (iii) 154,258 shares of common stock exercisable within 60 days of May 12, 2021 underlying options held by Mr. M. Cohen; and (iv) the shares of common stock described in note (2) above.</w:t>
      </w:r>
    </w:p>
    <w:p>
      <w:pPr>
        <w:spacing w:after="0" w:line="49" w:lineRule="exact"/>
        <w:rPr>
          <w:rFonts w:ascii="Arial" w:cs="Arial" w:eastAsia="Arial" w:hAnsi="Arial"/>
          <w:sz w:val="13"/>
          <w:szCs w:val="13"/>
          <w:color w:val="auto"/>
        </w:rPr>
      </w:pPr>
    </w:p>
    <w:p>
      <w:pPr>
        <w:ind w:left="440" w:right="280" w:hanging="324"/>
        <w:spacing w:after="0" w:line="258"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489,542 shares of common stock held by Mr. Downey and 23,672 shares of common stock exercisable within 60 days of May 12, 2021 underlying options held by Mr. Downey.</w:t>
      </w:r>
    </w:p>
    <w:p>
      <w:pPr>
        <w:spacing w:after="0" w:line="43" w:lineRule="exact"/>
        <w:rPr>
          <w:rFonts w:ascii="Arial" w:cs="Arial" w:eastAsia="Arial" w:hAnsi="Arial"/>
          <w:sz w:val="13"/>
          <w:szCs w:val="13"/>
          <w:color w:val="auto"/>
        </w:rPr>
      </w:pPr>
    </w:p>
    <w:p>
      <w:pPr>
        <w:ind w:left="460" w:right="40" w:hanging="344"/>
        <w:spacing w:after="0" w:line="248"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770,607 shares held by DF Investment Partners LLC, of which Mr. Dubin serves as a managing member and disclaims beneficial ownership except to the extent of his pecuniary interest, and (ii) 20,000 shares held by G&amp;E Dubin Family Foundation of which Mr. Dubin disclaims beneficial ownership except to the extent of his pecuniary interest. The shares do not include shares held by Commodore Capital Master LP, a fund affiliated with Mr. Dubin, but over which he does not have voting or dispositive control.</w:t>
      </w:r>
    </w:p>
    <w:p>
      <w:pPr>
        <w:spacing w:after="0" w:line="49" w:lineRule="exact"/>
        <w:rPr>
          <w:rFonts w:ascii="Arial" w:cs="Arial" w:eastAsia="Arial" w:hAnsi="Arial"/>
          <w:sz w:val="13"/>
          <w:szCs w:val="13"/>
          <w:color w:val="auto"/>
        </w:rPr>
      </w:pPr>
    </w:p>
    <w:p>
      <w:pPr>
        <w:ind w:left="460" w:right="320" w:hanging="344"/>
        <w:spacing w:after="0" w:line="258"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592,873 shares of common stock held by ERP Business Holdings, L.P., an entity affiliated with Dr. Prokupets; (ii) 118,574 shares of common stock held by her spouse Marc Grenouilleau; and 23,672 shares of common stock exercisable within 60 days of May 12, 2021 underlying options held by Dr. Prokupets.</w:t>
      </w:r>
    </w:p>
    <w:p>
      <w:pPr>
        <w:spacing w:after="0" w:line="43" w:lineRule="exact"/>
        <w:rPr>
          <w:rFonts w:ascii="Arial" w:cs="Arial" w:eastAsia="Arial" w:hAnsi="Arial"/>
          <w:sz w:val="13"/>
          <w:szCs w:val="13"/>
          <w:color w:val="auto"/>
        </w:rPr>
      </w:pPr>
    </w:p>
    <w:p>
      <w:pPr>
        <w:ind w:left="460" w:right="460" w:hanging="344"/>
        <w:spacing w:after="0" w:line="258" w:lineRule="auto"/>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16,353 shares of common stock held by Mr. Salter and 23,672 shares of common stock exercisable within 60 days of May 12, 2021 underlying options held by Mr. Salter.</w:t>
      </w:r>
    </w:p>
    <w:p>
      <w:pPr>
        <w:spacing w:after="0" w:line="42" w:lineRule="exact"/>
        <w:rPr>
          <w:rFonts w:ascii="Arial" w:cs="Arial" w:eastAsia="Arial" w:hAnsi="Arial"/>
          <w:sz w:val="13"/>
          <w:szCs w:val="13"/>
          <w:color w:val="auto"/>
        </w:rPr>
      </w:pPr>
    </w:p>
    <w:p>
      <w:pPr>
        <w:ind w:left="460" w:hanging="344"/>
        <w:spacing w:after="0"/>
        <w:tabs>
          <w:tab w:leader="none" w:pos="4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the shares of common stock reflected in notes (3) through (12) without double counting the shares held by Cobro Ventures and its affiliates included in notes (7) and</w:t>
      </w:r>
    </w:p>
    <w:p>
      <w:pPr>
        <w:ind w:left="460"/>
        <w:spacing w:after="0"/>
        <w:rPr>
          <w:rFonts w:ascii="Arial" w:cs="Arial" w:eastAsia="Arial" w:hAnsi="Arial"/>
          <w:sz w:val="13"/>
          <w:szCs w:val="13"/>
          <w:color w:val="auto"/>
        </w:rPr>
      </w:pPr>
      <w:r>
        <w:rPr>
          <w:rFonts w:ascii="Arial" w:cs="Arial" w:eastAsia="Arial" w:hAnsi="Arial"/>
          <w:sz w:val="13"/>
          <w:szCs w:val="13"/>
          <w:color w:val="auto"/>
        </w:rPr>
        <w:t>(8); and includes shares of common stock beneficially owned by Stewart Fisher, Ph.D. and Jolie M. Siegel who are executive officers but not named executive officers.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57"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The following descriptions are summaries of the material terms of our amended and restated certificate of incorporation and amended and restated bylaws. We refer in this section to our amended and restated certificate of incorporation as our certificate of incorporation and we refer to our amended and restated bylaws as our bylaws.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will be undesignated.</w:t>
      </w:r>
    </w:p>
    <w:p>
      <w:pPr>
        <w:spacing w:after="0" w:line="101" w:lineRule="exact"/>
        <w:rPr>
          <w:sz w:val="20"/>
          <w:szCs w:val="20"/>
          <w:color w:val="auto"/>
        </w:rPr>
      </w:pPr>
    </w:p>
    <w:p>
      <w:pPr>
        <w:ind w:left="120"/>
        <w:spacing w:after="0"/>
        <w:tabs>
          <w:tab w:leader="none" w:pos="1140" w:val="left"/>
          <w:tab w:leader="none" w:pos="724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8"/>
          <w:szCs w:val="18"/>
          <w:color w:val="auto"/>
        </w:rPr>
        <w:t>, 2021, shares of our common stock were outstanding and held of record by</w:t>
      </w:r>
      <w:r>
        <w:rPr>
          <w:sz w:val="20"/>
          <w:szCs w:val="20"/>
          <w:color w:val="auto"/>
        </w:rPr>
        <w:tab/>
      </w:r>
      <w:r>
        <w:rPr>
          <w:rFonts w:ascii="Arial" w:cs="Arial" w:eastAsia="Arial" w:hAnsi="Arial"/>
          <w:sz w:val="16"/>
          <w:szCs w:val="16"/>
          <w:color w:val="auto"/>
        </w:rPr>
        <w:t>stockholders.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34"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w:t>
      </w:r>
    </w:p>
    <w:p>
      <w:pPr>
        <w:spacing w:after="0" w:line="13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As of , 2021, options to purchase shares of common stock at a weighted-average exercise price of $ per share were outstanding under our 2015 Plan and our 2020 Plan.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Warrants</w:t>
      </w:r>
    </w:p>
    <w:p>
      <w:pPr>
        <w:spacing w:after="0" w:line="134"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In June 2020, we issued a warrant to purchase 2,857,142 shares of our Series B preferred stock to our lender, Perceptive Credit Holdings III, LP, at an exercise price of $1.05 per share, which became exercisable for 338,784 shares of our common stock, at an exercise price $8.86 per share, on an as-converted basis upon the closing of our initial public offering. If unexercised as of June 5, 2030, this warrant will automatically net exercise if its exercise price per share is greater than the fair market value per share or otherwise expire.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holders of certain shares of our common stock, including those issuable and those issuable upon the exercise of the warrant described above, will be entitled to rights with respect to the registration of these securities under the Securities Act. These rights are provided under the terms of an amended and restated investors’ rights agreement between us, certain holders of our common stock and holders of our preferred stock that converted to common stock upon the closing of our initial public offering. The amended and restated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holders of certain shares of our common stock, including those issuable upon the exercise of the warrant described above, are entitled to demand registration rights. Under the terms of the investors’ rights agreement, we will be required, upon the written request of holders of at least 40% of the securities eligible for registration then outstanding, to file a registration statement with respect to at least 25% of the securities eligible for registration then outstanding, we will be required to file a registration statement covering all securities eligible for registration that our stockholders request to be included in such registration. We are required to effect only two registrations pursuant to this provision of the investors’ rights agreement in any twelve-month period.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Pursuant to the amended and restated investors’ rights agreement, if we are eligible to file a registration statement on Form S-3, upon the written request of stockholders holding at least 20% of the securities eligible for registration then outstanding we will be required to file a Form S-3 registration restatement with respect to outstanding securities of such stockholders having an anticipated aggregate offering, net of related fees and expenses, of at least $3.0 million. We are required to effect only two registrations in any twelve month period pursuant to this provision of the amended and restated investors’ rights agreement. The right to have such shares registered on Form S-3 is further subject to other specified conditions and limitations.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Pursuant to the amended and restated investors’ rights agreement, if we register any of our securities either for our own account or for the account of other security holders, the holders of our common stock are entitled to include their shares in the registration. Subject to certain exceptions contained in the amended and restated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8"/>
          <w:szCs w:val="18"/>
          <w:color w:val="auto"/>
        </w:rPr>
        <w:t>The demand registration rights and short form registration rights granted under the amended and restated investors’ rights agreement will terminate on October 6, 2025 or at such time when the holders’ shares may be sold without restriction pursuant to Rule 144 within a three month period.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12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Ordinarily, other than underwriting discounts and commissions, we are generally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blue-sky fees and expenses.</w:t>
      </w:r>
    </w:p>
    <w:p>
      <w:pPr>
        <w:spacing w:after="0" w:line="173" w:lineRule="exact"/>
        <w:rPr>
          <w:sz w:val="20"/>
          <w:szCs w:val="20"/>
          <w:color w:val="auto"/>
        </w:rPr>
      </w:pPr>
    </w:p>
    <w:p>
      <w:pPr>
        <w:ind w:left="120" w:right="860"/>
        <w:spacing w:after="0" w:line="261" w:lineRule="auto"/>
        <w:rPr>
          <w:sz w:val="20"/>
          <w:szCs w:val="20"/>
          <w:color w:val="auto"/>
        </w:rPr>
      </w:pPr>
      <w:r>
        <w:rPr>
          <w:rFonts w:ascii="Arial" w:cs="Arial" w:eastAsia="Arial" w:hAnsi="Arial"/>
          <w:sz w:val="22"/>
          <w:szCs w:val="22"/>
          <w:b w:val="1"/>
          <w:bCs w:val="1"/>
          <w:color w:val="auto"/>
        </w:rPr>
        <w:t>Anti-takeover effects of Delaware law and certain provisions of our certificate of incorporation and amended and restated bylaws</w:t>
      </w:r>
    </w:p>
    <w:p>
      <w:pPr>
        <w:spacing w:after="0" w:line="79"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2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24"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60"/>
        <w:spacing w:after="0" w:line="239" w:lineRule="auto"/>
        <w:rPr>
          <w:sz w:val="20"/>
          <w:szCs w:val="20"/>
          <w:color w:val="auto"/>
        </w:rPr>
      </w:pPr>
      <w:r>
        <w:rPr>
          <w:rFonts w:ascii="Arial" w:cs="Arial" w:eastAsia="Arial" w:hAnsi="Arial"/>
          <w:sz w:val="18"/>
          <w:szCs w:val="18"/>
          <w:color w:val="auto"/>
        </w:rPr>
        <w:t>stock. The issuance may also adversely affect the rights and powers, including voting rights, of these holders and may have the effect of delaying, deterring or preventing a change in control of us.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16" w:lineRule="exact"/>
        <w:rPr>
          <w:sz w:val="20"/>
          <w:szCs w:val="20"/>
          <w:color w:val="auto"/>
        </w:rPr>
      </w:pPr>
    </w:p>
    <w:p>
      <w:pPr>
        <w:ind w:left="340" w:right="600" w:hanging="224"/>
        <w:spacing w:after="0" w:line="239"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14" w:lineRule="exact"/>
        <w:rPr>
          <w:rFonts w:ascii="Arial" w:cs="Arial" w:eastAsia="Arial" w:hAnsi="Arial"/>
          <w:sz w:val="18"/>
          <w:szCs w:val="18"/>
          <w:color w:val="auto"/>
        </w:rPr>
      </w:pPr>
    </w:p>
    <w:p>
      <w:pPr>
        <w:ind w:left="340" w:hanging="224"/>
        <w:spacing w:after="0" w:line="23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13" w:lineRule="exact"/>
        <w:rPr>
          <w:rFonts w:ascii="Arial" w:cs="Arial" w:eastAsia="Arial" w:hAnsi="Arial"/>
          <w:sz w:val="18"/>
          <w:szCs w:val="18"/>
          <w:color w:val="auto"/>
        </w:rPr>
      </w:pPr>
    </w:p>
    <w:p>
      <w:pPr>
        <w:ind w:left="340" w:right="60" w:hanging="224"/>
        <w:spacing w:after="0" w:line="238"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203 defines a business combination to include:</w:t>
      </w:r>
    </w:p>
    <w:p>
      <w:pPr>
        <w:spacing w:after="0" w:line="117" w:lineRule="exact"/>
        <w:rPr>
          <w:sz w:val="20"/>
          <w:szCs w:val="20"/>
          <w:color w:val="auto"/>
        </w:rPr>
      </w:pPr>
    </w:p>
    <w:p>
      <w:pPr>
        <w:ind w:left="340" w:hanging="224"/>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sale, transfer, lease, pledge, exchange, mortgage or other disposition involving the interested stockholder of 10% or more of the assets of the corporation;</w:t>
      </w:r>
    </w:p>
    <w:p>
      <w:pPr>
        <w:spacing w:after="0" w:line="114" w:lineRule="exact"/>
        <w:rPr>
          <w:rFonts w:ascii="Arial" w:cs="Arial" w:eastAsia="Arial" w:hAnsi="Arial"/>
          <w:sz w:val="18"/>
          <w:szCs w:val="18"/>
          <w:color w:val="auto"/>
        </w:rPr>
      </w:pPr>
    </w:p>
    <w:p>
      <w:pPr>
        <w:ind w:left="340" w:right="54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or</w:t>
      </w:r>
    </w:p>
    <w:p>
      <w:pPr>
        <w:spacing w:after="0" w:line="114"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1"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Choice of forum</w:t>
      </w:r>
    </w:p>
    <w:p>
      <w:pPr>
        <w:spacing w:after="0" w:line="134" w:lineRule="exact"/>
        <w:rPr>
          <w:sz w:val="20"/>
          <w:szCs w:val="20"/>
          <w:color w:val="auto"/>
        </w:rPr>
      </w:pPr>
    </w:p>
    <w:p>
      <w:pPr>
        <w:ind w:left="120" w:right="200"/>
        <w:spacing w:after="0" w:line="275" w:lineRule="auto"/>
        <w:rPr>
          <w:sz w:val="20"/>
          <w:szCs w:val="20"/>
          <w:color w:val="auto"/>
        </w:rPr>
      </w:pPr>
      <w:r>
        <w:rPr>
          <w:rFonts w:ascii="Arial" w:cs="Arial" w:eastAsia="Arial" w:hAnsi="Arial"/>
          <w:sz w:val="16"/>
          <w:szCs w:val="16"/>
          <w:color w:val="auto"/>
        </w:rPr>
        <w:t>Our bylaws provide that, unless we consent in writing to the selection of an alternative form, the Court of Chancery of the State of Delaware will be the sole and exclusive forum for state law claims for (i) any derivative action or proceeding brought on our behalf; (ii) any action asserting a claim of breach of a fiduciary duty or other wrongdoing by any of our directors, officers, employees or agents to us or our stockholders; (iii) any action asserting a claim arising out of or pursuant to any provision of the General Corporation Law of the State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of Delaware or our certificate of incorporation or bylaws; and (iv) any action asserting a claim governed by the internal affairs doctrine; provided, however, that this choice of forum provision does not apply to any causes of action arising under the Securities Act or the Exchange Act. Our bylaws further provide that, unless we consent in writing to an alternative forum, the United States District Court for the District of Massachusetts will be the exclusive forum for resolving any complaint asserting a cause of action arising under the Securities Act. Our bylaws also provide that any person or entity purchasing or otherwise acquiring any interest in shares of our capital stock will be deemed to have notice of and to have consented to this choice of forum provision. We recognize that the forum selection clause in our bylaws may impose additional litigation costs on stockholders in pursuing any such claims, particularly if the stockholders do not reside in or near the State of Delaware or the Commonwealth of Massachusetts, as applicable.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or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exchange listing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trading symbol “CCCC.”</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57"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Future sales of our common stock in the public market or the availability of such shares for sale in the public market could adversely affect market prices prevailing from time to time.</w:t>
      </w:r>
    </w:p>
    <w:p>
      <w:pPr>
        <w:spacing w:after="0" w:line="101"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Upon completion of this offering, based on the number of shares outstanding as of March 31, 2021, shares of our common stock will be outstanding, assuming the issuance of shares offered by us in this offering, no exercise of the underwriters’ option to purchase</w:t>
      </w:r>
    </w:p>
    <w:p>
      <w:pPr>
        <w:spacing w:after="0" w:line="1" w:lineRule="exact"/>
        <w:rPr>
          <w:sz w:val="20"/>
          <w:szCs w:val="20"/>
          <w:color w:val="auto"/>
        </w:rPr>
      </w:pPr>
    </w:p>
    <w:p>
      <w:pPr>
        <w:ind w:left="760" w:right="60" w:hanging="633"/>
        <w:spacing w:after="0" w:line="264" w:lineRule="auto"/>
        <w:rPr>
          <w:sz w:val="20"/>
          <w:szCs w:val="20"/>
          <w:color w:val="auto"/>
        </w:rPr>
      </w:pPr>
      <w:r>
        <w:rPr>
          <w:rFonts w:ascii="Arial" w:cs="Arial" w:eastAsia="Arial" w:hAnsi="Arial"/>
          <w:sz w:val="16"/>
          <w:szCs w:val="16"/>
          <w:color w:val="auto"/>
        </w:rPr>
        <w:t>additional shares and no exercise of outstanding options or warrants. Of the outstanding shares, all of the shares sold in this offering and will be freely tradable, except that any shares held by our affiliates, as that term is defined in Rule 144 under the Securities Act, may</w:t>
      </w:r>
    </w:p>
    <w:p>
      <w:pPr>
        <w:ind w:left="120" w:right="80"/>
        <w:spacing w:after="0" w:line="236" w:lineRule="auto"/>
        <w:rPr>
          <w:sz w:val="20"/>
          <w:szCs w:val="20"/>
          <w:color w:val="auto"/>
        </w:rPr>
      </w:pPr>
      <w:r>
        <w:rPr>
          <w:rFonts w:ascii="Arial" w:cs="Arial" w:eastAsia="Arial" w:hAnsi="Arial"/>
          <w:sz w:val="18"/>
          <w:szCs w:val="18"/>
          <w:color w:val="auto"/>
        </w:rPr>
        <w:t>only be sold in compliance with the limitations described below, and restricted shares of common stock are subject to time-based vesting terms. All remaining shares of common stock held by existing stockholders immediately prior to the completion of this offering will be “restricted securities” as such term is defined in Rule 144 under the Securities Act.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general, a person who has beneficially owned restricted stock for at least six months would be entitled to sell their securities provided that</w:t>
      </w:r>
    </w:p>
    <w:p>
      <w:pPr>
        <w:spacing w:after="0" w:line="19" w:lineRule="exact"/>
        <w:rPr>
          <w:sz w:val="20"/>
          <w:szCs w:val="20"/>
          <w:color w:val="auto"/>
        </w:rPr>
      </w:pPr>
    </w:p>
    <w:p>
      <w:pPr>
        <w:ind w:left="120" w:right="40" w:hanging="4"/>
        <w:spacing w:after="0" w:line="236" w:lineRule="auto"/>
        <w:tabs>
          <w:tab w:leader="none" w:pos="3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periodic reporting requirements of the Exchange Act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16" w:lineRule="exact"/>
        <w:rPr>
          <w:sz w:val="20"/>
          <w:szCs w:val="20"/>
          <w:color w:val="auto"/>
        </w:rPr>
      </w:pPr>
    </w:p>
    <w:p>
      <w:pPr>
        <w:ind w:left="340" w:right="80" w:hanging="219"/>
        <w:spacing w:after="0" w:line="299" w:lineRule="auto"/>
        <w:tabs>
          <w:tab w:leader="none" w:pos="320" w:val="left"/>
        </w:tabs>
        <w:rPr>
          <w:sz w:val="20"/>
          <w:szCs w:val="20"/>
          <w:color w:val="auto"/>
        </w:rPr>
      </w:pPr>
      <w:r>
        <w:rPr>
          <w:rFonts w:ascii="Arial" w:cs="Arial" w:eastAsia="Arial" w:hAnsi="Arial"/>
          <w:sz w:val="16"/>
          <w:szCs w:val="16"/>
          <w:color w:val="auto"/>
        </w:rPr>
        <w:t>•</w:t>
        <w:tab/>
        <w:t>1% of the number of shares then outstanding, which will equal approximately shares immediately after this offering, assuming no exercise of the underwriters’ option to purchase additional shares, based on the number of shares outstanding as of March 31, 2021; or</w:t>
      </w:r>
    </w:p>
    <w:p>
      <w:pPr>
        <w:spacing w:after="0" w:line="68" w:lineRule="exact"/>
        <w:rPr>
          <w:sz w:val="20"/>
          <w:szCs w:val="20"/>
          <w:color w:val="auto"/>
        </w:rPr>
      </w:pPr>
    </w:p>
    <w:p>
      <w:pPr>
        <w:ind w:left="340" w:right="100" w:hanging="224"/>
        <w:spacing w:after="0" w:line="23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the sale;</w:t>
      </w:r>
    </w:p>
    <w:p>
      <w:pPr>
        <w:spacing w:after="0" w:line="10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provided, in each case, that we are subject to the periodic reporting requirements of the Exchange Act for at least 90 days before the sale. Such sales both by affiliates and by non-affiliates must also comply with the manner of sale, current public information and notice provisions of Rule 144.</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substantially all Rule 701 shares are subject to lock-up agreements as described below.</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320" w:top="459" w:right="5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w:t>
      </w:r>
    </w:p>
    <w:p>
      <w:pPr>
        <w:spacing w:after="0" w:line="1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and all of our directors and officers have entered into or will enter into lock-up agreements with the underwriters and have agreed not to dispose of or hedge any of our or their common stock or securities convertible into or exchangeable for shares of common stock for a period of 90 days after the date of this prospectus, subject to certain exceptions. The representatives of the underwriters in this offering may, in their sole discretion, permit early release of shares subject to the lock-up agreements. See the section titled “Underwriting,” appearing elsewhere in this prospectus for more information.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holders of our securities will be entitled to various rights with respect to registration of their shares under the Securities</w:t>
      </w:r>
    </w:p>
    <w:p>
      <w:pPr>
        <w:ind w:left="120" w:right="40"/>
        <w:spacing w:after="0" w:line="238" w:lineRule="auto"/>
        <w:rPr>
          <w:sz w:val="20"/>
          <w:szCs w:val="20"/>
          <w:color w:val="auto"/>
        </w:rPr>
      </w:pPr>
      <w:r>
        <w:rPr>
          <w:rFonts w:ascii="Arial" w:cs="Arial" w:eastAsia="Arial" w:hAnsi="Arial"/>
          <w:sz w:val="18"/>
          <w:szCs w:val="18"/>
          <w:color w:val="auto"/>
        </w:rPr>
        <w:t>Act. Registration of these shares under the Securities Act would result in these shares becoming fully tradable without restriction under the Securities Act immediately upon the effectiveness of the registration. See the section titled “Description of Capital Stock—Registration Rights” appearing elsewhere in this prospectus for more information.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Incentive Plans</w:t>
      </w:r>
    </w:p>
    <w:p>
      <w:pPr>
        <w:spacing w:after="0" w:line="134"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We have filed with the SEC one or more registration statements on Form S-8 under the Securities Act to register our shares issued or reserved for issuance under our equity incentive plans. Accordingly, shares registered under such registration statements will be available for sale in the open market, unless such shares are subject to vesting restrictions with us or the lock-up restrictions described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Material U.S. federal income tax considerations for non-U.S. holders</w:t>
      </w:r>
    </w:p>
    <w:p>
      <w:pPr>
        <w:spacing w:after="0" w:line="157"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following discussion is a summary of the material U.S. federal income tax considerations applicable to non-U.S. holders (as defined below) with respect to the ownership and disposition of shares of our common stock issued pursuant to this offering. For purposes of this discussion, a non-U.S. holder means a beneficial owner of our common stock (other than a partnership or an entity or arrangement treated as a partnership for U.S. federal income tax purposes) that is not, for U.S. federal income tax purposes:</w:t>
      </w:r>
    </w:p>
    <w:p>
      <w:pPr>
        <w:spacing w:after="0" w:line="114"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corporation or other organization taxable as a corporation for U.S. federal income tax purposes that is created or organized in or under laws of the United States, any state thereof or the District of Columbia;</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(within the meaning of Section 7701(a)(30) of the Code) have authority to control all substantial decisions of the trust and (2) has made an election to be treated as a U.S. person under applicable U.S. Treasury Regulations.</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or disregarded entities for U.S. federal income tax purposes or persons that hold their common stock through such partnerships or other entities or arrangements.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considerations to non-U.S. holders described in this prospectus. There can be no assurance that the Internal Revenue Service, which we refer to as the IRS, will not challenge one or more of the tax considerations described herein. We have not obtained, nor do we intend to obtain, a ruling with respect to the U.S. federal income tax consequences with respect to the matters discussed below. We assume in this discussion that a non-U.S. holder holds shares of our common stock as a capital asset within the meaning of Section 1221 of the Code, generally property held for investment.</w:t>
      </w:r>
    </w:p>
    <w:p>
      <w:pPr>
        <w:spacing w:after="0" w:line="10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any U.S. state, local or non-U.S. taxes, the alternative minimum tax, the Medicare contribution tax on net investment income, the special tax accounting rules under Section 451(b) of the Code, the rules regarding qualified small business stock within the meaning of Section 1202 of the Code or any other aspect of any U.S. federal tax other than income and estate taxes. This discussion also does not consider any specific facts or circumstances that may apply to a non-U.S. holder and does not address the special tax rules applicable to particular non-U.S. holders, such as:</w:t>
      </w:r>
    </w:p>
    <w:p>
      <w:pPr>
        <w:spacing w:after="0" w:line="115" w:lineRule="exact"/>
        <w:rPr>
          <w:sz w:val="20"/>
          <w:szCs w:val="20"/>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persons that own, or are deemed to own, during the applicable testing period, more than 5% of our outstanding capital stock;</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employee stock options or otherwise as compensation;</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other integrated investment;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04"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100"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SUMMARY IS NOT INTENDED TO BE TAX ADVICE. PROSPECTIVE INVESTORS SHOULD CONSULT THEIR TAX ADVISORS REGARDING THE PARTICULAR U.S. FEDERAL INCOME TAX CONSEQUENCES TO THEM OF PURCHASING, OWNING AND DISPOSING OF OUR COMMON STOCK, AS WELL AS ANY TAX CONSEQUENCES ARISING UNDER ANY STATE, LOCAL OR NON-U.S. TAX LAWS AND ANY U.S. FEDERAL NON-INCOME TAX LAWS.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 on Our Common Stock</w:t>
      </w:r>
    </w:p>
    <w:p>
      <w:pPr>
        <w:spacing w:after="0" w:line="13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amount distributed in excess of basis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 FATCA.”</w:t>
      </w:r>
    </w:p>
    <w:p>
      <w:pPr>
        <w:spacing w:after="0" w:line="101"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a reduced rate if specified by an applicable income tax treaty between the United States and such holder’s country of residence.</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U.S. federal income tax rates applicable to United States persons (as defined in the Code), unless a specific treaty exemption applies. Any U.S. effectively connected income received by a non-U.S. holder that is a foreign corporation may also, under certain circumstances, be subject to an additional “branch profits tax” at a 30% rate or a reduced rate if specified by an applicable income tax treaty between the United States and such holder’s country of residence.</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a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Gain on Sale or Other Taxable Disposition of Our Common Stock</w:t>
      </w:r>
    </w:p>
    <w:p>
      <w:pPr>
        <w:spacing w:after="0" w:line="134"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or withholding tax on any gain realized upon such holder’s sale or other taxable disposition of shares of our common stock unless:</w:t>
      </w:r>
    </w:p>
    <w:p>
      <w:pPr>
        <w:spacing w:after="0" w:line="113" w:lineRule="exact"/>
        <w:rPr>
          <w:sz w:val="20"/>
          <w:szCs w:val="20"/>
          <w:color w:val="auto"/>
        </w:rPr>
      </w:pPr>
    </w:p>
    <w:p>
      <w:pPr>
        <w:ind w:left="340" w:right="200" w:hanging="224"/>
        <w:spacing w:after="0" w:line="236"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Common Stock” also may apply;</w:t>
      </w:r>
    </w:p>
    <w:p>
      <w:pPr>
        <w:spacing w:after="0" w:line="116" w:lineRule="exact"/>
        <w:rPr>
          <w:rFonts w:ascii="Arial" w:cs="Arial" w:eastAsia="Arial" w:hAnsi="Arial"/>
          <w:sz w:val="18"/>
          <w:szCs w:val="18"/>
          <w:color w:val="auto"/>
        </w:rPr>
      </w:pPr>
    </w:p>
    <w:p>
      <w:pPr>
        <w:ind w:left="340" w:right="60" w:hanging="224"/>
        <w:spacing w:after="0" w:line="236"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115" w:lineRule="exact"/>
        <w:rPr>
          <w:rFonts w:ascii="Arial" w:cs="Arial" w:eastAsia="Arial" w:hAnsi="Arial"/>
          <w:sz w:val="18"/>
          <w:szCs w:val="18"/>
          <w:color w:val="auto"/>
        </w:rPr>
      </w:pPr>
    </w:p>
    <w:p>
      <w:pPr>
        <w:ind w:left="340" w:right="20" w:hanging="224"/>
        <w:spacing w:after="0" w:line="236"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sale of other taxable disposition (or the non-U.S. holder’s holding period, if shorter), a “U.S. real property holding corporation,” as described below,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In such case, such non-U.S. holder generally will be taxed on its net gain derived from the disposition at the U.S. federal income tax rates applicable to United States persons (as defined in the Code). Generally, a corporation is a U.S. real property holding corporation if the fair market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40"/>
        <w:spacing w:after="0" w:line="236" w:lineRule="auto"/>
        <w:rPr>
          <w:sz w:val="20"/>
          <w:szCs w:val="20"/>
          <w:color w:val="auto"/>
        </w:rPr>
      </w:pPr>
      <w:r>
        <w:rPr>
          <w:rFonts w:ascii="Arial" w:cs="Arial" w:eastAsia="Arial" w:hAnsi="Arial"/>
          <w:sz w:val="18"/>
          <w:szCs w:val="18"/>
          <w:color w:val="auto"/>
        </w:rPr>
        <w:t>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Backup Withholding and Information Reporting</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distributions on our common stock. Dividends paid to non-U.S. holders subject to withholding of U.S. federal income tax, as described above in “Distributions on Our Common Stock,” generally will be exempt from U.S. backup withholding. U.S. backup withholding generally will not apply to a non-U.S. holder who provides a properly executed IRS Form W-8BEN, W-8BEN-E or IRS Form W-8ECI or otherwise establishes an exemption; provided the applicable withholding agent does not have actual knowledge or reason to know that the non-U.S. holder is a United States person (as defined in the Code).</w:t>
      </w:r>
    </w:p>
    <w:p>
      <w:pPr>
        <w:spacing w:after="0" w:line="100" w:lineRule="exact"/>
        <w:rPr>
          <w:sz w:val="20"/>
          <w:szCs w:val="20"/>
          <w:color w:val="auto"/>
        </w:rPr>
      </w:pPr>
    </w:p>
    <w:p>
      <w:pPr>
        <w:ind w:left="120" w:right="100"/>
        <w:spacing w:after="0" w:line="271" w:lineRule="auto"/>
        <w:rPr>
          <w:sz w:val="20"/>
          <w:szCs w:val="20"/>
          <w:color w:val="auto"/>
        </w:rPr>
      </w:pPr>
      <w:r>
        <w:rPr>
          <w:rFonts w:ascii="Arial" w:cs="Arial" w:eastAsia="Arial" w:hAnsi="Arial"/>
          <w:sz w:val="16"/>
          <w:szCs w:val="16"/>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7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may be refunded or credited against the non-U.S. holder’s U.S. federal income tax liability, if any, provided that an appropriate claim is filed with the IRS in a timely manner.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Withholding and Information Reporting Requirements—FATCA</w:t>
      </w:r>
    </w:p>
    <w:p>
      <w:pPr>
        <w:spacing w:after="0" w:line="134"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U.S. federal withholding tax at a rate of 30% on payments of dividends on or, subject to the discussion of certain proposed U.S. Treasury Regulations below,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However, the U.S. Treasury released proposed regulations which, if finalized in their present form, would eliminate the federal withholding tax of 30% applicable to the gross proceeds of a sale or other disposition of our common stock. In the preamble to such proposed regulations, the U.S. Treasury stated that taxpayers may generally rely on the proposed regulations until final regulations are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issued.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0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EACH PROSPECTIVE INVESTOR SHOULD CONSULT ITS OWN TAX ADVISOR REGARDING THE TAX CONSEQUENCES OF PURCHASING, OWNING AND DISPOSING OF OUR COMMON STOCK, INCLUDING THE CONSEQUENCES OF ANY PROPOSED OR RECENT CHANGES IN APPLICABLE LAW, AS WELL AS TAX CONSEQUENCES ARISING UNDER ANY STATE, LOCAL, NON-U.S. OR U.S. FEDERAL NON-INCOME TAX LAWS OR UNDER ANY APPLICABLE TAX TREATY.</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320" w:top="459" w:right="5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Jefferies LLC and Evercore Group L.L.C. are acting as lead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Number of</w:t>
      </w:r>
    </w:p>
    <w:p>
      <w:pPr>
        <w:spacing w:after="0" w:line="41"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-4445</wp:posOffset>
            </wp:positionV>
            <wp:extent cx="6995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9460" w:space="720"/>
            <w:col w:w="9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line="234" w:lineRule="auto"/>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Evercore Group L.L.C.</w:t>
      </w:r>
    </w:p>
    <w:p>
      <w:pPr>
        <w:ind w:left="120"/>
        <w:spacing w:after="0" w:line="235" w:lineRule="auto"/>
        <w:rPr>
          <w:sz w:val="20"/>
          <w:szCs w:val="20"/>
          <w:color w:val="auto"/>
        </w:rPr>
      </w:pPr>
      <w:r>
        <w:rPr>
          <w:rFonts w:ascii="Arial" w:cs="Arial" w:eastAsia="Arial" w:hAnsi="Arial"/>
          <w:sz w:val="18"/>
          <w:szCs w:val="18"/>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-4445</wp:posOffset>
            </wp:positionV>
            <wp:extent cx="5911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51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11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offer the shares of common stock directly to the public at the public offering price set forth on the cover page of</w:t>
      </w:r>
    </w:p>
    <w:p>
      <w:pPr>
        <w:spacing w:after="0" w:line="19"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this prospectus and to certain dealers at that price less a concession not in excess of $ per share. After the offering of the shares to the public, if all of the shares of common stock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75"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underwriters have an option to buy up to additional shares of common stock from us.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19"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5100" w:type="dxa"/>
            <w:vAlign w:val="bottom"/>
          </w:tcPr>
          <w:p>
            <w:pPr>
              <w:jc w:val="right"/>
              <w:ind w:right="112"/>
              <w:spacing w:after="0"/>
              <w:rPr>
                <w:sz w:val="20"/>
                <w:szCs w:val="20"/>
                <w:color w:val="auto"/>
              </w:rPr>
            </w:pPr>
            <w:r>
              <w:rPr>
                <w:rFonts w:ascii="Arial" w:cs="Arial" w:eastAsia="Arial" w:hAnsi="Arial"/>
                <w:sz w:val="18"/>
                <w:szCs w:val="18"/>
                <w:b w:val="1"/>
                <w:bCs w:val="1"/>
                <w:color w:val="auto"/>
              </w:rPr>
              <w:t>Without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With full</w:t>
            </w:r>
          </w:p>
        </w:tc>
      </w:tr>
      <w:tr>
        <w:trPr>
          <w:trHeight w:val="203"/>
        </w:trPr>
        <w:tc>
          <w:tcPr>
            <w:tcW w:w="4840" w:type="dxa"/>
            <w:vAlign w:val="bottom"/>
          </w:tcPr>
          <w:p>
            <w:pPr>
              <w:spacing w:after="0"/>
              <w:rPr>
                <w:sz w:val="17"/>
                <w:szCs w:val="17"/>
                <w:color w:val="auto"/>
              </w:rPr>
            </w:pPr>
          </w:p>
        </w:tc>
        <w:tc>
          <w:tcPr>
            <w:tcW w:w="51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option to</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option to</w:t>
            </w:r>
          </w:p>
        </w:tc>
      </w:tr>
      <w:tr>
        <w:trPr>
          <w:trHeight w:val="203"/>
        </w:trPr>
        <w:tc>
          <w:tcPr>
            <w:tcW w:w="4840" w:type="dxa"/>
            <w:vAlign w:val="bottom"/>
          </w:tcPr>
          <w:p>
            <w:pPr>
              <w:spacing w:after="0"/>
              <w:rPr>
                <w:sz w:val="17"/>
                <w:szCs w:val="17"/>
                <w:color w:val="auto"/>
              </w:rPr>
            </w:pPr>
          </w:p>
        </w:tc>
        <w:tc>
          <w:tcPr>
            <w:tcW w:w="51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purchase</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4840" w:type="dxa"/>
            <w:vAlign w:val="bottom"/>
          </w:tcPr>
          <w:p>
            <w:pPr>
              <w:spacing w:after="0"/>
              <w:rPr>
                <w:sz w:val="17"/>
                <w:szCs w:val="17"/>
                <w:color w:val="auto"/>
              </w:rPr>
            </w:pPr>
          </w:p>
        </w:tc>
        <w:tc>
          <w:tcPr>
            <w:tcW w:w="51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additional</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additional</w:t>
            </w:r>
          </w:p>
        </w:tc>
      </w:tr>
      <w:tr>
        <w:trPr>
          <w:trHeight w:val="203"/>
        </w:trPr>
        <w:tc>
          <w:tcPr>
            <w:tcW w:w="4840" w:type="dxa"/>
            <w:vAlign w:val="bottom"/>
          </w:tcPr>
          <w:p>
            <w:pPr>
              <w:spacing w:after="0"/>
              <w:rPr>
                <w:sz w:val="17"/>
                <w:szCs w:val="17"/>
                <w:color w:val="auto"/>
              </w:rPr>
            </w:pPr>
          </w:p>
        </w:tc>
        <w:tc>
          <w:tcPr>
            <w:tcW w:w="510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shares</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shares</w:t>
            </w:r>
          </w:p>
        </w:tc>
      </w:tr>
      <w:tr>
        <w:trPr>
          <w:trHeight w:val="221"/>
        </w:trPr>
        <w:tc>
          <w:tcPr>
            <w:tcW w:w="484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exercise</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5100" w:type="dxa"/>
            <w:vAlign w:val="bottom"/>
            <w:shd w:val="clear" w:color="auto" w:fill="CCEEFF"/>
          </w:tcPr>
          <w:p>
            <w:pPr>
              <w:jc w:val="right"/>
              <w:ind w:right="852"/>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652"/>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100" w:type="dxa"/>
            <w:vAlign w:val="bottom"/>
            <w:tcBorders>
              <w:bottom w:val="single" w:sz="8" w:color="auto"/>
            </w:tcBorders>
          </w:tcPr>
          <w:p>
            <w:pPr>
              <w:jc w:val="right"/>
              <w:ind w:right="8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w:t>
      </w:r>
    </w:p>
    <w:p>
      <w:pPr>
        <w:ind w:left="120" w:right="340"/>
        <w:spacing w:after="0" w:line="264" w:lineRule="auto"/>
        <w:rPr>
          <w:sz w:val="20"/>
          <w:szCs w:val="20"/>
          <w:color w:val="auto"/>
        </w:rPr>
      </w:pPr>
      <w:r>
        <w:rPr>
          <w:rFonts w:ascii="Arial" w:cs="Arial" w:eastAsia="Arial" w:hAnsi="Arial"/>
          <w:sz w:val="16"/>
          <w:szCs w:val="16"/>
          <w:color w:val="auto"/>
        </w:rPr>
        <w:t>expenses, but excluding the underwriting discounts and commissions, will be approximately $ . We have agreed to reimburse the underwriters for expenses relating to the clearance of this offering with the Financial Industry Regulatory Authority, Inc. in an amount up to</w:t>
      </w:r>
    </w:p>
    <w:p>
      <w:pPr>
        <w:ind w:left="800" w:hanging="684"/>
        <w:spacing w:after="0"/>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have agreed that we will not (i) sell or offer to sell any shares of common stock, options, warrants or other rights to acquire shares of common stock or any securities exchangeable or exercisable for or convertible into shares of common stock, or to acquire other securities or rights ultimately exchangeable or exercisable for, or convertible into, shares of common stock, or collectively, the Related Securities, (ii) effect any short sale, or establish or increase any put equivalent position or liquidate or decrease any call equivalent position of any shares of common stock or Related Securities, (iii) pledge, hypothecate or grant any security interest in any shares of common stock or Related Securities, (iv) in any other way transfer or dispose of any shares of common stock or Related Securities, (v) enter into any swap, hedge or similar arrangement or agreement that transfers, in whole or in part, the economic risk of ownership of any shares of common stock or Related Securities, regardless of whether any such transaction is to be settled in securities, in cash or otherwise, (vi) announce the offering of any shares of common stock or Related Securities, (vii) submit or file any registration statement under the Securities Act in respect of any shares of common stock or Related Securities, (viii) effect a reverse stock split, recapitalization, share consolidation, reclassification or similar transaction affecting the outstanding shares of common stock, or (ix) publicly announce the intention to do any of the foregoing, in each case without the prior written consent of J.P. Morgan Securities LLC, Jefferies LLC and Evercore Group L.L.C. for a period of 90 days after the date of this prospectus.</w:t>
      </w:r>
    </w:p>
    <w:p>
      <w:pPr>
        <w:spacing w:after="0" w:line="10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restrictions on our actions, as described above, do not apply, subject in certain cases to various conditions, to certain transactions, including (i) this offering, (ii) the issue of shares of common stock or options to purchase shares of common stock, or the issue of shares of common stock upon exercise of options, pursuant to any stock option, stock bonus or other stock plan or arrangement, or issue warrants to purchase shares of common stock in exchange for or upon conversion of outstanding warrants to purchase preferred shares, or issue shares of common stock upon conversion of outstanding preferred shares, in each case, described in this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prospectus or in the documents incorporated by reference herein, (iii) our filing of any registration statement on Form S-8 with respect to any shares of common stock or Related Securities issued or issuable pursuant to any stock option, stock bonus, or other stock plan or arrangement described in this prospectus or in the documents incorporated by reference herein, (iv) the issue of shares of common stock in connection with the acquisition or license by us of the securities, business, property, technology or other assets of another person or business entity or pursuant to any employee benefit plan assumed by us in connection with any such acquisition, (v) the issue of shares of common stock or Related Securities, or entering into an agreement to issue shares of common stock or Related Securities, in connection with any merger, joint venture, strategic alliance, commercial or other collaborative transaction, provided that the aggregate number of shares of common stock issued or underlying such Related Securities issued pursuant to clauses (iv) and (v) does not exceed 5% of the outstanding shares of our common stock on a fully diluted basis upon completion of this offering, and (iv) assisting any of our stockholders in the establishment of a trading plan by such stockholder pursuant to Rule 10b5-1 under the Exchange Act for the transfer of shares of common stock.</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directors and executive officers, and certain of our stockholders (such persons, the “lock-up parties”), have entered into lock-up agreements with the underwriters prior to the commencement of this offering pursuant to which each lock-up party, with limited exceptions, for a period of 90 days after the date of this prospectus (such period, the “restricted period”), may not (and may not cause any of their direct or indirect affiliates to), without the prior written consent of J.P. Morgan Securities LLC, Jefferies LLC and Evercore Group L.L.C.: (i) sell or offer to sell any shares of common stock or Related Securities by such person or their family member, (ii) enter into any swap, (iii) make any demand for, or exercise any right with respect to, the registration under the Securities Act of the offer and sale of any shares of common stock or Related Securities, or cause to be filed a registration statement, prospectus or prospectus supplement (or an amendment or supplement thereto) with respect to any such registration, or (iv) publicly announce an intention to do any of the foregoing.</w:t>
      </w:r>
    </w:p>
    <w:p>
      <w:pPr>
        <w:spacing w:after="0" w:line="100"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(i) transactions relating to shares of common stock or Related Securities acquired in this offering or in open market transactions after the completion of this offering,</w:t>
      </w:r>
    </w:p>
    <w:p>
      <w:pPr>
        <w:spacing w:after="0" w:line="2" w:lineRule="exact"/>
        <w:rPr>
          <w:sz w:val="20"/>
          <w:szCs w:val="20"/>
          <w:color w:val="auto"/>
        </w:rPr>
      </w:pPr>
    </w:p>
    <w:p>
      <w:pPr>
        <w:ind w:left="120" w:hanging="4"/>
        <w:spacing w:after="0" w:line="235" w:lineRule="auto"/>
        <w:tabs>
          <w:tab w:leader="none" w:pos="3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transfers of shares of common stock or Related Securities by gift, including, without limitation, to a charitable organization, or by will or intestate succession to the legal representative, heir, beneficiary or any family member (as defined in the lock-up agreements), or to a trust whose beneficiaries consist exclusively of one or more of the lock-up party and/or a family member, (iii) transfers or dispositions of shares of common stock or Related Securities to a family member, a trust formed for the direct or indirect benefit of the lock-up party or an immediate family member or any corporation, partnership, limited liability company or other entity all of the beneficial ownership interests of which, in each case, are held by the lock-up party or any family member, (iv) transfers of shares of common stock or Related Securities by operation of law pursuant to a qualified domestic order or other court order or in connection with a divorce settlement, (v) if the lock-up party is a corporation, partnership, limited liability company, trust or other business entity, distributions or transfers of shares of common stock or Related Securities to (x) another corporation, partnership, limited liability company, trust or other business entity that is a direct or indirect affiliate (as defined in Rule 405 promulgated under the Securities Act) of the lock-up party, (y) any investment fund or other entity controlling, controlled by, managing or managed by or under common control with the lock-up party or affiliates of the lock-up party, or (z) limited partners, general partners, members, managers, managing members, stockholders or other equity holders of the lock-up party or of the entities described in the preceding clauses (x) and (y), (iv) transfers or dispositions of shares of common stock as forfeitures (x) to satisfy tax withholding and remittance obligations of the lock-up</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party in connection with the vesting or exercise of equity awards granted pursuant to our equity incentive plans or (y) pursuant to a net exercise or cashless exercise by the stockholder of outstanding equity awards pursuant to our equity incentive plans, in each case, described in this prospectus or in the documents incorporated by reference herein, (vii) transfers of shares of common stock or Related Securities pursuant to any bona fide third party tender offer, merger, consolidation or other similar transaction made to all holders of shares of common stock the result of which is that any person, or group of persons, becomes the beneficial owner of more than 50% of our voting capital stock,</w:t>
      </w:r>
    </w:p>
    <w:p>
      <w:pPr>
        <w:spacing w:after="0" w:line="1" w:lineRule="exact"/>
        <w:rPr>
          <w:sz w:val="20"/>
          <w:szCs w:val="20"/>
          <w:color w:val="auto"/>
        </w:rPr>
      </w:pPr>
    </w:p>
    <w:p>
      <w:pPr>
        <w:ind w:left="120" w:right="80" w:hanging="4"/>
        <w:spacing w:after="0" w:line="238" w:lineRule="auto"/>
        <w:tabs>
          <w:tab w:leader="none" w:pos="4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transfers of shares of common stock or Related Securities arising as a result of the termination of employment of the lock-up party to us, or (ix) transfers or dispositions of shares of common stock pursuant to a contract, instruction or plan pursuant to Rule 10b5-1 under the Exchange Act.</w:t>
      </w:r>
    </w:p>
    <w:p>
      <w:pPr>
        <w:spacing w:after="0" w:line="100"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J.P. Morgan Securities LLC, Jefferies LLC and Evercore Group L.L.C., in their sole discretion, may release the securities subject to any of the lock-up agreements with the underwriters described above, in whole or in part at any time.</w:t>
      </w:r>
    </w:p>
    <w:p>
      <w:pPr>
        <w:spacing w:after="0" w:line="101" w:lineRule="exact"/>
        <w:rPr>
          <w:sz w:val="20"/>
          <w:szCs w:val="20"/>
          <w:color w:val="auto"/>
        </w:rPr>
      </w:pPr>
    </w:p>
    <w:p>
      <w:pPr>
        <w:ind w:left="120" w:right="2060"/>
        <w:spacing w:after="0" w:line="360"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Our common stock is listed on the Nasdaq Global Select Market under the symbol “CCCC.”</w:t>
      </w:r>
    </w:p>
    <w:p>
      <w:pPr>
        <w:ind w:left="120"/>
        <w:spacing w:after="0" w:line="235"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6"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5"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relationships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of the underwriters served as underwriters in our IPO.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3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relation to each Member State of the European Economic Area, or each a “Relevant State,” no shares have been offered or will be offered pursuant to this offering to the public in that Relevant State prior to the publication of a prospectus in relation to the shares which has been approved by the competent authority in</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3"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86" w:lineRule="exact"/>
        <w:rPr>
          <w:sz w:val="20"/>
          <w:szCs w:val="20"/>
          <w:color w:val="auto"/>
        </w:rPr>
      </w:pPr>
    </w:p>
    <w:p>
      <w:pPr>
        <w:ind w:left="120" w:right="560"/>
        <w:spacing w:after="0" w:line="260"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83"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4"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00" w:lineRule="exact"/>
        <w:rPr>
          <w:sz w:val="20"/>
          <w:szCs w:val="20"/>
          <w:color w:val="auto"/>
        </w:rPr>
      </w:pPr>
    </w:p>
    <w:p>
      <w:pPr>
        <w:ind w:left="380" w:hanging="264"/>
        <w:spacing w:after="0"/>
        <w:tabs>
          <w:tab w:leader="none" w:pos="3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03" w:lineRule="exact"/>
        <w:rPr>
          <w:rFonts w:ascii="Arial" w:cs="Arial" w:eastAsia="Arial" w:hAnsi="Arial"/>
          <w:sz w:val="18"/>
          <w:szCs w:val="18"/>
          <w:color w:val="auto"/>
        </w:rPr>
      </w:pPr>
    </w:p>
    <w:p>
      <w:pPr>
        <w:ind w:left="120" w:right="400" w:hanging="4"/>
        <w:spacing w:after="0" w:line="239" w:lineRule="auto"/>
        <w:tabs>
          <w:tab w:leader="none" w:pos="3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0" w:lineRule="exact"/>
        <w:rPr>
          <w:rFonts w:ascii="Arial" w:cs="Arial" w:eastAsia="Arial" w:hAnsi="Arial"/>
          <w:sz w:val="18"/>
          <w:szCs w:val="18"/>
          <w:color w:val="auto"/>
        </w:rPr>
      </w:pPr>
    </w:p>
    <w:p>
      <w:pPr>
        <w:ind w:left="360" w:hanging="244"/>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or FSMA.</w:t>
      </w:r>
    </w:p>
    <w:p>
      <w:pPr>
        <w:spacing w:after="0" w:line="10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provided that no such offer of the shares shall require the Issuer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0"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1"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or the Corporations Act;</w:t>
      </w:r>
    </w:p>
    <w:p>
      <w:pPr>
        <w:spacing w:after="0" w:line="117"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340" w:right="420" w:hanging="224"/>
        <w:spacing w:after="0" w:line="239"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0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4"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Each Joint Lead Manager has acknowledged that this prospectus has not been registered as a prospectus with the Monetary Authority of Singapore. Accordingly, each Joint Lead Manager has represented and agreed that it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00" w:lineRule="exact"/>
        <w:rPr>
          <w:sz w:val="20"/>
          <w:szCs w:val="20"/>
          <w:color w:val="auto"/>
        </w:rPr>
      </w:pPr>
    </w:p>
    <w:p>
      <w:pPr>
        <w:ind w:left="120" w:right="20" w:hanging="4"/>
        <w:spacing w:after="0" w:line="239" w:lineRule="auto"/>
        <w:tabs>
          <w:tab w:leader="none" w:pos="3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96" w:lineRule="exact"/>
        <w:rPr>
          <w:rFonts w:ascii="Arial" w:cs="Arial" w:eastAsia="Arial" w:hAnsi="Arial"/>
          <w:sz w:val="18"/>
          <w:szCs w:val="18"/>
          <w:color w:val="auto"/>
        </w:rPr>
      </w:pPr>
    </w:p>
    <w:p>
      <w:pPr>
        <w:ind w:left="380" w:hanging="264"/>
        <w:spacing w:after="0"/>
        <w:tabs>
          <w:tab w:leader="none" w:pos="3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w:t>
      </w:r>
    </w:p>
    <w:p>
      <w:pPr>
        <w:ind w:left="120"/>
        <w:spacing w:after="0"/>
        <w:rPr>
          <w:sz w:val="20"/>
          <w:szCs w:val="20"/>
          <w:color w:val="auto"/>
        </w:rPr>
      </w:pPr>
      <w:r>
        <w:rPr>
          <w:rFonts w:ascii="Arial" w:cs="Arial" w:eastAsia="Arial" w:hAnsi="Arial"/>
          <w:sz w:val="18"/>
          <w:szCs w:val="18"/>
          <w:color w:val="auto"/>
        </w:rPr>
        <w:t>Section 275(1A) of the SFA, and in accordance with the conditions specified in Section 275 of the SFA; or</w:t>
      </w:r>
    </w:p>
    <w:p>
      <w:pPr>
        <w:spacing w:after="0" w:line="104" w:lineRule="exact"/>
        <w:rPr>
          <w:sz w:val="20"/>
          <w:szCs w:val="20"/>
          <w:color w:val="auto"/>
        </w:rPr>
      </w:pPr>
    </w:p>
    <w:p>
      <w:pPr>
        <w:ind w:left="120" w:right="2520" w:hanging="4"/>
        <w:spacing w:after="0" w:line="405" w:lineRule="auto"/>
        <w:tabs>
          <w:tab w:leader="none" w:pos="3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otherwise pursuant to, and in accordance with the conditions of, any other applicable provision of the SFA. Where the shares are subscribed or purchased under Section 275 of the SFA by a relevant person which is:</w:t>
      </w:r>
    </w:p>
    <w:p>
      <w:pPr>
        <w:ind w:left="120" w:right="100" w:hanging="4"/>
        <w:spacing w:after="0" w:line="239" w:lineRule="auto"/>
        <w:tabs>
          <w:tab w:leader="none" w:pos="38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8"/>
          <w:szCs w:val="18"/>
          <w:color w:val="auto"/>
        </w:rPr>
      </w:pPr>
    </w:p>
    <w:p>
      <w:pPr>
        <w:ind w:left="120" w:right="180" w:hanging="4"/>
        <w:spacing w:after="0" w:line="239" w:lineRule="auto"/>
        <w:tabs>
          <w:tab w:leader="none" w:pos="38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0" w:lineRule="exact"/>
        <w:rPr>
          <w:sz w:val="20"/>
          <w:szCs w:val="20"/>
          <w:color w:val="auto"/>
        </w:rPr>
      </w:pPr>
    </w:p>
    <w:p>
      <w:pPr>
        <w:ind w:left="320" w:hanging="204"/>
        <w:spacing w:after="0"/>
        <w:tabs>
          <w:tab w:leader="none" w:pos="3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18"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03" w:lineRule="exact"/>
        <w:rPr>
          <w:rFonts w:ascii="Arial" w:cs="Arial" w:eastAsia="Arial" w:hAnsi="Arial"/>
          <w:sz w:val="16"/>
          <w:szCs w:val="16"/>
          <w:color w:val="auto"/>
        </w:rPr>
      </w:pPr>
    </w:p>
    <w:p>
      <w:pPr>
        <w:ind w:left="360" w:hanging="244"/>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400" w:hanging="284"/>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03" w:lineRule="exact"/>
        <w:rPr>
          <w:rFonts w:ascii="Arial" w:cs="Arial" w:eastAsia="Arial" w:hAnsi="Arial"/>
          <w:sz w:val="18"/>
          <w:szCs w:val="18"/>
          <w:color w:val="auto"/>
        </w:rPr>
      </w:pPr>
    </w:p>
    <w:p>
      <w:pPr>
        <w:ind w:left="400" w:hanging="284"/>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03" w:lineRule="exact"/>
        <w:rPr>
          <w:rFonts w:ascii="Arial" w:cs="Arial" w:eastAsia="Arial" w:hAnsi="Arial"/>
          <w:sz w:val="18"/>
          <w:szCs w:val="18"/>
          <w:color w:val="auto"/>
        </w:rPr>
      </w:pPr>
    </w:p>
    <w:p>
      <w:pPr>
        <w:ind w:left="120" w:right="780" w:hanging="4"/>
        <w:spacing w:after="0" w:line="239" w:lineRule="auto"/>
        <w:tabs>
          <w:tab w:leader="none" w:pos="37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Notes,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3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(including companies) may not carry on or engage in any trade or business in Bermuda unless such persons are permitted to do so under applicable Bermuda legislation.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34"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w:t>
      </w:r>
    </w:p>
    <w:p>
      <w:pPr>
        <w:ind w:left="120" w:right="100"/>
        <w:spacing w:after="0" w:line="236" w:lineRule="auto"/>
        <w:rPr>
          <w:sz w:val="20"/>
          <w:szCs w:val="20"/>
          <w:color w:val="auto"/>
        </w:rPr>
      </w:pPr>
      <w:r>
        <w:rPr>
          <w:rFonts w:ascii="Arial" w:cs="Arial" w:eastAsia="Arial" w:hAnsi="Arial"/>
          <w:sz w:val="18"/>
          <w:szCs w:val="18"/>
          <w:color w:val="auto"/>
        </w:rPr>
        <w:t>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3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34"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3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or Commission, for the Commission’s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120"/>
        <w:spacing w:after="0" w:line="264" w:lineRule="auto"/>
        <w:rPr>
          <w:sz w:val="20"/>
          <w:szCs w:val="20"/>
          <w:color w:val="auto"/>
        </w:rPr>
      </w:pPr>
      <w:r>
        <w:rPr>
          <w:rFonts w:ascii="Arial" w:cs="Arial" w:eastAsia="Arial" w:hAnsi="Arial"/>
          <w:sz w:val="16"/>
          <w:szCs w:val="16"/>
          <w:color w:val="auto"/>
        </w:rPr>
        <w:t>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w:t>
      </w:r>
    </w:p>
    <w:p>
      <w:pPr>
        <w:spacing w:after="0" w:line="1" w:lineRule="exact"/>
        <w:rPr>
          <w:sz w:val="20"/>
          <w:szCs w:val="20"/>
          <w:color w:val="auto"/>
        </w:rPr>
      </w:pPr>
    </w:p>
    <w:p>
      <w:pPr>
        <w:ind w:left="120" w:right="20" w:hanging="4"/>
        <w:spacing w:after="0" w:line="235" w:lineRule="auto"/>
        <w:tabs>
          <w:tab w:leader="none" w:pos="37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96 (1) (a) the offer, transfer, sale, renunciation or delivery is to:</w:t>
      </w:r>
    </w:p>
    <w:p>
      <w:pPr>
        <w:spacing w:after="0" w:line="104" w:lineRule="exact"/>
        <w:rPr>
          <w:sz w:val="20"/>
          <w:szCs w:val="20"/>
          <w:color w:val="auto"/>
        </w:rPr>
      </w:pPr>
    </w:p>
    <w:p>
      <w:pPr>
        <w:ind w:left="760" w:hanging="204"/>
        <w:spacing w:after="0"/>
        <w:tabs>
          <w:tab w:leader="none" w:pos="7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03" w:lineRule="exact"/>
        <w:rPr>
          <w:rFonts w:ascii="Arial" w:cs="Arial" w:eastAsia="Arial" w:hAnsi="Arial"/>
          <w:sz w:val="18"/>
          <w:szCs w:val="18"/>
          <w:color w:val="auto"/>
        </w:rPr>
      </w:pPr>
    </w:p>
    <w:p>
      <w:pPr>
        <w:ind w:left="800" w:hanging="244"/>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03" w:lineRule="exact"/>
        <w:rPr>
          <w:rFonts w:ascii="Arial" w:cs="Arial" w:eastAsia="Arial" w:hAnsi="Arial"/>
          <w:sz w:val="18"/>
          <w:szCs w:val="18"/>
          <w:color w:val="auto"/>
        </w:rPr>
      </w:pPr>
    </w:p>
    <w:p>
      <w:pPr>
        <w:ind w:left="840" w:hanging="284"/>
        <w:spacing w:after="0"/>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03" w:lineRule="exact"/>
        <w:rPr>
          <w:rFonts w:ascii="Arial" w:cs="Arial" w:eastAsia="Arial" w:hAnsi="Arial"/>
          <w:sz w:val="18"/>
          <w:szCs w:val="18"/>
          <w:color w:val="auto"/>
        </w:rPr>
      </w:pPr>
    </w:p>
    <w:p>
      <w:pPr>
        <w:ind w:left="840" w:hanging="284"/>
        <w:spacing w:after="0"/>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03" w:lineRule="exact"/>
        <w:rPr>
          <w:rFonts w:ascii="Arial" w:cs="Arial" w:eastAsia="Arial" w:hAnsi="Arial"/>
          <w:sz w:val="18"/>
          <w:szCs w:val="18"/>
          <w:color w:val="auto"/>
        </w:rPr>
      </w:pPr>
    </w:p>
    <w:p>
      <w:pPr>
        <w:ind w:left="800" w:hanging="244"/>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03" w:lineRule="exact"/>
        <w:rPr>
          <w:rFonts w:ascii="Arial" w:cs="Arial" w:eastAsia="Arial" w:hAnsi="Arial"/>
          <w:sz w:val="18"/>
          <w:szCs w:val="18"/>
          <w:color w:val="auto"/>
        </w:rPr>
      </w:pPr>
    </w:p>
    <w:p>
      <w:pPr>
        <w:jc w:val="both"/>
        <w:ind w:left="560" w:right="220" w:hanging="4"/>
        <w:spacing w:after="0" w:line="238" w:lineRule="auto"/>
        <w:tabs>
          <w:tab w:leader="none" w:pos="8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99" w:lineRule="exact"/>
        <w:rPr>
          <w:rFonts w:ascii="Arial" w:cs="Arial" w:eastAsia="Arial" w:hAnsi="Arial"/>
          <w:sz w:val="18"/>
          <w:szCs w:val="18"/>
          <w:color w:val="auto"/>
        </w:rPr>
      </w:pPr>
    </w:p>
    <w:p>
      <w:pPr>
        <w:ind w:left="880" w:hanging="3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04"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2"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320" w:top="459" w:right="5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left="120" w:right="900"/>
        <w:spacing w:after="0" w:line="239"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Goodwin Procter LLP, Boston, Massachusetts. Cooley LLP, Washington, D.C. is serving as counsel to the underwriters.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left="120" w:right="440"/>
        <w:spacing w:after="0" w:line="281" w:lineRule="auto"/>
        <w:rPr>
          <w:sz w:val="20"/>
          <w:szCs w:val="20"/>
          <w:color w:val="auto"/>
        </w:rPr>
      </w:pPr>
      <w:r>
        <w:rPr>
          <w:rFonts w:ascii="Arial" w:cs="Arial" w:eastAsia="Arial" w:hAnsi="Arial"/>
          <w:sz w:val="16"/>
          <w:szCs w:val="16"/>
          <w:color w:val="auto"/>
        </w:rPr>
        <w:t>The consolidated financial statements as of December 31, 2019 and 2020 and for each of the years in the two-year period ended December 31, 2020,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common stock offered by this prospectus. This prospectus, which constitutes part of the registration statement, does not contain all of the information included in the registration statement. For further information pertaining to us and the common stock offered by this prospectus,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02"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We also maintain a website at https://www.c4therapeutics.com and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 The information contained in or that can be accessed through our website is not a part of and is not incorporated into this prospectus.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Incorporation of certain information by reference</w:t>
      </w:r>
    </w:p>
    <w:p>
      <w:pPr>
        <w:spacing w:after="0" w:line="15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00" w:lineRule="exact"/>
        <w:rPr>
          <w:sz w:val="20"/>
          <w:szCs w:val="20"/>
          <w:color w:val="auto"/>
        </w:rPr>
      </w:pPr>
    </w:p>
    <w:p>
      <w:pPr>
        <w:ind w:left="120" w:right="860"/>
        <w:spacing w:after="0" w:line="239"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001-39567):</w:t>
      </w:r>
    </w:p>
    <w:p>
      <w:pPr>
        <w:spacing w:after="0" w:line="114" w:lineRule="exact"/>
        <w:rPr>
          <w:sz w:val="20"/>
          <w:szCs w:val="20"/>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2021, filed with the SEC on May 13, 2021;</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definitive proxy statement filed with the SEC on April 26, 2021;</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March 11, 2021;</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April 30, 2021.</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including exhibits to these documents. You should direct any requests for documents to our Chief Legal Officer, C4 Therapeutics, Inc., 490 Arsenal Way, Suite 200, Watertown, MA 02472, telephone (617) 231-0700. Copies of the above reports may also be accessed from our website at www.c4therapeutics.com. We do not incorporate the information from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0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1015365</wp:posOffset>
            </wp:positionV>
            <wp:extent cx="4286250" cy="8832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8625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tabs>
          <w:tab w:leader="none" w:pos="2640" w:val="left"/>
          <w:tab w:leader="none" w:pos="3960" w:val="left"/>
          <w:tab w:leader="none" w:pos="5720" w:val="left"/>
          <w:tab w:leader="none" w:pos="868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Evercore ISI</w:t>
      </w:r>
      <w:r>
        <w:rPr>
          <w:sz w:val="20"/>
          <w:szCs w:val="20"/>
          <w:color w:val="auto"/>
        </w:rPr>
        <w:tab/>
      </w:r>
      <w:r>
        <w:rPr>
          <w:rFonts w:ascii="Arial" w:cs="Arial" w:eastAsia="Arial" w:hAnsi="Arial"/>
          <w:sz w:val="22"/>
          <w:szCs w:val="22"/>
          <w:b w:val="1"/>
          <w:bCs w:val="1"/>
          <w:color w:val="auto"/>
        </w:rPr>
        <w:t>BMO Capital Markets</w:t>
      </w:r>
      <w:r>
        <w:rPr>
          <w:sz w:val="20"/>
          <w:szCs w:val="20"/>
          <w:color w:val="auto"/>
        </w:rPr>
        <w:tab/>
      </w:r>
      <w:r>
        <w:rPr>
          <w:rFonts w:ascii="Arial" w:cs="Arial" w:eastAsia="Arial" w:hAnsi="Arial"/>
          <w:sz w:val="21"/>
          <w:szCs w:val="21"/>
          <w:b w:val="1"/>
          <w:bCs w:val="1"/>
          <w:color w:val="auto"/>
        </w:rPr>
        <w:t>UBS Investment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2021</w:t>
      </w:r>
    </w:p>
    <w:p>
      <w:pPr>
        <w:sectPr>
          <w:pgSz w:w="11900" w:h="16838" w:orient="portrait"/>
          <w:cols w:equalWidth="0" w:num="1">
            <w:col w:w="10940"/>
          </w:cols>
          <w:pgMar w:left="320" w:top="459" w:right="6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Information not required in prospectus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13. Other expenses of issuance and distribution</w:t>
      </w:r>
    </w:p>
    <w:p>
      <w:pPr>
        <w:spacing w:after="0" w:line="13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to be paid by us in connection with the sale of the shares of common stock being registered hereby. All amounts shown are estimates except for the Securities and Exchange Commission, or SEC, registration fee and the Financial Industry Regulatory Authority, Inc., or FINRA, filing fee.</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40" w:type="dxa"/>
            <w:vAlign w:val="bottom"/>
            <w:tcBorders>
              <w:top w:val="single" w:sz="8" w:color="auto"/>
            </w:tcBorders>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Legal fees and expenses</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0020" w:type="dxa"/>
            <w:vAlign w:val="bottom"/>
          </w:tcPr>
          <w:p>
            <w:pPr>
              <w:spacing w:after="0" w:line="202" w:lineRule="exact"/>
              <w:rPr>
                <w:sz w:val="20"/>
                <w:szCs w:val="20"/>
                <w:color w:val="auto"/>
              </w:rPr>
            </w:pPr>
            <w:r>
              <w:rPr>
                <w:rFonts w:ascii="Arial" w:cs="Arial" w:eastAsia="Arial" w:hAnsi="Arial"/>
                <w:sz w:val="18"/>
                <w:szCs w:val="18"/>
                <w:color w:val="auto"/>
              </w:rPr>
              <w:t>Financial and business advisory fees and expenses</w:t>
            </w: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10020" w:type="dxa"/>
            <w:vAlign w:val="bottom"/>
          </w:tcPr>
          <w:p>
            <w:pPr>
              <w:spacing w:after="0" w:line="202" w:lineRule="exact"/>
              <w:rPr>
                <w:sz w:val="20"/>
                <w:szCs w:val="20"/>
                <w:color w:val="auto"/>
              </w:rPr>
            </w:pPr>
            <w:r>
              <w:rPr>
                <w:rFonts w:ascii="Arial" w:cs="Arial" w:eastAsia="Arial" w:hAnsi="Arial"/>
                <w:sz w:val="18"/>
                <w:szCs w:val="18"/>
                <w:color w:val="auto"/>
              </w:rPr>
              <w:t>Miscellaneous</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10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r>
      <w:tr>
        <w:trPr>
          <w:trHeight w:val="20"/>
        </w:trPr>
        <w:tc>
          <w:tcPr>
            <w:tcW w:w="10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14. Indemnification of directors and officers</w:t>
      </w:r>
    </w:p>
    <w:p>
      <w:pPr>
        <w:spacing w:after="0" w:line="134"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0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have adopted provisions in our certificate of incorporation and bylaws, filed as Exhibits 3.2 and 3.3, respectively, to this registration statement,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14" w:lineRule="exact"/>
        <w:rPr>
          <w:sz w:val="20"/>
          <w:szCs w:val="20"/>
          <w:color w:val="auto"/>
        </w:rPr>
      </w:pPr>
    </w:p>
    <w:p>
      <w:pPr>
        <w:ind w:left="340" w:hanging="224"/>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5500" w:right="2280" w:hanging="5384"/>
        <w:spacing w:after="0" w:line="411"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 II-1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transaction from which the director derived an improper personal benefit.</w:t>
      </w:r>
    </w:p>
    <w:p>
      <w:pPr>
        <w:spacing w:after="0" w:line="104"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our bylaws provide that:</w:t>
      </w:r>
    </w:p>
    <w:p>
      <w:pPr>
        <w:spacing w:after="0" w:line="117" w:lineRule="exact"/>
        <w:rPr>
          <w:sz w:val="20"/>
          <w:szCs w:val="20"/>
          <w:color w:val="auto"/>
        </w:rPr>
      </w:pPr>
    </w:p>
    <w:p>
      <w:pPr>
        <w:ind w:left="340" w:right="100" w:hanging="224"/>
        <w:spacing w:after="0" w:line="23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114" w:lineRule="exact"/>
        <w:rPr>
          <w:rFonts w:ascii="Arial" w:cs="Arial" w:eastAsia="Arial" w:hAnsi="Arial"/>
          <w:sz w:val="18"/>
          <w:szCs w:val="18"/>
          <w:color w:val="auto"/>
        </w:rPr>
      </w:pPr>
    </w:p>
    <w:p>
      <w:pPr>
        <w:ind w:left="340" w:right="420" w:hanging="224"/>
        <w:spacing w:after="0" w:line="238"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00"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284" w:lineRule="exact"/>
        <w:rPr>
          <w:sz w:val="20"/>
          <w:szCs w:val="20"/>
          <w:color w:val="auto"/>
        </w:rPr>
      </w:pPr>
    </w:p>
    <w:p>
      <w:pPr>
        <w:ind w:left="120" w:right="140"/>
        <w:spacing w:after="0" w:line="299"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55"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15. Recent sales of unregistered securities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January 1, 2018, we have issued the following securities that were not registered under the Securities Act:</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Issuances of capital stock and warrant</w:t>
      </w:r>
    </w:p>
    <w:p>
      <w:pPr>
        <w:spacing w:after="0" w:line="12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June and July 2020, we issued and sold 142,857,142 shares of Series B preferred stock to investors at $1.05 per share. Jefferies LLC, one of our underwriters, acted as one of the placement agents with respect to this offering.</w:t>
      </w:r>
    </w:p>
    <w:p>
      <w:pPr>
        <w:spacing w:after="0" w:line="101"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In June 2020, we issued a warrant to purchase 2,857,142 shares of Series B preferred stock to our lender Perceptive Credit Holdings III, LP at an exercise price of $1.05 per share.</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December 2018, we issued and sold 900,900 shares of Series A preferred stock to an investor at $2.22 per share.</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sales of securities described above were deemed to be exempt from registration pursuant to Section 4(a)(2) of the Securities Act, as private placement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Grants and exercises of stock options</w:t>
      </w:r>
    </w:p>
    <w:p>
      <w:pPr>
        <w:spacing w:after="0" w:line="12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have granted stock options to purchase an aggregate of 2,947,168 shares of our common stock, with exercise prices ranging from $3.72 to $6.67 per share, to employees, directors and consultants pursuant to the 2015 Plan. Through the date of filing, shares of common stock have been issued upon the exercise of stock options pursuant to the 2015 Plan.</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16. Exhibits and financial statement schedules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rPr>
              <w:t>File</w:t>
            </w:r>
          </w:p>
        </w:tc>
        <w:tc>
          <w:tcPr>
            <w:tcW w:w="1160" w:type="dxa"/>
            <w:vAlign w:val="bottom"/>
          </w:tcPr>
          <w:p>
            <w:pPr>
              <w:jc w:val="right"/>
              <w:ind w:right="212"/>
              <w:spacing w:after="0"/>
              <w:rPr>
                <w:sz w:val="20"/>
                <w:szCs w:val="20"/>
                <w:color w:val="auto"/>
              </w:rPr>
            </w:pPr>
            <w:r>
              <w:rPr>
                <w:rFonts w:ascii="Arial" w:cs="Arial" w:eastAsia="Arial" w:hAnsi="Arial"/>
                <w:sz w:val="18"/>
                <w:szCs w:val="18"/>
                <w:b w:val="1"/>
                <w:bCs w:val="1"/>
                <w:color w:val="auto"/>
              </w:rPr>
              <w:t>Date of</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Filed</w:t>
            </w:r>
          </w:p>
        </w:tc>
      </w:tr>
      <w:tr>
        <w:trPr>
          <w:trHeight w:val="235"/>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Description of exhibit</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Form</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filing</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herewith</w:t>
            </w:r>
          </w:p>
        </w:tc>
      </w:tr>
      <w:tr>
        <w:trPr>
          <w:trHeight w:val="261"/>
        </w:trPr>
        <w:tc>
          <w:tcPr>
            <w:tcW w:w="740" w:type="dxa"/>
            <w:vAlign w:val="bottom"/>
          </w:tcPr>
          <w:p>
            <w:pPr>
              <w:spacing w:after="0"/>
              <w:rPr>
                <w:sz w:val="20"/>
                <w:szCs w:val="20"/>
                <w:color w:val="auto"/>
              </w:rPr>
            </w:pPr>
            <w:r>
              <w:rPr>
                <w:rFonts w:ascii="Arial" w:cs="Arial" w:eastAsia="Arial" w:hAnsi="Arial"/>
                <w:sz w:val="18"/>
                <w:szCs w:val="18"/>
                <w:color w:val="auto"/>
              </w:rPr>
              <w:t>1.1+</w:t>
            </w:r>
          </w:p>
        </w:tc>
        <w:tc>
          <w:tcPr>
            <w:tcW w:w="5220" w:type="dxa"/>
            <w:vAlign w:val="bottom"/>
          </w:tcPr>
          <w:p>
            <w:pPr>
              <w:ind w:left="100"/>
              <w:spacing w:after="0"/>
              <w:rPr>
                <w:sz w:val="20"/>
                <w:szCs w:val="20"/>
                <w:color w:val="auto"/>
              </w:rPr>
            </w:pPr>
            <w:r>
              <w:rPr>
                <w:rFonts w:ascii="Arial" w:cs="Arial" w:eastAsia="Arial" w:hAnsi="Arial"/>
                <w:sz w:val="18"/>
                <w:szCs w:val="18"/>
                <w:color w:val="auto"/>
              </w:rPr>
              <w:t>Form of Underwriting Agreement</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5220" w:type="dxa"/>
            <w:vAlign w:val="bottom"/>
          </w:tcPr>
          <w:p>
            <w:pPr>
              <w:ind w:left="100"/>
              <w:spacing w:after="0"/>
              <w:rPr>
                <w:sz w:val="20"/>
                <w:szCs w:val="20"/>
                <w:color w:val="auto"/>
              </w:rPr>
            </w:pPr>
            <w:r>
              <w:rPr>
                <w:rFonts w:ascii="Arial" w:cs="Arial" w:eastAsia="Arial" w:hAnsi="Arial"/>
                <w:sz w:val="18"/>
                <w:szCs w:val="18"/>
                <w:color w:val="auto"/>
              </w:rPr>
              <w:t>Fifth Amended and Restated Certificate of Incorporation of the</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001–39567</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10/06/2020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22"/>
                <w:szCs w:val="22"/>
                <w:color w:val="auto"/>
              </w:rPr>
            </w:pPr>
          </w:p>
        </w:tc>
      </w:tr>
      <w:tr>
        <w:trPr>
          <w:trHeight w:val="211"/>
        </w:trPr>
        <w:tc>
          <w:tcPr>
            <w:tcW w:w="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Registrant, current in effect</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5220" w:type="dxa"/>
            <w:vAlign w:val="bottom"/>
          </w:tcPr>
          <w:p>
            <w:pPr>
              <w:ind w:left="100"/>
              <w:spacing w:after="0"/>
              <w:rPr>
                <w:sz w:val="20"/>
                <w:szCs w:val="20"/>
                <w:color w:val="auto"/>
              </w:rPr>
            </w:pPr>
            <w:r>
              <w:rPr>
                <w:rFonts w:ascii="Arial" w:cs="Arial" w:eastAsia="Arial" w:hAnsi="Arial"/>
                <w:sz w:val="18"/>
                <w:szCs w:val="18"/>
                <w:color w:val="auto"/>
              </w:rPr>
              <w:t>Second Amended and Restated Bylaws of the Registrant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333–248719</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09/10/2020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23"/>
                <w:szCs w:val="23"/>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5220" w:type="dxa"/>
            <w:vAlign w:val="bottom"/>
          </w:tcPr>
          <w:p>
            <w:pPr>
              <w:ind w:left="100"/>
              <w:spacing w:after="0"/>
              <w:rPr>
                <w:sz w:val="20"/>
                <w:szCs w:val="20"/>
                <w:color w:val="auto"/>
              </w:rPr>
            </w:pPr>
            <w:r>
              <w:rPr>
                <w:rFonts w:ascii="Arial" w:cs="Arial" w:eastAsia="Arial" w:hAnsi="Arial"/>
                <w:sz w:val="18"/>
                <w:szCs w:val="18"/>
                <w:color w:val="auto"/>
                <w:w w:val="99"/>
              </w:rPr>
              <w:t>Amended and Restated Investors’ Rights Agreement among the</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333–248719</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09/10/2020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2"/>
                <w:szCs w:val="22"/>
                <w:color w:val="auto"/>
              </w:rPr>
            </w:pPr>
          </w:p>
        </w:tc>
      </w:tr>
      <w:tr>
        <w:trPr>
          <w:trHeight w:val="203"/>
        </w:trPr>
        <w:tc>
          <w:tcPr>
            <w:tcW w:w="740" w:type="dxa"/>
            <w:vAlign w:val="bottom"/>
          </w:tcPr>
          <w:p>
            <w:pPr>
              <w:spacing w:after="0"/>
              <w:rPr>
                <w:sz w:val="17"/>
                <w:szCs w:val="17"/>
                <w:color w:val="auto"/>
              </w:rPr>
            </w:pPr>
          </w:p>
        </w:tc>
        <w:tc>
          <w:tcPr>
            <w:tcW w:w="5220" w:type="dxa"/>
            <w:vAlign w:val="bottom"/>
          </w:tcPr>
          <w:p>
            <w:pPr>
              <w:ind w:left="100"/>
              <w:spacing w:after="0" w:line="202" w:lineRule="exact"/>
              <w:rPr>
                <w:sz w:val="20"/>
                <w:szCs w:val="20"/>
                <w:color w:val="auto"/>
              </w:rPr>
            </w:pPr>
            <w:r>
              <w:rPr>
                <w:rFonts w:ascii="Arial" w:cs="Arial" w:eastAsia="Arial" w:hAnsi="Arial"/>
                <w:sz w:val="18"/>
                <w:szCs w:val="18"/>
                <w:color w:val="auto"/>
              </w:rPr>
              <w:t>Registrant, its warrant holder and certain of its stockholders,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1"/>
        </w:trPr>
        <w:tc>
          <w:tcPr>
            <w:tcW w:w="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dated June 5, 2020</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5220" w:type="dxa"/>
            <w:vAlign w:val="bottom"/>
          </w:tcPr>
          <w:p>
            <w:pPr>
              <w:ind w:left="100"/>
              <w:spacing w:after="0"/>
              <w:rPr>
                <w:sz w:val="20"/>
                <w:szCs w:val="20"/>
                <w:color w:val="auto"/>
              </w:rPr>
            </w:pPr>
            <w:r>
              <w:rPr>
                <w:rFonts w:ascii="Arial" w:cs="Arial" w:eastAsia="Arial" w:hAnsi="Arial"/>
                <w:sz w:val="18"/>
                <w:szCs w:val="18"/>
                <w:color w:val="auto"/>
                <w:w w:val="99"/>
              </w:rPr>
              <w:t>Warrant Certificate issued by the Registrant to Perceptive Credit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333–248719</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09/10/2020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900" w:type="dxa"/>
            <w:vAlign w:val="bottom"/>
          </w:tcPr>
          <w:p>
            <w:pPr>
              <w:spacing w:after="0"/>
              <w:rPr>
                <w:sz w:val="22"/>
                <w:szCs w:val="22"/>
                <w:color w:val="auto"/>
              </w:rPr>
            </w:pPr>
          </w:p>
        </w:tc>
      </w:tr>
      <w:tr>
        <w:trPr>
          <w:trHeight w:val="211"/>
        </w:trPr>
        <w:tc>
          <w:tcPr>
            <w:tcW w:w="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Holdings III, LP dated June 5, 2020</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5220" w:type="dxa"/>
            <w:vAlign w:val="bottom"/>
          </w:tcPr>
          <w:p>
            <w:pPr>
              <w:ind w:left="100"/>
              <w:spacing w:after="0"/>
              <w:rPr>
                <w:sz w:val="20"/>
                <w:szCs w:val="20"/>
                <w:color w:val="auto"/>
              </w:rPr>
            </w:pPr>
            <w:r>
              <w:rPr>
                <w:rFonts w:ascii="Arial" w:cs="Arial" w:eastAsia="Arial" w:hAnsi="Arial"/>
                <w:sz w:val="18"/>
                <w:szCs w:val="18"/>
                <w:color w:val="auto"/>
              </w:rPr>
              <w:t>Form of Specimen Common Stock Certificate</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333–248719</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09/28/2020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3"/>
                <w:szCs w:val="23"/>
                <w:color w:val="auto"/>
              </w:rPr>
            </w:pP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5220" w:type="dxa"/>
            <w:vAlign w:val="bottom"/>
          </w:tcPr>
          <w:p>
            <w:pPr>
              <w:ind w:left="100"/>
              <w:spacing w:after="0"/>
              <w:rPr>
                <w:sz w:val="20"/>
                <w:szCs w:val="20"/>
                <w:color w:val="auto"/>
              </w:rPr>
            </w:pPr>
            <w:r>
              <w:rPr>
                <w:rFonts w:ascii="Arial" w:cs="Arial" w:eastAsia="Arial" w:hAnsi="Arial"/>
                <w:sz w:val="18"/>
                <w:szCs w:val="18"/>
                <w:color w:val="auto"/>
              </w:rPr>
              <w:t>Description of Securities Registered Pursuant to Section 12 of</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001–39567</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03/11/2020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2"/>
                <w:szCs w:val="22"/>
                <w:color w:val="auto"/>
              </w:rPr>
            </w:pPr>
          </w:p>
        </w:tc>
      </w:tr>
      <w:tr>
        <w:trPr>
          <w:trHeight w:val="211"/>
        </w:trPr>
        <w:tc>
          <w:tcPr>
            <w:tcW w:w="740" w:type="dxa"/>
            <w:vAlign w:val="bottom"/>
          </w:tcPr>
          <w:p>
            <w:pPr>
              <w:spacing w:after="0"/>
              <w:rPr>
                <w:sz w:val="18"/>
                <w:szCs w:val="18"/>
                <w:color w:val="auto"/>
              </w:rPr>
            </w:pPr>
          </w:p>
        </w:tc>
        <w:tc>
          <w:tcPr>
            <w:tcW w:w="5220" w:type="dxa"/>
            <w:vAlign w:val="bottom"/>
          </w:tcPr>
          <w:p>
            <w:pPr>
              <w:ind w:left="100"/>
              <w:spacing w:after="0"/>
              <w:rPr>
                <w:sz w:val="20"/>
                <w:szCs w:val="20"/>
                <w:color w:val="auto"/>
              </w:rPr>
            </w:pPr>
            <w:r>
              <w:rPr>
                <w:rFonts w:ascii="Arial" w:cs="Arial" w:eastAsia="Arial" w:hAnsi="Arial"/>
                <w:sz w:val="18"/>
                <w:szCs w:val="18"/>
                <w:color w:val="auto"/>
              </w:rPr>
              <w:t>the Securities Exchange Act of 1934, as amended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5.1+</w:t>
            </w:r>
          </w:p>
        </w:tc>
        <w:tc>
          <w:tcPr>
            <w:tcW w:w="5220" w:type="dxa"/>
            <w:vAlign w:val="bottom"/>
          </w:tcPr>
          <w:p>
            <w:pPr>
              <w:ind w:left="100"/>
              <w:spacing w:after="0"/>
              <w:rPr>
                <w:sz w:val="20"/>
                <w:szCs w:val="20"/>
                <w:color w:val="auto"/>
              </w:rPr>
            </w:pPr>
            <w:r>
              <w:rPr>
                <w:rFonts w:ascii="Arial" w:cs="Arial" w:eastAsia="Arial" w:hAnsi="Arial"/>
                <w:sz w:val="18"/>
                <w:szCs w:val="18"/>
                <w:color w:val="auto"/>
              </w:rPr>
              <w:t>Opinion of Goodwin Procter LLP</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351"/>
        </w:trPr>
        <w:tc>
          <w:tcPr>
            <w:tcW w:w="740" w:type="dxa"/>
            <w:vAlign w:val="bottom"/>
          </w:tcPr>
          <w:p>
            <w:pPr>
              <w:spacing w:after="0"/>
              <w:rPr>
                <w:sz w:val="24"/>
                <w:szCs w:val="24"/>
                <w:color w:val="auto"/>
              </w:rPr>
            </w:pPr>
          </w:p>
        </w:tc>
        <w:tc>
          <w:tcPr>
            <w:tcW w:w="5220" w:type="dxa"/>
            <w:vAlign w:val="bottom"/>
          </w:tcPr>
          <w:p>
            <w:pPr>
              <w:ind w:left="4640"/>
              <w:spacing w:after="0"/>
              <w:rPr>
                <w:sz w:val="20"/>
                <w:szCs w:val="20"/>
                <w:color w:val="auto"/>
              </w:rPr>
            </w:pPr>
            <w:r>
              <w:rPr>
                <w:rFonts w:ascii="Arial" w:cs="Arial" w:eastAsia="Arial" w:hAnsi="Arial"/>
                <w:sz w:val="18"/>
                <w:szCs w:val="18"/>
                <w:color w:val="auto"/>
              </w:rPr>
              <w:t>II-3</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File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Date of</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35"/>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 of exhibit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filing</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herewith</w:t>
            </w:r>
          </w:p>
        </w:tc>
      </w:tr>
      <w:tr>
        <w:trPr>
          <w:trHeight w:val="253"/>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5960" w:type="dxa"/>
            <w:vAlign w:val="bottom"/>
          </w:tcPr>
          <w:p>
            <w:pPr>
              <w:ind w:left="60"/>
              <w:spacing w:after="0"/>
              <w:rPr>
                <w:sz w:val="20"/>
                <w:szCs w:val="20"/>
                <w:color w:val="auto"/>
              </w:rPr>
            </w:pPr>
            <w:r>
              <w:rPr>
                <w:rFonts w:ascii="Arial" w:cs="Arial" w:eastAsia="Arial" w:hAnsi="Arial"/>
                <w:sz w:val="18"/>
                <w:szCs w:val="18"/>
                <w:color w:val="auto"/>
              </w:rPr>
              <w:t>2015 Stock Option and Grant Plan, as amended and forms of award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agreements thereunder</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5960" w:type="dxa"/>
            <w:vAlign w:val="bottom"/>
          </w:tcPr>
          <w:p>
            <w:pPr>
              <w:ind w:left="60"/>
              <w:spacing w:after="0"/>
              <w:rPr>
                <w:sz w:val="20"/>
                <w:szCs w:val="20"/>
                <w:color w:val="auto"/>
              </w:rPr>
            </w:pPr>
            <w:r>
              <w:rPr>
                <w:rFonts w:ascii="Arial" w:cs="Arial" w:eastAsia="Arial" w:hAnsi="Arial"/>
                <w:sz w:val="18"/>
                <w:szCs w:val="18"/>
                <w:color w:val="auto"/>
              </w:rPr>
              <w:t>2020 Stock Option and Incentive Plan and forms of award agreements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09/28/2020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thereunder</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5960" w:type="dxa"/>
            <w:vAlign w:val="bottom"/>
          </w:tcPr>
          <w:p>
            <w:pPr>
              <w:ind w:left="60"/>
              <w:spacing w:after="0"/>
              <w:rPr>
                <w:sz w:val="20"/>
                <w:szCs w:val="20"/>
                <w:color w:val="auto"/>
              </w:rPr>
            </w:pPr>
            <w:r>
              <w:rPr>
                <w:rFonts w:ascii="Arial" w:cs="Arial" w:eastAsia="Arial" w:hAnsi="Arial"/>
                <w:sz w:val="18"/>
                <w:szCs w:val="18"/>
                <w:color w:val="auto"/>
              </w:rPr>
              <w:t>2020 Employee Stock Purchase Plan</w:t>
            </w: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09/28/2020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88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Executive Cash Incentive Bonus Plan</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88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5960" w:type="dxa"/>
            <w:vAlign w:val="bottom"/>
          </w:tcPr>
          <w:p>
            <w:pPr>
              <w:ind w:left="60"/>
              <w:spacing w:after="0"/>
              <w:rPr>
                <w:sz w:val="20"/>
                <w:szCs w:val="20"/>
                <w:color w:val="auto"/>
              </w:rPr>
            </w:pPr>
            <w:r>
              <w:rPr>
                <w:rFonts w:ascii="Arial" w:cs="Arial" w:eastAsia="Arial" w:hAnsi="Arial"/>
                <w:sz w:val="18"/>
                <w:szCs w:val="18"/>
                <w:color w:val="auto"/>
              </w:rPr>
              <w:t>Form of Director Indemnification Agreement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88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5960" w:type="dxa"/>
            <w:vAlign w:val="bottom"/>
          </w:tcPr>
          <w:p>
            <w:pPr>
              <w:ind w:left="60"/>
              <w:spacing w:after="0"/>
              <w:rPr>
                <w:sz w:val="20"/>
                <w:szCs w:val="20"/>
                <w:color w:val="auto"/>
              </w:rPr>
            </w:pPr>
            <w:r>
              <w:rPr>
                <w:rFonts w:ascii="Arial" w:cs="Arial" w:eastAsia="Arial" w:hAnsi="Arial"/>
                <w:sz w:val="18"/>
                <w:szCs w:val="18"/>
                <w:color w:val="auto"/>
              </w:rPr>
              <w:t>Form of Officer Indemnification Agreement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88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5960" w:type="dxa"/>
            <w:vAlign w:val="bottom"/>
          </w:tcPr>
          <w:p>
            <w:pPr>
              <w:ind w:left="60"/>
              <w:spacing w:after="0"/>
              <w:rPr>
                <w:sz w:val="20"/>
                <w:szCs w:val="20"/>
                <w:color w:val="auto"/>
              </w:rPr>
            </w:pPr>
            <w:r>
              <w:rPr>
                <w:rFonts w:ascii="Arial" w:cs="Arial" w:eastAsia="Arial" w:hAnsi="Arial"/>
                <w:sz w:val="18"/>
                <w:szCs w:val="18"/>
                <w:color w:val="auto"/>
              </w:rPr>
              <w:t>Form of Executive Employment Agreement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880" w:type="dxa"/>
            <w:vAlign w:val="bottom"/>
          </w:tcPr>
          <w:p>
            <w:pPr>
              <w:spacing w:after="0"/>
              <w:rPr>
                <w:sz w:val="23"/>
                <w:szCs w:val="23"/>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5960" w:type="dxa"/>
            <w:vAlign w:val="bottom"/>
          </w:tcPr>
          <w:p>
            <w:pPr>
              <w:ind w:left="60"/>
              <w:spacing w:after="0"/>
              <w:rPr>
                <w:sz w:val="20"/>
                <w:szCs w:val="20"/>
                <w:color w:val="auto"/>
              </w:rPr>
            </w:pPr>
            <w:r>
              <w:rPr>
                <w:rFonts w:ascii="Arial" w:cs="Arial" w:eastAsia="Arial" w:hAnsi="Arial"/>
                <w:sz w:val="18"/>
                <w:szCs w:val="18"/>
                <w:color w:val="auto"/>
                <w:w w:val="98"/>
              </w:rPr>
              <w:t>Employment Agreement between the Registrant and Andrew Hirsch, dated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6, 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5960" w:type="dxa"/>
            <w:vAlign w:val="bottom"/>
          </w:tcPr>
          <w:p>
            <w:pPr>
              <w:ind w:left="60"/>
              <w:spacing w:after="0"/>
              <w:rPr>
                <w:sz w:val="20"/>
                <w:szCs w:val="20"/>
                <w:color w:val="auto"/>
              </w:rPr>
            </w:pPr>
            <w:r>
              <w:rPr>
                <w:rFonts w:ascii="Arial" w:cs="Arial" w:eastAsia="Arial" w:hAnsi="Arial"/>
                <w:sz w:val="18"/>
                <w:szCs w:val="18"/>
                <w:color w:val="auto"/>
                <w:w w:val="98"/>
              </w:rPr>
              <w:t>Consulting Agreement between the Registrant and MBJC Associates, LLC,</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effective March 31, 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5960" w:type="dxa"/>
            <w:vAlign w:val="bottom"/>
          </w:tcPr>
          <w:p>
            <w:pPr>
              <w:ind w:left="60"/>
              <w:spacing w:after="0"/>
              <w:rPr>
                <w:sz w:val="20"/>
                <w:szCs w:val="20"/>
                <w:color w:val="auto"/>
              </w:rPr>
            </w:pPr>
            <w:r>
              <w:rPr>
                <w:rFonts w:ascii="Arial" w:cs="Arial" w:eastAsia="Arial" w:hAnsi="Arial"/>
                <w:sz w:val="18"/>
                <w:szCs w:val="18"/>
                <w:color w:val="auto"/>
              </w:rPr>
              <w:t>Collaboration Research and License Agreement between the Registrant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and Biogen MA, Inc., dated December 28, 2018</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5960" w:type="dxa"/>
            <w:vAlign w:val="bottom"/>
          </w:tcPr>
          <w:p>
            <w:pPr>
              <w:ind w:left="60"/>
              <w:spacing w:after="0"/>
              <w:rPr>
                <w:sz w:val="20"/>
                <w:szCs w:val="20"/>
                <w:color w:val="auto"/>
              </w:rPr>
            </w:pPr>
            <w:r>
              <w:rPr>
                <w:rFonts w:ascii="Arial" w:cs="Arial" w:eastAsia="Arial" w:hAnsi="Arial"/>
                <w:sz w:val="18"/>
                <w:szCs w:val="18"/>
                <w:color w:val="auto"/>
              </w:rPr>
              <w:t>Amendment No. 1 to Collaborative Research and License Agreement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001–39567</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03/11/2020</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between the Registrant and Biogen MA, Inc., dated February 25, 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5960" w:type="dxa"/>
            <w:vAlign w:val="bottom"/>
          </w:tcPr>
          <w:p>
            <w:pPr>
              <w:ind w:left="60"/>
              <w:spacing w:after="0"/>
              <w:rPr>
                <w:sz w:val="20"/>
                <w:szCs w:val="20"/>
                <w:color w:val="auto"/>
              </w:rPr>
            </w:pPr>
            <w:r>
              <w:rPr>
                <w:rFonts w:ascii="Arial" w:cs="Arial" w:eastAsia="Arial" w:hAnsi="Arial"/>
                <w:sz w:val="18"/>
                <w:szCs w:val="18"/>
                <w:color w:val="auto"/>
              </w:rPr>
              <w:t>Amended and Restated License Agreement among the Registrant, F.</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10.11</w:t>
            </w:r>
          </w:p>
        </w:tc>
        <w:tc>
          <w:tcPr>
            <w:tcW w:w="880" w:type="dxa"/>
            <w:vAlign w:val="bottom"/>
          </w:tcPr>
          <w:p>
            <w:pPr>
              <w:spacing w:after="0"/>
              <w:rPr>
                <w:sz w:val="22"/>
                <w:szCs w:val="22"/>
                <w:color w:val="auto"/>
              </w:rPr>
            </w:pPr>
          </w:p>
        </w:tc>
      </w:tr>
      <w:tr>
        <w:trPr>
          <w:trHeight w:val="203"/>
        </w:trPr>
        <w:tc>
          <w:tcPr>
            <w:tcW w:w="7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Hoffmann-La Roche Ltd and Hoffmann-La Roche Inc., dated</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December 20, 2018</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5960" w:type="dxa"/>
            <w:vAlign w:val="bottom"/>
          </w:tcPr>
          <w:p>
            <w:pPr>
              <w:ind w:left="60"/>
              <w:spacing w:after="0"/>
              <w:rPr>
                <w:sz w:val="20"/>
                <w:szCs w:val="20"/>
                <w:color w:val="auto"/>
              </w:rPr>
            </w:pPr>
            <w:r>
              <w:rPr>
                <w:rFonts w:ascii="Arial" w:cs="Arial" w:eastAsia="Arial" w:hAnsi="Arial"/>
                <w:sz w:val="18"/>
                <w:szCs w:val="18"/>
                <w:color w:val="auto"/>
              </w:rPr>
              <w:t>First Amendment to the Amended and Restated License Agreement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001–39567</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03/11/2020</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80" w:type="dxa"/>
            <w:vAlign w:val="bottom"/>
          </w:tcPr>
          <w:p>
            <w:pPr>
              <w:spacing w:after="0"/>
              <w:rPr>
                <w:sz w:val="22"/>
                <w:szCs w:val="22"/>
                <w:color w:val="auto"/>
              </w:rPr>
            </w:pPr>
          </w:p>
        </w:tc>
      </w:tr>
      <w:tr>
        <w:trPr>
          <w:trHeight w:val="203"/>
        </w:trPr>
        <w:tc>
          <w:tcPr>
            <w:tcW w:w="7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w w:val="98"/>
              </w:rPr>
              <w:t>among the Registrant, F. Hoffmann-La Roche Ltd and Hoffmann-La Roche</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Inc., dated November 12, 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5960" w:type="dxa"/>
            <w:vAlign w:val="bottom"/>
          </w:tcPr>
          <w:p>
            <w:pPr>
              <w:ind w:left="60"/>
              <w:spacing w:after="0"/>
              <w:rPr>
                <w:sz w:val="20"/>
                <w:szCs w:val="20"/>
                <w:color w:val="auto"/>
              </w:rPr>
            </w:pPr>
            <w:r>
              <w:rPr>
                <w:rFonts w:ascii="Arial" w:cs="Arial" w:eastAsia="Arial" w:hAnsi="Arial"/>
                <w:sz w:val="18"/>
                <w:szCs w:val="18"/>
                <w:color w:val="auto"/>
              </w:rPr>
              <w:t>Collaboration and License Agreement between the Registrant and Calico</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10.12</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Life Sciences LLC, dated March 13, 2017</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5960" w:type="dxa"/>
            <w:vAlign w:val="bottom"/>
          </w:tcPr>
          <w:p>
            <w:pPr>
              <w:ind w:left="60"/>
              <w:spacing w:after="0"/>
              <w:rPr>
                <w:sz w:val="20"/>
                <w:szCs w:val="20"/>
                <w:color w:val="auto"/>
              </w:rPr>
            </w:pPr>
            <w:r>
              <w:rPr>
                <w:rFonts w:ascii="Arial" w:cs="Arial" w:eastAsia="Arial" w:hAnsi="Arial"/>
                <w:sz w:val="18"/>
                <w:szCs w:val="18"/>
                <w:color w:val="auto"/>
              </w:rPr>
              <w:t>Credit Agreement and Guaranty among the Registrant, Perceptive Credit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880" w:type="dxa"/>
            <w:vAlign w:val="bottom"/>
          </w:tcPr>
          <w:p>
            <w:pPr>
              <w:spacing w:after="0"/>
              <w:rPr>
                <w:sz w:val="22"/>
                <w:szCs w:val="22"/>
                <w:color w:val="auto"/>
              </w:rPr>
            </w:pPr>
          </w:p>
        </w:tc>
      </w:tr>
      <w:tr>
        <w:trPr>
          <w:trHeight w:val="203"/>
        </w:trPr>
        <w:tc>
          <w:tcPr>
            <w:tcW w:w="700" w:type="dxa"/>
            <w:vAlign w:val="bottom"/>
          </w:tcPr>
          <w:p>
            <w:pPr>
              <w:spacing w:after="0"/>
              <w:rPr>
                <w:sz w:val="17"/>
                <w:szCs w:val="17"/>
                <w:color w:val="auto"/>
              </w:rPr>
            </w:pP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w w:val="98"/>
              </w:rPr>
              <w:t>Holdings III, LP and the guarantors and lenders party thereto, dated July 5,</w:t>
            </w: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5960" w:type="dxa"/>
            <w:vAlign w:val="bottom"/>
          </w:tcPr>
          <w:p>
            <w:pPr>
              <w:ind w:left="60"/>
              <w:spacing w:after="0"/>
              <w:rPr>
                <w:sz w:val="20"/>
                <w:szCs w:val="20"/>
                <w:color w:val="auto"/>
              </w:rPr>
            </w:pPr>
            <w:r>
              <w:rPr>
                <w:rFonts w:ascii="Arial" w:cs="Arial" w:eastAsia="Arial" w:hAnsi="Arial"/>
                <w:sz w:val="18"/>
                <w:szCs w:val="18"/>
                <w:color w:val="auto"/>
                <w:w w:val="99"/>
              </w:rPr>
              <w:t>Lease by 480 Arsenal Group LLC to the Registrant, dated July 5, 2017, as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333–248719</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09/10/2020</w:t>
            </w: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10.14</w:t>
            </w:r>
          </w:p>
        </w:tc>
        <w:tc>
          <w:tcPr>
            <w:tcW w:w="880" w:type="dxa"/>
            <w:vAlign w:val="bottom"/>
          </w:tcPr>
          <w:p>
            <w:pPr>
              <w:spacing w:after="0"/>
              <w:rPr>
                <w:sz w:val="22"/>
                <w:szCs w:val="22"/>
                <w:color w:val="auto"/>
              </w:rPr>
            </w:pPr>
          </w:p>
        </w:tc>
      </w:tr>
      <w:tr>
        <w:trPr>
          <w:trHeight w:val="211"/>
        </w:trPr>
        <w:tc>
          <w:tcPr>
            <w:tcW w:w="700" w:type="dxa"/>
            <w:vAlign w:val="bottom"/>
          </w:tcPr>
          <w:p>
            <w:pPr>
              <w:spacing w:after="0"/>
              <w:rPr>
                <w:sz w:val="18"/>
                <w:szCs w:val="18"/>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amended</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5960" w:type="dxa"/>
            <w:vAlign w:val="bottom"/>
          </w:tcPr>
          <w:p>
            <w:pPr>
              <w:ind w:left="60"/>
              <w:spacing w:after="0"/>
              <w:rPr>
                <w:sz w:val="20"/>
                <w:szCs w:val="20"/>
                <w:color w:val="auto"/>
              </w:rPr>
            </w:pPr>
            <w:r>
              <w:rPr>
                <w:rFonts w:ascii="Arial" w:cs="Arial" w:eastAsia="Arial" w:hAnsi="Arial"/>
                <w:sz w:val="18"/>
                <w:szCs w:val="18"/>
                <w:color w:val="auto"/>
              </w:rPr>
              <w:t>Subsidiaries of the Registrant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001–39567</w:t>
            </w:r>
          </w:p>
        </w:tc>
        <w:tc>
          <w:tcPr>
            <w:tcW w:w="1020" w:type="dxa"/>
            <w:vAlign w:val="bottom"/>
          </w:tcPr>
          <w:p>
            <w:pPr>
              <w:jc w:val="center"/>
              <w:spacing w:after="0"/>
              <w:rPr>
                <w:sz w:val="20"/>
                <w:szCs w:val="20"/>
                <w:color w:val="auto"/>
              </w:rPr>
            </w:pPr>
            <w:r>
              <w:rPr>
                <w:rFonts w:ascii="Arial" w:cs="Arial" w:eastAsia="Arial" w:hAnsi="Arial"/>
                <w:sz w:val="18"/>
                <w:szCs w:val="18"/>
                <w:color w:val="auto"/>
                <w:w w:val="97"/>
              </w:rPr>
              <w:t>03/11/2020</w:t>
            </w: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880" w:type="dxa"/>
            <w:vAlign w:val="bottom"/>
          </w:tcPr>
          <w:p>
            <w:pPr>
              <w:spacing w:after="0"/>
              <w:rPr>
                <w:sz w:val="23"/>
                <w:szCs w:val="23"/>
                <w:color w:val="auto"/>
              </w:rPr>
            </w:pP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5960" w:type="dxa"/>
            <w:vAlign w:val="bottom"/>
          </w:tcPr>
          <w:p>
            <w:pPr>
              <w:ind w:left="6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51"/>
        </w:trPr>
        <w:tc>
          <w:tcPr>
            <w:tcW w:w="700" w:type="dxa"/>
            <w:vAlign w:val="bottom"/>
          </w:tcPr>
          <w:p>
            <w:pPr>
              <w:spacing w:after="0"/>
              <w:rPr>
                <w:sz w:val="24"/>
                <w:szCs w:val="24"/>
                <w:color w:val="auto"/>
              </w:rPr>
            </w:pPr>
          </w:p>
        </w:tc>
        <w:tc>
          <w:tcPr>
            <w:tcW w:w="5960" w:type="dxa"/>
            <w:vAlign w:val="bottom"/>
          </w:tcPr>
          <w:p>
            <w:pPr>
              <w:ind w:left="4680"/>
              <w:spacing w:after="0"/>
              <w:rPr>
                <w:sz w:val="20"/>
                <w:szCs w:val="20"/>
                <w:color w:val="auto"/>
              </w:rPr>
            </w:pPr>
            <w:r>
              <w:rPr>
                <w:rFonts w:ascii="Arial" w:cs="Arial" w:eastAsia="Arial" w:hAnsi="Arial"/>
                <w:sz w:val="18"/>
                <w:szCs w:val="18"/>
                <w:color w:val="auto"/>
              </w:rPr>
              <w:t>II-4</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Exhibit</w:t>
            </w:r>
          </w:p>
        </w:tc>
        <w:tc>
          <w:tcPr>
            <w:tcW w:w="26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File</w:t>
            </w:r>
          </w:p>
        </w:tc>
        <w:tc>
          <w:tcPr>
            <w:tcW w:w="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of</w:t>
            </w:r>
          </w:p>
        </w:tc>
        <w:tc>
          <w:tcPr>
            <w:tcW w:w="10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Exhibit</w:t>
            </w:r>
          </w:p>
        </w:tc>
        <w:tc>
          <w:tcPr>
            <w:tcW w:w="940" w:type="dxa"/>
            <w:vAlign w:val="bottom"/>
          </w:tcPr>
          <w:p>
            <w:pPr>
              <w:jc w:val="center"/>
              <w:ind w:left="32"/>
              <w:spacing w:after="0" w:line="202" w:lineRule="exact"/>
              <w:rPr>
                <w:sz w:val="20"/>
                <w:szCs w:val="20"/>
                <w:color w:val="auto"/>
              </w:rPr>
            </w:pPr>
            <w:r>
              <w:rPr>
                <w:rFonts w:ascii="Arial" w:cs="Arial" w:eastAsia="Arial" w:hAnsi="Arial"/>
                <w:sz w:val="18"/>
                <w:szCs w:val="18"/>
                <w:b w:val="1"/>
                <w:bCs w:val="1"/>
                <w:color w:val="auto"/>
                <w:w w:val="99"/>
              </w:rPr>
              <w:t>Filed</w:t>
            </w:r>
          </w:p>
        </w:tc>
      </w:tr>
      <w:tr>
        <w:trPr>
          <w:trHeight w:val="23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   Description of exhibit</w:t>
            </w:r>
          </w:p>
        </w:tc>
        <w:tc>
          <w:tcPr>
            <w:tcW w:w="260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Form</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filing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w:t>
            </w:r>
          </w:p>
        </w:tc>
        <w:tc>
          <w:tcPr>
            <w:tcW w:w="9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7"/>
              </w:rPr>
              <w:t>herewith</w:t>
            </w:r>
          </w:p>
        </w:tc>
      </w:tr>
    </w:tbl>
    <w:p>
      <w:pPr>
        <w:spacing w:after="0" w:line="57"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Goodwin Procter LLP (included in Exhibit 5.1)</w:t>
      </w:r>
    </w:p>
    <w:p>
      <w:pPr>
        <w:spacing w:after="0" w:line="63" w:lineRule="exact"/>
        <w:rPr>
          <w:sz w:val="20"/>
          <w:szCs w:val="20"/>
          <w:color w:val="auto"/>
        </w:rPr>
      </w:pPr>
    </w:p>
    <w:p>
      <w:pPr>
        <w:ind w:left="1080" w:right="5020" w:hanging="957"/>
        <w:spacing w:after="0" w:line="239" w:lineRule="auto"/>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(included on signature page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691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69125" cy="8255"/>
                    </a:xfrm>
                    <a:prstGeom prst="rect">
                      <a:avLst/>
                    </a:prstGeom>
                    <a:noFill/>
                  </pic:spPr>
                </pic:pic>
              </a:graphicData>
            </a:graphic>
          </wp:anchor>
        </w:drawing>
      </w:r>
    </w:p>
    <w:p>
      <w:pPr>
        <w:spacing w:after="0" w:line="63" w:lineRule="exact"/>
        <w:rPr>
          <w:sz w:val="20"/>
          <w:szCs w:val="20"/>
          <w:color w:val="auto"/>
        </w:rPr>
      </w:pPr>
    </w:p>
    <w:p>
      <w:pPr>
        <w:ind w:left="440" w:hanging="324"/>
        <w:spacing w:after="0"/>
        <w:tabs>
          <w:tab w:leader="none" w:pos="4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67" w:lineRule="exact"/>
        <w:rPr>
          <w:sz w:val="20"/>
          <w:szCs w:val="20"/>
          <w:color w:val="auto"/>
        </w:rPr>
      </w:pPr>
    </w:p>
    <w:p>
      <w:pPr>
        <w:ind w:left="440" w:hanging="324"/>
        <w:spacing w:after="0"/>
        <w:tabs>
          <w:tab w:leader="none" w:pos="44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Indicates a management contract or any compensatory plan, contract or arrangement.</w:t>
      </w:r>
    </w:p>
    <w:p>
      <w:pPr>
        <w:spacing w:after="0" w:line="67" w:lineRule="exact"/>
        <w:rPr>
          <w:sz w:val="20"/>
          <w:szCs w:val="20"/>
          <w:color w:val="auto"/>
        </w:rPr>
      </w:pPr>
    </w:p>
    <w:p>
      <w:pPr>
        <w:ind w:left="120" w:right="2640" w:hanging="4"/>
        <w:spacing w:after="0" w:line="366" w:lineRule="auto"/>
        <w:tabs>
          <w:tab w:leader="none" w:pos="444" w:val="left"/>
        </w:tabs>
        <w:numPr>
          <w:ilvl w:val="0"/>
          <w:numId w:val="84"/>
        </w:numPr>
        <w:rPr>
          <w:rFonts w:ascii="Arial" w:cs="Arial" w:eastAsia="Arial" w:hAnsi="Arial"/>
          <w:sz w:val="13"/>
          <w:szCs w:val="13"/>
          <w:color w:val="auto"/>
        </w:rPr>
      </w:pPr>
      <w:r>
        <w:rPr>
          <w:rFonts w:ascii="Arial" w:cs="Arial" w:eastAsia="Arial" w:hAnsi="Arial"/>
          <w:sz w:val="13"/>
          <w:szCs w:val="13"/>
          <w:color w:val="auto"/>
        </w:rPr>
        <w:t>Portions of this exhibit (indicated by asterisks) will be omitted in accordance with the rules of the Securities and Exchange Commission. + To be filed by amendment</w:t>
      </w:r>
    </w:p>
    <w:p>
      <w:pPr>
        <w:ind w:left="120" w:right="8160" w:hanging="4"/>
        <w:spacing w:after="0" w:line="387" w:lineRule="auto"/>
        <w:tabs>
          <w:tab w:leader="none" w:pos="393"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17. Undertakings</w:t>
      </w:r>
    </w:p>
    <w:p>
      <w:pPr>
        <w:spacing w:after="0" w:line="134" w:lineRule="exact"/>
        <w:rPr>
          <w:sz w:val="20"/>
          <w:szCs w:val="20"/>
          <w:color w:val="auto"/>
        </w:rPr>
      </w:pPr>
    </w:p>
    <w:p>
      <w:pPr>
        <w:ind w:left="120" w:right="10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5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04" w:lineRule="exact"/>
        <w:rPr>
          <w:sz w:val="20"/>
          <w:szCs w:val="20"/>
          <w:color w:val="auto"/>
        </w:rPr>
      </w:pPr>
    </w:p>
    <w:p>
      <w:pPr>
        <w:jc w:val="both"/>
        <w:ind w:left="120" w:right="140" w:hanging="4"/>
        <w:spacing w:after="0" w:line="264" w:lineRule="auto"/>
        <w:tabs>
          <w:tab w:leader="none" w:pos="383"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380" w:hanging="264"/>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or 497(h) under the Securities Act shall be deemed to be part of this registration statement as of the time it was declared effective.</w:t>
      </w:r>
    </w:p>
    <w:p>
      <w:pPr>
        <w:spacing w:after="0" w:line="103" w:lineRule="exact"/>
        <w:rPr>
          <w:rFonts w:ascii="Arial" w:cs="Arial" w:eastAsia="Arial" w:hAnsi="Arial"/>
          <w:sz w:val="18"/>
          <w:szCs w:val="18"/>
          <w:color w:val="auto"/>
        </w:rPr>
      </w:pPr>
    </w:p>
    <w:p>
      <w:pPr>
        <w:jc w:val="both"/>
        <w:ind w:left="120" w:right="300" w:hanging="4"/>
        <w:spacing w:after="0" w:line="238" w:lineRule="auto"/>
        <w:tabs>
          <w:tab w:leader="none" w:pos="3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C4 Therapeutics,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w:t>
      </w:r>
    </w:p>
    <w:p>
      <w:pPr>
        <w:spacing w:after="0" w:line="157" w:lineRule="exact"/>
        <w:rPr>
          <w:sz w:val="20"/>
          <w:szCs w:val="20"/>
          <w:color w:val="auto"/>
        </w:rPr>
      </w:pPr>
    </w:p>
    <w:p>
      <w:pPr>
        <w:ind w:left="120" w:right="720"/>
        <w:spacing w:after="0" w:line="264"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Watertown, Commonwealth of</w:t>
      </w:r>
    </w:p>
    <w:tbl>
      <w:tblPr>
        <w:tblLayout w:type="fixed"/>
        <w:tblInd w:w="120" w:type="dxa"/>
        <w:tblCellMar>
          <w:top w:w="0" w:type="dxa"/>
          <w:left w:w="0" w:type="dxa"/>
          <w:bottom w:w="0" w:type="dxa"/>
          <w:right w:w="0" w:type="dxa"/>
        </w:tblCellMar>
      </w:tblPr>
      <w:tr>
        <w:trPr>
          <w:trHeight w:val="211"/>
        </w:trPr>
        <w:tc>
          <w:tcPr>
            <w:tcW w:w="2840" w:type="dxa"/>
            <w:vAlign w:val="bottom"/>
          </w:tcPr>
          <w:p>
            <w:pPr>
              <w:spacing w:after="0"/>
              <w:rPr>
                <w:sz w:val="20"/>
                <w:szCs w:val="20"/>
                <w:color w:val="auto"/>
              </w:rPr>
            </w:pPr>
            <w:r>
              <w:rPr>
                <w:rFonts w:ascii="Arial" w:cs="Arial" w:eastAsia="Arial" w:hAnsi="Arial"/>
                <w:sz w:val="18"/>
                <w:szCs w:val="18"/>
                <w:color w:val="auto"/>
              </w:rPr>
              <w:t>Massachusetts, on the   day of</w:t>
            </w:r>
          </w:p>
        </w:tc>
        <w:tc>
          <w:tcPr>
            <w:tcW w:w="4140" w:type="dxa"/>
            <w:vAlign w:val="bottom"/>
          </w:tcPr>
          <w:p>
            <w:pPr>
              <w:ind w:left="320"/>
              <w:spacing w:after="0"/>
              <w:rPr>
                <w:sz w:val="20"/>
                <w:szCs w:val="20"/>
                <w:color w:val="auto"/>
              </w:rPr>
            </w:pPr>
            <w:r>
              <w:rPr>
                <w:rFonts w:ascii="Arial" w:cs="Arial" w:eastAsia="Arial" w:hAnsi="Arial"/>
                <w:sz w:val="18"/>
                <w:szCs w:val="18"/>
                <w:color w:val="auto"/>
              </w:rPr>
              <w:t>, 2021.</w:t>
            </w:r>
          </w:p>
        </w:tc>
        <w:tc>
          <w:tcPr>
            <w:tcW w:w="4040" w:type="dxa"/>
            <w:vAlign w:val="bottom"/>
          </w:tcPr>
          <w:p>
            <w:pPr>
              <w:spacing w:after="0"/>
              <w:rPr>
                <w:sz w:val="18"/>
                <w:szCs w:val="18"/>
                <w:color w:val="auto"/>
              </w:rPr>
            </w:pPr>
          </w:p>
        </w:tc>
      </w:tr>
      <w:tr>
        <w:trPr>
          <w:trHeight w:val="392"/>
        </w:trPr>
        <w:tc>
          <w:tcPr>
            <w:tcW w:w="2840" w:type="dxa"/>
            <w:vAlign w:val="bottom"/>
          </w:tcPr>
          <w:p>
            <w:pPr>
              <w:spacing w:after="0"/>
              <w:rPr>
                <w:sz w:val="24"/>
                <w:szCs w:val="24"/>
                <w:color w:val="auto"/>
              </w:rPr>
            </w:pPr>
          </w:p>
        </w:tc>
        <w:tc>
          <w:tcPr>
            <w:tcW w:w="8180" w:type="dxa"/>
            <w:vAlign w:val="bottom"/>
            <w:gridSpan w:val="2"/>
          </w:tcPr>
          <w:p>
            <w:pPr>
              <w:ind w:left="3780"/>
              <w:spacing w:after="0"/>
              <w:rPr>
                <w:sz w:val="20"/>
                <w:szCs w:val="20"/>
                <w:color w:val="auto"/>
              </w:rPr>
            </w:pPr>
            <w:r>
              <w:rPr>
                <w:rFonts w:ascii="Arial" w:cs="Arial" w:eastAsia="Arial" w:hAnsi="Arial"/>
                <w:sz w:val="18"/>
                <w:szCs w:val="18"/>
                <w:b w:val="1"/>
                <w:bCs w:val="1"/>
                <w:color w:val="auto"/>
              </w:rPr>
              <w:t>C4 Therapeutics, Inc.</w:t>
            </w:r>
          </w:p>
        </w:tc>
      </w:tr>
      <w:tr>
        <w:trPr>
          <w:trHeight w:val="326"/>
        </w:trPr>
        <w:tc>
          <w:tcPr>
            <w:tcW w:w="2840" w:type="dxa"/>
            <w:vAlign w:val="bottom"/>
          </w:tcPr>
          <w:p>
            <w:pPr>
              <w:spacing w:after="0"/>
              <w:rPr>
                <w:sz w:val="24"/>
                <w:szCs w:val="24"/>
                <w:color w:val="auto"/>
              </w:rPr>
            </w:pPr>
          </w:p>
        </w:tc>
        <w:tc>
          <w:tcPr>
            <w:tcW w:w="4140" w:type="dxa"/>
            <w:vAlign w:val="bottom"/>
          </w:tcPr>
          <w:p>
            <w:pPr>
              <w:ind w:left="378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4"/>
                <w:szCs w:val="24"/>
                <w:color w:val="auto"/>
              </w:rPr>
            </w:pPr>
          </w:p>
        </w:tc>
      </w:tr>
      <w:tr>
        <w:trPr>
          <w:trHeight w:val="213"/>
        </w:trPr>
        <w:tc>
          <w:tcPr>
            <w:tcW w:w="2840" w:type="dxa"/>
            <w:vAlign w:val="bottom"/>
          </w:tcPr>
          <w:p>
            <w:pPr>
              <w:spacing w:after="0"/>
              <w:rPr>
                <w:sz w:val="18"/>
                <w:szCs w:val="18"/>
                <w:color w:val="auto"/>
              </w:rPr>
            </w:pPr>
          </w:p>
        </w:tc>
        <w:tc>
          <w:tcPr>
            <w:tcW w:w="8180" w:type="dxa"/>
            <w:vAlign w:val="bottom"/>
            <w:gridSpan w:val="2"/>
          </w:tcPr>
          <w:p>
            <w:pPr>
              <w:ind w:left="4140"/>
              <w:spacing w:after="0"/>
              <w:rPr>
                <w:sz w:val="20"/>
                <w:szCs w:val="20"/>
                <w:color w:val="auto"/>
              </w:rPr>
            </w:pPr>
            <w:r>
              <w:rPr>
                <w:rFonts w:ascii="Arial" w:cs="Arial" w:eastAsia="Arial" w:hAnsi="Arial"/>
                <w:sz w:val="18"/>
                <w:szCs w:val="18"/>
                <w:color w:val="auto"/>
              </w:rPr>
              <w:t>Andrew Hirsch</w:t>
            </w:r>
          </w:p>
        </w:tc>
      </w:tr>
      <w:tr>
        <w:trPr>
          <w:trHeight w:val="211"/>
        </w:trPr>
        <w:tc>
          <w:tcPr>
            <w:tcW w:w="2840" w:type="dxa"/>
            <w:vAlign w:val="bottom"/>
          </w:tcPr>
          <w:p>
            <w:pPr>
              <w:spacing w:after="0"/>
              <w:rPr>
                <w:sz w:val="18"/>
                <w:szCs w:val="18"/>
                <w:color w:val="auto"/>
              </w:rPr>
            </w:pPr>
          </w:p>
        </w:tc>
        <w:tc>
          <w:tcPr>
            <w:tcW w:w="8180" w:type="dxa"/>
            <w:vAlign w:val="bottom"/>
            <w:gridSpan w:val="2"/>
          </w:tcPr>
          <w:p>
            <w:pPr>
              <w:ind w:left="4140"/>
              <w:spacing w:after="0"/>
              <w:rPr>
                <w:sz w:val="20"/>
                <w:szCs w:val="20"/>
                <w:color w:val="auto"/>
              </w:rPr>
            </w:pPr>
            <w:r>
              <w:rPr>
                <w:rFonts w:ascii="Arial" w:cs="Arial" w:eastAsia="Arial" w:hAnsi="Arial"/>
                <w:sz w:val="18"/>
                <w:szCs w:val="18"/>
                <w:color w:val="auto"/>
              </w:rPr>
              <w:t>President and Chief Executive Officer</w:t>
            </w:r>
          </w:p>
        </w:tc>
      </w:tr>
    </w:tbl>
    <w:p>
      <w:pPr>
        <w:spacing w:after="0" w:line="113" w:lineRule="exact"/>
        <w:rPr>
          <w:sz w:val="20"/>
          <w:szCs w:val="20"/>
          <w:color w:val="auto"/>
        </w:rPr>
      </w:pPr>
    </w:p>
    <w:p>
      <w:pPr>
        <w:ind w:left="120" w:right="140"/>
        <w:spacing w:after="0" w:line="268"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Andrew Hirsch and Jolie Siegal and each of them,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or their substitute or substitutes, may lawfully do or cause to be done or by virtue hereof.</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680" w:type="dxa"/>
            <w:vAlign w:val="bottom"/>
          </w:tcPr>
          <w:p>
            <w:pPr>
              <w:spacing w:after="0"/>
              <w:rPr>
                <w:sz w:val="20"/>
                <w:szCs w:val="20"/>
                <w:color w:val="auto"/>
              </w:rPr>
            </w:pPr>
            <w:r>
              <w:rPr>
                <w:rFonts w:ascii="Arial" w:cs="Arial" w:eastAsia="Arial" w:hAnsi="Arial"/>
                <w:sz w:val="18"/>
                <w:szCs w:val="18"/>
                <w:color w:val="auto"/>
              </w:rPr>
              <w:t>in the capacities indicated on the</w:t>
            </w:r>
          </w:p>
        </w:tc>
        <w:tc>
          <w:tcPr>
            <w:tcW w:w="960" w:type="dxa"/>
            <w:vAlign w:val="bottom"/>
          </w:tcPr>
          <w:p>
            <w:pPr>
              <w:ind w:left="160"/>
              <w:spacing w:after="0"/>
              <w:rPr>
                <w:sz w:val="20"/>
                <w:szCs w:val="20"/>
                <w:color w:val="auto"/>
              </w:rPr>
            </w:pPr>
            <w:r>
              <w:rPr>
                <w:rFonts w:ascii="Arial" w:cs="Arial" w:eastAsia="Arial" w:hAnsi="Arial"/>
                <w:sz w:val="18"/>
                <w:szCs w:val="18"/>
                <w:color w:val="auto"/>
              </w:rPr>
              <w:t>day of</w:t>
            </w:r>
          </w:p>
        </w:tc>
        <w:tc>
          <w:tcPr>
            <w:tcW w:w="5880" w:type="dxa"/>
            <w:vAlign w:val="bottom"/>
          </w:tcPr>
          <w:p>
            <w:pPr>
              <w:jc w:val="right"/>
              <w:ind w:right="4952"/>
              <w:spacing w:after="0"/>
              <w:rPr>
                <w:sz w:val="20"/>
                <w:szCs w:val="20"/>
                <w:color w:val="auto"/>
              </w:rPr>
            </w:pPr>
            <w:r>
              <w:rPr>
                <w:rFonts w:ascii="Arial" w:cs="Arial" w:eastAsia="Arial" w:hAnsi="Arial"/>
                <w:sz w:val="18"/>
                <w:szCs w:val="18"/>
                <w:color w:val="auto"/>
              </w:rPr>
              <w:t>, 2021.</w:t>
            </w:r>
          </w:p>
        </w:tc>
        <w:tc>
          <w:tcPr>
            <w:tcW w:w="1500" w:type="dxa"/>
            <w:vAlign w:val="bottom"/>
          </w:tcPr>
          <w:p>
            <w:pPr>
              <w:spacing w:after="0"/>
              <w:rPr>
                <w:sz w:val="18"/>
                <w:szCs w:val="18"/>
                <w:color w:val="auto"/>
              </w:rPr>
            </w:pPr>
          </w:p>
        </w:tc>
      </w:tr>
      <w:tr>
        <w:trPr>
          <w:trHeight w:val="117"/>
        </w:trPr>
        <w:tc>
          <w:tcPr>
            <w:tcW w:w="26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8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r>
        <w:trPr>
          <w:trHeight w:val="243"/>
        </w:trPr>
        <w:tc>
          <w:tcPr>
            <w:tcW w:w="26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Signature</w:t>
            </w:r>
          </w:p>
        </w:tc>
        <w:tc>
          <w:tcPr>
            <w:tcW w:w="960" w:type="dxa"/>
            <w:vAlign w:val="bottom"/>
            <w:tcBorders>
              <w:bottom w:val="single" w:sz="8" w:color="auto"/>
            </w:tcBorders>
          </w:tcPr>
          <w:p>
            <w:pPr>
              <w:spacing w:after="0"/>
              <w:rPr>
                <w:sz w:val="21"/>
                <w:szCs w:val="21"/>
                <w:color w:val="auto"/>
              </w:rPr>
            </w:pPr>
          </w:p>
        </w:tc>
        <w:tc>
          <w:tcPr>
            <w:tcW w:w="5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Date</w:t>
            </w:r>
          </w:p>
        </w:tc>
      </w:tr>
      <w:tr>
        <w:trPr>
          <w:trHeight w:val="250"/>
        </w:trPr>
        <w:tc>
          <w:tcPr>
            <w:tcW w:w="2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7"/>
              </w:rPr>
              <w:t>President, Chief Executive Officer and Director</w:t>
            </w:r>
          </w:p>
        </w:tc>
        <w:tc>
          <w:tcPr>
            <w:tcW w:w="1500" w:type="dxa"/>
            <w:vAlign w:val="bottom"/>
          </w:tcPr>
          <w:p>
            <w:pPr>
              <w:spacing w:after="0"/>
              <w:rPr>
                <w:sz w:val="21"/>
                <w:szCs w:val="21"/>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Andrew Hirsch</w:t>
            </w:r>
          </w:p>
        </w:tc>
        <w:tc>
          <w:tcPr>
            <w:tcW w:w="960" w:type="dxa"/>
            <w:vAlign w:val="bottom"/>
          </w:tcPr>
          <w:p>
            <w:pPr>
              <w:spacing w:after="0"/>
              <w:rPr>
                <w:sz w:val="18"/>
                <w:szCs w:val="18"/>
                <w:color w:val="auto"/>
              </w:rPr>
            </w:pPr>
          </w:p>
        </w:tc>
        <w:tc>
          <w:tcPr>
            <w:tcW w:w="5880" w:type="dxa"/>
            <w:vAlign w:val="bottom"/>
          </w:tcPr>
          <w:p>
            <w:pPr>
              <w:jc w:val="center"/>
              <w:spacing w:after="0" w:line="194" w:lineRule="exact"/>
              <w:rPr>
                <w:sz w:val="20"/>
                <w:szCs w:val="20"/>
                <w:color w:val="auto"/>
              </w:rPr>
            </w:pPr>
            <w:r>
              <w:rPr>
                <w:rFonts w:ascii="Arial" w:cs="Arial" w:eastAsia="Arial" w:hAnsi="Arial"/>
                <w:sz w:val="18"/>
                <w:szCs w:val="18"/>
                <w:color w:val="auto"/>
                <w:w w:val="97"/>
              </w:rPr>
              <w:t>(Principal Executive Officer)</w:t>
            </w: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Chief Financial Officer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William McKee</w:t>
            </w:r>
          </w:p>
        </w:tc>
        <w:tc>
          <w:tcPr>
            <w:tcW w:w="960" w:type="dxa"/>
            <w:vAlign w:val="bottom"/>
          </w:tcPr>
          <w:p>
            <w:pPr>
              <w:spacing w:after="0"/>
              <w:rPr>
                <w:sz w:val="18"/>
                <w:szCs w:val="18"/>
                <w:color w:val="auto"/>
              </w:rPr>
            </w:pPr>
          </w:p>
        </w:tc>
        <w:tc>
          <w:tcPr>
            <w:tcW w:w="5880" w:type="dxa"/>
            <w:vAlign w:val="bottom"/>
          </w:tcPr>
          <w:p>
            <w:pPr>
              <w:jc w:val="center"/>
              <w:spacing w:after="0" w:line="194" w:lineRule="exact"/>
              <w:rPr>
                <w:sz w:val="20"/>
                <w:szCs w:val="20"/>
                <w:color w:val="auto"/>
              </w:rPr>
            </w:pPr>
            <w:r>
              <w:rPr>
                <w:rFonts w:ascii="Arial" w:cs="Arial" w:eastAsia="Arial" w:hAnsi="Arial"/>
                <w:sz w:val="18"/>
                <w:szCs w:val="18"/>
                <w:color w:val="auto"/>
                <w:w w:val="97"/>
              </w:rPr>
              <w:t>(Principal Financial Officer and Principal Accounting Officer)</w:t>
            </w: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7"/>
              </w:rPr>
              <w:t>Executive Chairman and 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Marc A. Cohen</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Kenneth C. Anderson, M.D.</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Alain J. Cohen</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Bruce Downey</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Glenn Dubin</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Elena Prokupets, Ph.D.</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2"/>
        </w:trPr>
        <w:tc>
          <w:tcPr>
            <w:tcW w:w="26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1500" w:type="dxa"/>
            <w:vAlign w:val="bottom"/>
          </w:tcPr>
          <w:p>
            <w:pPr>
              <w:spacing w:after="0"/>
              <w:rPr>
                <w:sz w:val="23"/>
                <w:szCs w:val="23"/>
                <w:color w:val="auto"/>
              </w:rPr>
            </w:pPr>
          </w:p>
        </w:tc>
      </w:tr>
      <w:tr>
        <w:trPr>
          <w:trHeight w:val="208"/>
        </w:trPr>
        <w:tc>
          <w:tcPr>
            <w:tcW w:w="2680" w:type="dxa"/>
            <w:vAlign w:val="bottom"/>
          </w:tcPr>
          <w:p>
            <w:pPr>
              <w:spacing w:after="0"/>
              <w:rPr>
                <w:sz w:val="20"/>
                <w:szCs w:val="20"/>
                <w:color w:val="auto"/>
              </w:rPr>
            </w:pPr>
            <w:r>
              <w:rPr>
                <w:rFonts w:ascii="Arial" w:cs="Arial" w:eastAsia="Arial" w:hAnsi="Arial"/>
                <w:sz w:val="18"/>
                <w:szCs w:val="18"/>
                <w:color w:val="auto"/>
              </w:rPr>
              <w:t>Malcolm Salter</w:t>
            </w:r>
          </w:p>
        </w:tc>
        <w:tc>
          <w:tcPr>
            <w:tcW w:w="96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50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lowerRoman"/>
      <w:start w:val="2"/>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2"/>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1)"/>
      <w:numFmt w:val="decimal"/>
      <w:start w:val="2"/>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Roman"/>
      <w:start w:val="2"/>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1)"/>
      <w:numFmt w:val="decimal"/>
      <w:start w:val="1"/>
    </w:lvl>
    <w:lvl w:ilvl="1">
      <w:lvlJc w:val="left"/>
      <w:lvlText w:val="(%2)"/>
      <w:numFmt w:val="decimal"/>
      <w:start w:val="2"/>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lowerRoman"/>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lowerRoman"/>
      <w:start w:val="2"/>
    </w:lvl>
  </w:abstractNum>
  <w:abstractNum w:abstractNumId="67">
    <w:nsid w:val="A0382C5"/>
    <w:multiLevelType w:val="hybridMultilevel"/>
    <w:lvl w:ilvl="0">
      <w:lvlJc w:val="left"/>
      <w:lvlText w:val="(%1)"/>
      <w:numFmt w:val="lowerRoman"/>
      <w:start w:val="8"/>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lowerLetter"/>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1)"/>
      <w:numFmt w:val="lowerLetter"/>
      <w:start w:val="1"/>
    </w:lvl>
  </w:abstractNum>
  <w:abstractNum w:abstractNumId="73">
    <w:nsid w:val="60B6DF70"/>
    <w:multiLevelType w:val="hybridMultilevel"/>
    <w:lvl w:ilvl="0">
      <w:lvlJc w:val="left"/>
      <w:lvlText w:val="(%1)"/>
      <w:numFmt w:val="lowerLetter"/>
      <w:start w:val="3"/>
    </w:lvl>
  </w:abstractNum>
  <w:abstractNum w:abstractNumId="74">
    <w:nsid w:val="6A5EE64"/>
    <w:multiLevelType w:val="hybridMultilevel"/>
    <w:lvl w:ilvl="0">
      <w:lvlJc w:val="left"/>
      <w:lvlText w:val="(%1)"/>
      <w:numFmt w:val="lowerLetter"/>
      <w:start w:val="1"/>
    </w:lvl>
  </w:abstractNum>
  <w:abstractNum w:abstractNumId="75">
    <w:nsid w:val="14330624"/>
    <w:multiLevelType w:val="hybridMultilevel"/>
    <w:lvl w:ilvl="0">
      <w:lvlJc w:val="left"/>
      <w:lvlText w:val="(%1)"/>
      <w:numFmt w:val="lowerRoman"/>
      <w:start w:val="1"/>
    </w:lvl>
  </w:abstractNum>
  <w:abstractNum w:abstractNumId="76">
    <w:nsid w:val="7FFFCA11"/>
    <w:multiLevelType w:val="hybridMultilevel"/>
    <w:lvl w:ilvl="0">
      <w:lvlJc w:val="left"/>
      <w:lvlText w:val="(%1)"/>
      <w:numFmt w:val="lowerRoman"/>
      <w:start w:val="5"/>
    </w:lvl>
  </w:abstractNum>
  <w:abstractNum w:abstractNumId="77">
    <w:nsid w:val="1A27709E"/>
    <w:multiLevelType w:val="hybridMultilevel"/>
    <w:lvl w:ilvl="0">
      <w:lvlJc w:val="left"/>
      <w:lvlText w:val="(%1)"/>
      <w:numFmt w:val="lowerRoman"/>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lowerLetter"/>
      <w:start w:val="2"/>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4"/>
    </w:lvl>
  </w:abstractNum>
  <w:abstractNum w:abstractNumId="87">
    <w:nsid w:val="1716703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2021-06-14T23:08:28Z</dcterms:created>
  <dcterms:modified xsi:type="dcterms:W3CDTF">2021-06-14T23:08:28Z</dcterms:modified>
</cp:coreProperties>
</file>