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212529"/>
        </w:rPr>
        <w:drawing>
          <wp:anchor simplePos="0" relativeHeight="251657728" behindDoc="1" locked="0" layoutInCell="0" allowOverlap="1">
            <wp:simplePos x="0" y="0"/>
            <wp:positionH relativeFrom="page">
              <wp:posOffset>200025</wp:posOffset>
            </wp:positionH>
            <wp:positionV relativeFrom="page">
              <wp:posOffset>681990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701675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12529"/>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12529"/>
        </w:rPr>
        <w:t>WASHINGTON, D.C. 20549</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8"/>
          <w:szCs w:val="8"/>
          <w:color w:val="auto"/>
        </w:rPr>
        <w:t>_________________________________________________________________</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12529"/>
        </w:rPr>
        <w:t>FORM 8-K</w:t>
      </w:r>
    </w:p>
    <w:p>
      <w:pPr>
        <w:spacing w:after="0" w:line="45" w:lineRule="exact"/>
        <w:rPr>
          <w:sz w:val="24"/>
          <w:szCs w:val="24"/>
          <w:color w:val="auto"/>
        </w:rPr>
      </w:pPr>
    </w:p>
    <w:p>
      <w:pPr>
        <w:ind w:left="4100"/>
        <w:spacing w:after="0"/>
        <w:rPr>
          <w:sz w:val="20"/>
          <w:szCs w:val="20"/>
          <w:color w:val="auto"/>
        </w:rPr>
      </w:pPr>
      <w:r>
        <w:rPr>
          <w:rFonts w:ascii="Arial" w:cs="Arial" w:eastAsia="Arial" w:hAnsi="Arial"/>
          <w:sz w:val="8"/>
          <w:szCs w:val="8"/>
          <w:color w:val="auto"/>
        </w:rPr>
        <w:t>_________________________________________________________________</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12529"/>
        </w:rPr>
        <w:t>CURRENT REPORT</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12529"/>
        </w:rPr>
        <w:t>Pursuant to Section 13 or 15(d) of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12529"/>
        </w:rPr>
        <w:t>Date of Report (Date of earliest event reported): June 24, 2026</w:t>
      </w:r>
    </w:p>
    <w:p>
      <w:pPr>
        <w:spacing w:after="0" w:line="23" w:lineRule="exact"/>
        <w:rPr>
          <w:sz w:val="24"/>
          <w:szCs w:val="24"/>
          <w:color w:val="auto"/>
        </w:rPr>
      </w:pPr>
    </w:p>
    <w:p>
      <w:pPr>
        <w:ind w:left="4100"/>
        <w:spacing w:after="0"/>
        <w:rPr>
          <w:sz w:val="20"/>
          <w:szCs w:val="20"/>
          <w:color w:val="auto"/>
        </w:rPr>
      </w:pPr>
      <w:r>
        <w:rPr>
          <w:rFonts w:ascii="Arial" w:cs="Arial" w:eastAsia="Arial" w:hAnsi="Arial"/>
          <w:sz w:val="8"/>
          <w:szCs w:val="8"/>
          <w:color w:val="auto"/>
        </w:rPr>
        <w:t>_________________________________________________________________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212529"/>
        </w:rPr>
        <w:t>C4 THERAPEUTICS,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212529"/>
        </w:rPr>
        <w:t>(Exact name of Registrant as Specified in Its Charter)</w:t>
      </w:r>
    </w:p>
    <w:p>
      <w:pPr>
        <w:spacing w:after="0" w:line="8" w:lineRule="exact"/>
        <w:rPr>
          <w:sz w:val="24"/>
          <w:szCs w:val="24"/>
          <w:color w:val="auto"/>
        </w:rPr>
      </w:pPr>
    </w:p>
    <w:p>
      <w:pPr>
        <w:ind w:left="4100"/>
        <w:spacing w:after="0"/>
        <w:rPr>
          <w:sz w:val="20"/>
          <w:szCs w:val="20"/>
          <w:color w:val="auto"/>
        </w:rPr>
      </w:pPr>
      <w:r>
        <w:rPr>
          <w:rFonts w:ascii="Arial" w:cs="Arial" w:eastAsia="Arial" w:hAnsi="Arial"/>
          <w:sz w:val="8"/>
          <w:szCs w:val="8"/>
          <w:color w:val="auto"/>
        </w:rPr>
        <w:t>_________________________________________________________________</w:t>
      </w:r>
    </w:p>
    <w:p>
      <w:pPr>
        <w:sectPr>
          <w:pgSz w:w="11900" w:h="16838" w:orient="portrait"/>
          <w:cols w:equalWidth="0" w:num="1">
            <w:col w:w="11260"/>
          </w:cols>
          <w:pgMar w:left="300" w:top="1332" w:right="339" w:bottom="1440" w:gutter="0" w:footer="0" w:header="0"/>
        </w:sectPr>
      </w:pPr>
    </w:p>
    <w:p>
      <w:pPr>
        <w:spacing w:after="0" w:line="218"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49"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53"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490 Arsenal Way,  Suite 120</w:t>
      </w:r>
    </w:p>
    <w:p>
      <w:pPr>
        <w:spacing w:after="0" w:line="6"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Watertown, MA</w:t>
      </w:r>
    </w:p>
    <w:p>
      <w:pPr>
        <w:spacing w:after="0" w:line="2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001-39567</w:t>
      </w:r>
    </w:p>
    <w:p>
      <w:pPr>
        <w:spacing w:after="0" w:line="1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3"/>
          <w:szCs w:val="13"/>
          <w:b w:val="1"/>
          <w:bCs w:val="1"/>
          <w:color w:val="212529"/>
        </w:rPr>
        <w:t>Registrant’s Telephone Number, Including Area Code: (617) 231-0700</w:t>
      </w:r>
    </w:p>
    <w:p>
      <w:pPr>
        <w:spacing w:after="0" w:line="19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212529"/>
        </w:rPr>
        <w:t>Not Applicable</w:t>
      </w:r>
    </w:p>
    <w:p>
      <w:pPr>
        <w:spacing w:after="0" w:line="2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1"/>
          <w:szCs w:val="11"/>
          <w:b w:val="1"/>
          <w:bCs w:val="1"/>
          <w:color w:val="212529"/>
        </w:rPr>
        <w:t>(Former Name or Former Address, if Changed Since Last Report)</w:t>
      </w:r>
    </w:p>
    <w:p>
      <w:pPr>
        <w:spacing w:after="0" w:line="8" w:lineRule="exact"/>
        <w:rPr>
          <w:sz w:val="24"/>
          <w:szCs w:val="24"/>
          <w:color w:val="auto"/>
        </w:rPr>
      </w:pPr>
    </w:p>
    <w:p>
      <w:pPr>
        <w:ind w:left="560"/>
        <w:spacing w:after="0"/>
        <w:rPr>
          <w:sz w:val="20"/>
          <w:szCs w:val="20"/>
          <w:color w:val="auto"/>
        </w:rPr>
      </w:pPr>
      <w:r>
        <w:rPr>
          <w:rFonts w:ascii="Arial" w:cs="Arial" w:eastAsia="Arial" w:hAnsi="Arial"/>
          <w:sz w:val="8"/>
          <w:szCs w:val="8"/>
          <w:color w:val="auto"/>
        </w:rPr>
        <w:t>_________________________________________________________________</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47-5617627</w:t>
      </w:r>
    </w:p>
    <w:p>
      <w:pPr>
        <w:spacing w:after="0" w:line="4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80"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02472</w:t>
      </w:r>
    </w:p>
    <w:p>
      <w:pPr>
        <w:spacing w:after="0" w:line="4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204" w:lineRule="exact"/>
        <w:rPr>
          <w:sz w:val="24"/>
          <w:szCs w:val="24"/>
          <w:color w:val="auto"/>
        </w:rPr>
      </w:pPr>
    </w:p>
    <w:p>
      <w:pPr>
        <w:sectPr>
          <w:pgSz w:w="11900" w:h="16838" w:orient="portrait"/>
          <w:cols w:equalWidth="0" w:num="3">
            <w:col w:w="2860" w:space="680"/>
            <w:col w:w="4700" w:space="720"/>
            <w:col w:w="2300"/>
          </w:cols>
          <w:pgMar w:left="300" w:top="133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212529"/>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600" w:hanging="581"/>
        <w:spacing w:after="0"/>
        <w:tabs>
          <w:tab w:leader="none" w:pos="60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72" w:lineRule="exact"/>
        <w:rPr>
          <w:rFonts w:ascii="Wingdings" w:cs="Wingdings" w:eastAsia="Wingdings" w:hAnsi="Wingdings"/>
          <w:sz w:val="14"/>
          <w:szCs w:val="14"/>
          <w:b w:val="1"/>
          <w:bCs w:val="1"/>
          <w:color w:val="auto"/>
        </w:rPr>
      </w:pPr>
    </w:p>
    <w:p>
      <w:pPr>
        <w:ind w:left="600" w:hanging="581"/>
        <w:spacing w:after="0"/>
        <w:tabs>
          <w:tab w:leader="none" w:pos="60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72" w:lineRule="exact"/>
        <w:rPr>
          <w:rFonts w:ascii="Wingdings" w:cs="Wingdings" w:eastAsia="Wingdings" w:hAnsi="Wingdings"/>
          <w:sz w:val="14"/>
          <w:szCs w:val="14"/>
          <w:b w:val="1"/>
          <w:bCs w:val="1"/>
          <w:color w:val="auto"/>
        </w:rPr>
      </w:pPr>
    </w:p>
    <w:p>
      <w:pPr>
        <w:ind w:left="600" w:hanging="581"/>
        <w:spacing w:after="0"/>
        <w:tabs>
          <w:tab w:leader="none" w:pos="60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72" w:lineRule="exact"/>
        <w:rPr>
          <w:rFonts w:ascii="Wingdings" w:cs="Wingdings" w:eastAsia="Wingdings" w:hAnsi="Wingdings"/>
          <w:sz w:val="14"/>
          <w:szCs w:val="14"/>
          <w:b w:val="1"/>
          <w:bCs w:val="1"/>
          <w:color w:val="auto"/>
        </w:rPr>
      </w:pPr>
    </w:p>
    <w:p>
      <w:pPr>
        <w:ind w:left="600" w:hanging="581"/>
        <w:spacing w:after="0"/>
        <w:tabs>
          <w:tab w:leader="none" w:pos="60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12529"/>
        </w:rPr>
        <w:t>Securities registered pursuant to Section 12(b) of the Act:</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vMerge w:val="restart"/>
          </w:tcPr>
          <w:p>
            <w:pPr>
              <w:spacing w:after="0"/>
              <w:rPr>
                <w:sz w:val="10"/>
                <w:szCs w:val="10"/>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53"/>
        </w:trPr>
        <w:tc>
          <w:tcPr>
            <w:tcW w:w="44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3"/>
                <w:szCs w:val="13"/>
                <w:color w:val="auto"/>
              </w:rPr>
            </w:pPr>
          </w:p>
        </w:tc>
        <w:tc>
          <w:tcPr>
            <w:tcW w:w="4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CCCC</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262" w:lineRule="exact"/>
        <w:rPr>
          <w:sz w:val="24"/>
          <w:szCs w:val="24"/>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212529"/>
        </w:rPr>
        <w:t>Indicate by check mark whether the registrant is an emerging growth company as defined in Rule 405 of the Securities Act of 1933 (§ 230.405 of this chapter) or Rule 12b-2 of the Securities Exchange Act of 1934 (§ 240.12b-2 of this chapter).</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12529"/>
        </w:rPr>
        <w:t xml:space="preserve">Emerging growth company </w:t>
      </w:r>
      <w:r>
        <w:rPr>
          <w:rFonts w:ascii="Wingdings" w:cs="Wingdings" w:eastAsia="Wingdings" w:hAnsi="Wingdings"/>
          <w:sz w:val="14"/>
          <w:szCs w:val="14"/>
          <w:b w:val="1"/>
          <w:bCs w:val="1"/>
          <w:color w:val="212529"/>
        </w:rPr>
        <w:t>o</w:t>
      </w:r>
    </w:p>
    <w:p>
      <w:pPr>
        <w:spacing w:after="0" w:line="179" w:lineRule="exact"/>
        <w:rPr>
          <w:sz w:val="24"/>
          <w:szCs w:val="24"/>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628015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60"/>
          </w:cols>
          <w:pgMar w:left="300" w:top="133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212529"/>
        </w:rPr>
        <w:t xml:space="preserve">Item 5.07 </w:t>
      </w:r>
      <w:r>
        <w:rPr>
          <w:rFonts w:ascii="Times New Roman" w:cs="Times New Roman" w:eastAsia="Times New Roman" w:hAnsi="Times New Roman"/>
          <w:sz w:val="14"/>
          <w:szCs w:val="14"/>
          <w:b w:val="1"/>
          <w:bCs w:val="1"/>
          <w:color w:val="000000"/>
        </w:rPr>
        <w:t>Submission of Matters to a Vote of Security Holders.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24, 2026, C4 Therapeutics, Inc. (the “Company”) held its Annual Meeting of Stockholders (the “Annual Meeting”). At the Annual Meeting, the Company’s stockholders considered and voted on the four proposals set forth below, each of which is described in greater detail in the Company’s definitive proxy statement on Schedule 14A, which was filed with the U.S. Securities and Exchange Commission on April 29, 2026. The final voting results are set forth below.</w:t>
      </w:r>
    </w:p>
    <w:p>
      <w:pPr>
        <w:spacing w:after="0" w:line="51" w:lineRule="exact"/>
        <w:rPr>
          <w:sz w:val="20"/>
          <w:szCs w:val="20"/>
          <w:color w:val="auto"/>
        </w:rPr>
      </w:pPr>
    </w:p>
    <w:p>
      <w:pPr>
        <w:jc w:val="both"/>
        <w:ind w:firstLine="5"/>
        <w:spacing w:after="0" w:line="270" w:lineRule="auto"/>
        <w:tabs>
          <w:tab w:leader="none" w:pos="14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of the Company elected each of Andrew J. Hirsch, Stephen Fawell, Ph.D., and Utpal Koppikar as Class III directors, to hold office until the 2029 annual meeting of stockholders and until their respective successors have been duly elected and qualified or until his earlier resignation or removal. The results of the stockholders’ vote with respect to the election of the Class III directors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8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8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Withheld</w:t>
            </w:r>
          </w:p>
        </w:tc>
        <w:tc>
          <w:tcPr>
            <w:tcW w:w="8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Broker Non-Votes</w:t>
            </w:r>
          </w:p>
        </w:tc>
      </w:tr>
      <w:tr>
        <w:trPr>
          <w:trHeight w:val="36"/>
        </w:trPr>
        <w:tc>
          <w:tcPr>
            <w:tcW w:w="4380" w:type="dxa"/>
            <w:vAlign w:val="bottom"/>
            <w:tcBorders>
              <w:bottom w:val="single" w:sz="8" w:color="CCEEFF"/>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r>
      <w:tr>
        <w:trPr>
          <w:trHeight w:val="20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Andrew J. Hirsch</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47,797,964</w:t>
            </w:r>
          </w:p>
        </w:tc>
        <w:tc>
          <w:tcPr>
            <w:tcW w:w="8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8,247,406</w:t>
            </w:r>
          </w:p>
        </w:tc>
        <w:tc>
          <w:tcPr>
            <w:tcW w:w="8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21,049,125</w:t>
            </w:r>
          </w:p>
        </w:tc>
      </w:tr>
      <w:tr>
        <w:trPr>
          <w:trHeight w:val="20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Stephen Fawell, Ph.D.</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47,811,414</w:t>
            </w:r>
          </w:p>
        </w:tc>
        <w:tc>
          <w:tcPr>
            <w:tcW w:w="23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w w:val="99"/>
              </w:rPr>
              <w:t>8,233,956</w:t>
            </w:r>
          </w:p>
        </w:tc>
        <w:tc>
          <w:tcPr>
            <w:tcW w:w="23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21,049,125</w:t>
            </w:r>
          </w:p>
        </w:tc>
      </w:tr>
      <w:tr>
        <w:trPr>
          <w:trHeight w:val="32"/>
        </w:trPr>
        <w:tc>
          <w:tcPr>
            <w:tcW w:w="4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2320" w:type="dxa"/>
            <w:vAlign w:val="bottom"/>
            <w:gridSpan w:val="2"/>
          </w:tcPr>
          <w:p>
            <w:pPr>
              <w:spacing w:after="0"/>
              <w:rPr>
                <w:sz w:val="2"/>
                <w:szCs w:val="2"/>
                <w:color w:val="auto"/>
              </w:rPr>
            </w:pPr>
          </w:p>
        </w:tc>
      </w:tr>
      <w:tr>
        <w:trPr>
          <w:trHeight w:val="20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Utpal Koppikar</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46,491,892</w:t>
            </w:r>
          </w:p>
        </w:tc>
        <w:tc>
          <w:tcPr>
            <w:tcW w:w="232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9,553,478</w:t>
            </w:r>
          </w:p>
        </w:tc>
        <w:tc>
          <w:tcPr>
            <w:tcW w:w="232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21,049,125</w:t>
            </w:r>
          </w:p>
        </w:tc>
      </w:tr>
      <w:tr>
        <w:trPr>
          <w:trHeight w:val="32"/>
        </w:trPr>
        <w:tc>
          <w:tcPr>
            <w:tcW w:w="43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firstLine="5"/>
        <w:spacing w:after="0" w:line="287" w:lineRule="auto"/>
        <w:tabs>
          <w:tab w:leader="none" w:pos="15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of the Company cast a non-binding, advisory vote to approve the compensation of the Company’s named executive officers. The results of the stockholders’ vote with respect to this proposal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80" w:type="dxa"/>
            <w:vAlign w:val="bottom"/>
          </w:tcPr>
          <w:p>
            <w:pPr>
              <w:spacing w:after="0"/>
              <w:rPr>
                <w:sz w:val="14"/>
                <w:szCs w:val="14"/>
                <w:color w:val="auto"/>
              </w:rPr>
            </w:pPr>
          </w:p>
        </w:tc>
        <w:tc>
          <w:tcPr>
            <w:tcW w:w="28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3"/>
              </w:rPr>
              <w:t>Against</w:t>
            </w:r>
          </w:p>
        </w:tc>
        <w:tc>
          <w:tcPr>
            <w:tcW w:w="266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6"/>
              </w:rPr>
              <w:t>Abstain</w:t>
            </w:r>
          </w:p>
        </w:tc>
        <w:tc>
          <w:tcPr>
            <w:tcW w:w="294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w w:val="96"/>
              </w:rPr>
              <w:t>Broker Non-Votes</w:t>
            </w:r>
          </w:p>
        </w:tc>
      </w:tr>
      <w:tr>
        <w:trPr>
          <w:trHeight w:val="36"/>
        </w:trPr>
        <w:tc>
          <w:tcPr>
            <w:tcW w:w="2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r>
      <w:tr>
        <w:trPr>
          <w:trHeight w:val="192"/>
        </w:trPr>
        <w:tc>
          <w:tcPr>
            <w:tcW w:w="27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54,935,574</w:t>
            </w:r>
          </w:p>
        </w:tc>
        <w:tc>
          <w:tcPr>
            <w:tcW w:w="80" w:type="dxa"/>
            <w:vAlign w:val="bottom"/>
            <w:shd w:val="clear" w:color="auto" w:fill="CCEEFF"/>
          </w:tcPr>
          <w:p>
            <w:pPr>
              <w:spacing w:after="0"/>
              <w:rPr>
                <w:sz w:val="16"/>
                <w:szCs w:val="16"/>
                <w:color w:val="auto"/>
              </w:rPr>
            </w:pPr>
          </w:p>
        </w:tc>
        <w:tc>
          <w:tcPr>
            <w:tcW w:w="284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4"/>
                <w:szCs w:val="14"/>
                <w:color w:val="auto"/>
              </w:rPr>
              <w:t>1,070,926</w:t>
            </w:r>
          </w:p>
        </w:tc>
        <w:tc>
          <w:tcPr>
            <w:tcW w:w="266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4"/>
                <w:szCs w:val="14"/>
                <w:color w:val="auto"/>
              </w:rPr>
              <w:t>38,870</w:t>
            </w:r>
          </w:p>
        </w:tc>
        <w:tc>
          <w:tcPr>
            <w:tcW w:w="294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rPr>
              <w:t>21,049,125</w:t>
            </w:r>
          </w:p>
        </w:tc>
      </w:tr>
      <w:tr>
        <w:trPr>
          <w:trHeight w:val="32"/>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firstLine="5"/>
        <w:spacing w:after="0" w:line="287" w:lineRule="auto"/>
        <w:tabs>
          <w:tab w:leader="none" w:pos="14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of the Company ratified the selection of KPMG LLP as the Company’s independent registered public accounting firm for the fiscal year ending December 31, 2026. The results of the stockholders’ vote with respect to this ratification proposal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8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Against</w:t>
            </w:r>
          </w:p>
        </w:tc>
        <w:tc>
          <w:tcPr>
            <w:tcW w:w="80" w:type="dxa"/>
            <w:vAlign w:val="bottom"/>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Broker Non-Votes</w:t>
            </w:r>
          </w:p>
        </w:tc>
      </w:tr>
      <w:tr>
        <w:trPr>
          <w:trHeight w:val="36"/>
        </w:trPr>
        <w:tc>
          <w:tcPr>
            <w:tcW w:w="2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r>
      <w:tr>
        <w:trPr>
          <w:trHeight w:val="192"/>
        </w:trPr>
        <w:tc>
          <w:tcPr>
            <w:tcW w:w="27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76,891,210</w:t>
            </w:r>
          </w:p>
        </w:tc>
        <w:tc>
          <w:tcPr>
            <w:tcW w:w="80" w:type="dxa"/>
            <w:vAlign w:val="bottom"/>
            <w:shd w:val="clear" w:color="auto" w:fill="CCEEFF"/>
          </w:tcPr>
          <w:p>
            <w:pPr>
              <w:spacing w:after="0"/>
              <w:rPr>
                <w:sz w:val="16"/>
                <w:szCs w:val="16"/>
                <w:color w:val="auto"/>
              </w:rPr>
            </w:pPr>
          </w:p>
        </w:tc>
        <w:tc>
          <w:tcPr>
            <w:tcW w:w="27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4"/>
                <w:szCs w:val="14"/>
                <w:color w:val="auto"/>
              </w:rPr>
              <w:t>185,427</w:t>
            </w:r>
          </w:p>
        </w:tc>
        <w:tc>
          <w:tcPr>
            <w:tcW w:w="80" w:type="dxa"/>
            <w:vAlign w:val="bottom"/>
            <w:shd w:val="clear" w:color="auto" w:fill="CCEEFF"/>
          </w:tcPr>
          <w:p>
            <w:pPr>
              <w:spacing w:after="0"/>
              <w:rPr>
                <w:sz w:val="16"/>
                <w:szCs w:val="16"/>
                <w:color w:val="auto"/>
              </w:rPr>
            </w:pPr>
          </w:p>
        </w:tc>
        <w:tc>
          <w:tcPr>
            <w:tcW w:w="274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4"/>
                <w:szCs w:val="14"/>
                <w:color w:val="auto"/>
              </w:rPr>
              <w:t>17,858</w:t>
            </w:r>
          </w:p>
        </w:tc>
        <w:tc>
          <w:tcPr>
            <w:tcW w:w="100" w:type="dxa"/>
            <w:vAlign w:val="bottom"/>
            <w:shd w:val="clear" w:color="auto" w:fill="CCEEFF"/>
          </w:tcPr>
          <w:p>
            <w:pPr>
              <w:spacing w:after="0"/>
              <w:rPr>
                <w:sz w:val="16"/>
                <w:szCs w:val="16"/>
                <w:color w:val="auto"/>
              </w:rPr>
            </w:pPr>
          </w:p>
        </w:tc>
        <w:tc>
          <w:tcPr>
            <w:tcW w:w="27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4"/>
                <w:szCs w:val="14"/>
                <w:color w:val="auto"/>
              </w:rPr>
              <w:t>0</w:t>
            </w:r>
          </w:p>
        </w:tc>
      </w:tr>
      <w:tr>
        <w:trPr>
          <w:trHeight w:val="32"/>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5"/>
        <w:spacing w:after="0" w:line="270" w:lineRule="auto"/>
        <w:tabs>
          <w:tab w:leader="none" w:pos="15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stockholders approved an amendment to the Company’s 2020 Stock Option and Incentive Plan to amend the evergreen provision to include any outstanding pre-funded warrants in the total number of shares of common stock that are issued and outstanding as of each December 31 for purposes of calculating the evergreen increase. The results of the stockholders’ vote with respect to this proposal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Abstain</w:t>
            </w: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Broker Non-Votes</w:t>
            </w:r>
          </w:p>
        </w:tc>
      </w:tr>
      <w:tr>
        <w:trPr>
          <w:trHeight w:val="36"/>
        </w:trPr>
        <w:tc>
          <w:tcPr>
            <w:tcW w:w="2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r>
      <w:tr>
        <w:trPr>
          <w:trHeight w:val="192"/>
        </w:trPr>
        <w:tc>
          <w:tcPr>
            <w:tcW w:w="27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33,713,572</w:t>
            </w:r>
          </w:p>
        </w:tc>
        <w:tc>
          <w:tcPr>
            <w:tcW w:w="80" w:type="dxa"/>
            <w:vAlign w:val="bottom"/>
            <w:shd w:val="clear" w:color="auto" w:fill="CCEEFF"/>
          </w:tcPr>
          <w:p>
            <w:pPr>
              <w:spacing w:after="0"/>
              <w:rPr>
                <w:sz w:val="16"/>
                <w:szCs w:val="16"/>
                <w:color w:val="auto"/>
              </w:rPr>
            </w:pPr>
          </w:p>
        </w:tc>
        <w:tc>
          <w:tcPr>
            <w:tcW w:w="276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rPr>
              <w:t>22,287,787</w:t>
            </w:r>
          </w:p>
        </w:tc>
        <w:tc>
          <w:tcPr>
            <w:tcW w:w="80" w:type="dxa"/>
            <w:vAlign w:val="bottom"/>
            <w:shd w:val="clear" w:color="auto" w:fill="CCEEFF"/>
          </w:tcPr>
          <w:p>
            <w:pPr>
              <w:spacing w:after="0"/>
              <w:rPr>
                <w:sz w:val="16"/>
                <w:szCs w:val="16"/>
                <w:color w:val="auto"/>
              </w:rPr>
            </w:pPr>
          </w:p>
        </w:tc>
        <w:tc>
          <w:tcPr>
            <w:tcW w:w="274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4"/>
                <w:szCs w:val="14"/>
                <w:color w:val="auto"/>
              </w:rPr>
              <w:t>44,011</w:t>
            </w:r>
          </w:p>
        </w:tc>
        <w:tc>
          <w:tcPr>
            <w:tcW w:w="100" w:type="dxa"/>
            <w:vAlign w:val="bottom"/>
            <w:shd w:val="clear" w:color="auto" w:fill="CCEEFF"/>
          </w:tcPr>
          <w:p>
            <w:pPr>
              <w:spacing w:after="0"/>
              <w:rPr>
                <w:sz w:val="16"/>
                <w:szCs w:val="16"/>
                <w:color w:val="auto"/>
              </w:rPr>
            </w:pPr>
          </w:p>
        </w:tc>
        <w:tc>
          <w:tcPr>
            <w:tcW w:w="276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rPr>
              <w:t>21,049,125</w:t>
            </w:r>
          </w:p>
        </w:tc>
      </w:tr>
      <w:tr>
        <w:trPr>
          <w:trHeight w:val="32"/>
        </w:trPr>
        <w:tc>
          <w:tcPr>
            <w:tcW w:w="2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other matters were submitted to or voted on by the Company’s stockholders at the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Item 9.01 Financial Statements and Exhibits.</w:t>
      </w:r>
    </w:p>
    <w:p>
      <w:pPr>
        <w:spacing w:after="0" w:line="181" w:lineRule="exact"/>
        <w:rPr>
          <w:sz w:val="20"/>
          <w:szCs w:val="20"/>
          <w:color w:val="auto"/>
        </w:rPr>
      </w:pPr>
    </w:p>
    <w:p>
      <w:pPr>
        <w:ind w:firstLine="5"/>
        <w:spacing w:after="0" w:line="287" w:lineRule="auto"/>
        <w:tabs>
          <w:tab w:leader="none" w:pos="200" w:val="left"/>
        </w:tabs>
        <w:numPr>
          <w:ilvl w:val="0"/>
          <w:numId w:val="6"/>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u w:val="single" w:color="auto"/>
          <w:color w:val="212529"/>
        </w:rPr>
        <w:t>Exhibits</w:t>
      </w:r>
      <w:r>
        <w:rPr>
          <w:rFonts w:ascii="Times New Roman" w:cs="Times New Roman" w:eastAsia="Times New Roman" w:hAnsi="Times New Roman"/>
          <w:sz w:val="14"/>
          <w:szCs w:val="14"/>
          <w:color w:val="212529"/>
        </w:rPr>
        <w:t>. The exhibits shall be deemed to be filed or furnished, depending on the relevant item requiring such exhibit, in accordance with the provisions of Item 601 of Regulation S-K (17 CFR 229.601) and Instruction B.2 to this form.</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4"/>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6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84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Amendment No. 2 to the C4 Therapeutics, Inc. 2020 Stock Option and Incentive Plan</w:t>
            </w:r>
          </w:p>
        </w:tc>
        <w:tc>
          <w:tcPr>
            <w:tcW w:w="5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ind w:left="960" w:hanging="941"/>
        <w:spacing w:after="0" w:line="189" w:lineRule="auto"/>
        <w:tabs>
          <w:tab w:leader="none" w:pos="960" w:val="left"/>
        </w:tabs>
        <w:numPr>
          <w:ilvl w:val="1"/>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Cover Page Interactive Data File (embedded within the Inline XBRL document)</w:t>
      </w:r>
    </w:p>
    <w:p>
      <w:pPr>
        <w:spacing w:after="0" w:line="87" w:lineRule="exact"/>
        <w:rPr>
          <w:rFonts w:ascii="Times New Roman" w:cs="Times New Roman" w:eastAsia="Times New Roman" w:hAnsi="Times New Roman"/>
          <w:sz w:val="28"/>
          <w:szCs w:val="28"/>
          <w:color w:val="auto"/>
          <w:vertAlign w:val="superscript"/>
        </w:rPr>
      </w:pPr>
    </w:p>
    <w:p>
      <w:pPr>
        <w:ind w:left="120" w:hanging="115"/>
        <w:spacing w:after="0"/>
        <w:tabs>
          <w:tab w:leader="none" w:pos="120" w:val="left"/>
        </w:tabs>
        <w:numPr>
          <w:ilvl w:val="0"/>
          <w:numId w:val="7"/>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212529"/>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Pursuant to the requirements of the Securities Exchange Act of 1934, the registrant has duly caused this report to be signed on its behalf by the undersigned hereunto duly authorized.</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C4 Therapeutics, Inc.</w:t>
      </w:r>
    </w:p>
    <w:p>
      <w:pPr>
        <w:spacing w:after="0" w:line="285" w:lineRule="exact"/>
        <w:rPr>
          <w:sz w:val="20"/>
          <w:szCs w:val="20"/>
          <w:color w:val="auto"/>
        </w:rPr>
      </w:pPr>
    </w:p>
    <w:p>
      <w:pPr>
        <w:ind w:left="20"/>
        <w:spacing w:after="0"/>
        <w:tabs>
          <w:tab w:leader="none" w:pos="5420" w:val="left"/>
          <w:tab w:leader="none" w:pos="5820" w:val="left"/>
        </w:tabs>
        <w:rPr>
          <w:sz w:val="20"/>
          <w:szCs w:val="20"/>
          <w:color w:val="auto"/>
        </w:rPr>
      </w:pPr>
      <w:r>
        <w:rPr>
          <w:rFonts w:ascii="Times New Roman" w:cs="Times New Roman" w:eastAsia="Times New Roman" w:hAnsi="Times New Roman"/>
          <w:sz w:val="14"/>
          <w:szCs w:val="14"/>
          <w:color w:val="auto"/>
        </w:rPr>
        <w:t xml:space="preserve">Date: </w:t>
      </w:r>
      <w:r>
        <w:rPr>
          <w:rFonts w:ascii="Times New Roman" w:cs="Times New Roman" w:eastAsia="Times New Roman" w:hAnsi="Times New Roman"/>
          <w:sz w:val="14"/>
          <w:szCs w:val="14"/>
          <w:color w:val="212529"/>
        </w:rPr>
        <w:t>June 24, 2026</w:t>
      </w:r>
      <w:r>
        <w:rPr>
          <w:sz w:val="20"/>
          <w:szCs w:val="20"/>
          <w:color w:val="auto"/>
        </w:rPr>
        <w:tab/>
      </w:r>
      <w:r>
        <w:rPr>
          <w:rFonts w:ascii="Times New Roman" w:cs="Times New Roman" w:eastAsia="Times New Roman" w:hAnsi="Times New Roman"/>
          <w:sz w:val="14"/>
          <w:szCs w:val="14"/>
          <w:color w:val="auto"/>
        </w:rPr>
        <w:t>By:</w:t>
        <w:tab/>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34925</wp:posOffset>
            </wp:positionV>
            <wp:extent cx="34493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49320" cy="6985"/>
                    </a:xfrm>
                    <a:prstGeom prst="rect">
                      <a:avLst/>
                    </a:prstGeom>
                    <a:noFill/>
                  </pic:spPr>
                </pic:pic>
              </a:graphicData>
            </a:graphic>
          </wp:anchor>
        </w:drawing>
      </w:r>
    </w:p>
    <w:p>
      <w:pPr>
        <w:spacing w:after="0" w:line="6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Kendra R. Adams</w:t>
      </w:r>
    </w:p>
    <w:p>
      <w:pPr>
        <w:spacing w:after="0" w:line="7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ectPr>
          <w:pgSz w:w="11900" w:h="16838" w:orient="portrait"/>
          <w:cols w:equalWidth="0" w:num="1">
            <w:col w:w="10280"/>
          </w:cols>
          <w:pgMar w:left="300" w:top="929" w:right="1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2026-06-24T15:40:32Z</dcterms:created>
  <dcterms:modified xsi:type="dcterms:W3CDTF">2026-06-24T15:40:32Z</dcterms:modified>
</cp:coreProperties>
</file>