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4"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7"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75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80"/>
          </w:cols>
          <w:pgMar w:left="300" w:top="208" w:right="319" w:bottom="1440" w:gutter="0" w:footer="0" w:header="0"/>
        </w:sectPr>
      </w:pPr>
    </w:p>
    <w:p>
      <w:pPr>
        <w:spacing w:after="0" w:line="46"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Commission File Number 001-39567</w:t>
      </w:r>
    </w:p>
    <w:p>
      <w:pPr>
        <w:spacing w:after="0" w:line="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9"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28"/>
          <w:szCs w:val="28"/>
          <w:b w:val="1"/>
          <w:bCs w:val="1"/>
          <w:color w:val="auto"/>
        </w:rPr>
        <w:t>C4 Therapeutics, Inc.</w:t>
      </w:r>
    </w:p>
    <w:p>
      <w:pPr>
        <w:spacing w:after="0" w:line="19"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35"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21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47-5617627</w:t>
      </w:r>
    </w:p>
    <w:p>
      <w:pPr>
        <w:spacing w:after="0" w:line="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 w:lineRule="exact"/>
        <w:rPr>
          <w:sz w:val="24"/>
          <w:szCs w:val="24"/>
          <w:color w:val="auto"/>
        </w:rPr>
      </w:pPr>
    </w:p>
    <w:p>
      <w:pPr>
        <w:sectPr>
          <w:pgSz w:w="11900" w:h="16838" w:orient="portrait"/>
          <w:cols w:equalWidth="0" w:num="2">
            <w:col w:w="7360" w:space="720"/>
            <w:col w:w="3200"/>
          </w:cols>
          <w:pgMar w:left="300" w:top="208" w:right="319" w:bottom="1440" w:gutter="0" w:footer="0" w:header="0"/>
          <w:type w:val="continuous"/>
        </w:sectPr>
      </w:pPr>
    </w:p>
    <w:tbl>
      <w:tblPr>
        <w:tblLayout w:type="fixed"/>
        <w:tblInd w:w="2000" w:type="dxa"/>
        <w:tblCellMar>
          <w:top w:w="0" w:type="dxa"/>
          <w:left w:w="0" w:type="dxa"/>
          <w:bottom w:w="0" w:type="dxa"/>
          <w:right w:w="0" w:type="dxa"/>
        </w:tblCellMar>
      </w:tblPr>
      <w:tr>
        <w:trPr>
          <w:trHeight w:val="161"/>
        </w:trPr>
        <w:tc>
          <w:tcPr>
            <w:tcW w:w="5960" w:type="dxa"/>
            <w:vAlign w:val="bottom"/>
          </w:tcPr>
          <w:p>
            <w:pPr>
              <w:jc w:val="center"/>
              <w:ind w:right="4234"/>
              <w:spacing w:after="0"/>
              <w:rPr>
                <w:sz w:val="20"/>
                <w:szCs w:val="20"/>
                <w:color w:val="auto"/>
              </w:rPr>
            </w:pPr>
            <w:r>
              <w:rPr>
                <w:rFonts w:ascii="Times New Roman" w:cs="Times New Roman" w:eastAsia="Times New Roman" w:hAnsi="Times New Roman"/>
                <w:sz w:val="14"/>
                <w:szCs w:val="14"/>
                <w:b w:val="1"/>
                <w:bCs w:val="1"/>
                <w:color w:val="auto"/>
              </w:rPr>
              <w:t>490 Arsenal Way, Suite 120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02472</w:t>
            </w:r>
          </w:p>
        </w:tc>
        <w:tc>
          <w:tcPr>
            <w:tcW w:w="0" w:type="dxa"/>
            <w:vAlign w:val="bottom"/>
          </w:tcPr>
          <w:p>
            <w:pPr>
              <w:spacing w:after="0"/>
              <w:rPr>
                <w:sz w:val="1"/>
                <w:szCs w:val="1"/>
                <w:color w:val="auto"/>
              </w:rPr>
            </w:pPr>
          </w:p>
        </w:tc>
      </w:tr>
      <w:tr>
        <w:trPr>
          <w:trHeight w:val="186"/>
        </w:trPr>
        <w:tc>
          <w:tcPr>
            <w:tcW w:w="5960" w:type="dxa"/>
            <w:vAlign w:val="bottom"/>
          </w:tcPr>
          <w:p>
            <w:pPr>
              <w:jc w:val="center"/>
              <w:ind w:right="4234"/>
              <w:spacing w:after="0"/>
              <w:rPr>
                <w:sz w:val="20"/>
                <w:szCs w:val="20"/>
                <w:color w:val="auto"/>
              </w:rPr>
            </w:pPr>
            <w:r>
              <w:rPr>
                <w:rFonts w:ascii="Times New Roman" w:cs="Times New Roman" w:eastAsia="Times New Roman" w:hAnsi="Times New Roman"/>
                <w:sz w:val="14"/>
                <w:szCs w:val="14"/>
                <w:b w:val="1"/>
                <w:bCs w:val="1"/>
                <w:color w:val="auto"/>
                <w:w w:val="99"/>
              </w:rPr>
              <w:t>Watertown, MA</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960" w:type="dxa"/>
            <w:vAlign w:val="bottom"/>
          </w:tcPr>
          <w:p>
            <w:pPr>
              <w:jc w:val="center"/>
              <w:ind w:right="4254"/>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740" w:type="dxa"/>
            <w:vAlign w:val="bottom"/>
          </w:tcPr>
          <w:p>
            <w:pPr>
              <w:jc w:val="center"/>
              <w:ind w:left="220"/>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252"/>
        </w:trPr>
        <w:tc>
          <w:tcPr>
            <w:tcW w:w="5960" w:type="dxa"/>
            <w:vAlign w:val="bottom"/>
          </w:tcPr>
          <w:p>
            <w:pPr>
              <w:jc w:val="center"/>
              <w:ind w:left="127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231-0700</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960" w:type="dxa"/>
            <w:vAlign w:val="bottom"/>
          </w:tcPr>
          <w:p>
            <w:pPr>
              <w:jc w:val="right"/>
              <w:ind w:right="934"/>
              <w:spacing w:after="0"/>
              <w:rPr>
                <w:sz w:val="20"/>
                <w:szCs w:val="20"/>
                <w:color w:val="auto"/>
              </w:rPr>
            </w:pPr>
            <w:r>
              <w:rPr>
                <w:rFonts w:ascii="Times New Roman" w:cs="Times New Roman" w:eastAsia="Times New Roman" w:hAnsi="Times New Roman"/>
                <w:sz w:val="14"/>
                <w:szCs w:val="14"/>
                <w:color w:val="auto"/>
              </w:rPr>
              <w:t>_____________________________________</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vMerge w:val="restart"/>
          </w:tcPr>
          <w:p>
            <w:pPr>
              <w:spacing w:after="0"/>
              <w:rPr>
                <w:sz w:val="11"/>
                <w:szCs w:val="11"/>
                <w:color w:val="auto"/>
              </w:rPr>
            </w:pPr>
          </w:p>
        </w:tc>
        <w:tc>
          <w:tcPr>
            <w:tcW w:w="3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3"/>
        </w:trPr>
        <w:tc>
          <w:tcPr>
            <w:tcW w:w="39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3"/>
                <w:szCs w:val="13"/>
                <w:color w:val="auto"/>
              </w:rPr>
            </w:pPr>
          </w:p>
        </w:tc>
        <w:tc>
          <w:tcPr>
            <w:tcW w:w="3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Common Stock, $0.0001 par value per share</w:t>
            </w:r>
          </w:p>
        </w:tc>
        <w:tc>
          <w:tcPr>
            <w:tcW w:w="3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CCCC</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Select Market</w:t>
            </w:r>
          </w:p>
        </w:tc>
        <w:tc>
          <w:tcPr>
            <w:tcW w:w="0" w:type="dxa"/>
            <w:vAlign w:val="bottom"/>
          </w:tcPr>
          <w:p>
            <w:pPr>
              <w:spacing w:after="0"/>
              <w:rPr>
                <w:sz w:val="1"/>
                <w:szCs w:val="1"/>
                <w:color w:val="auto"/>
              </w:rPr>
            </w:pPr>
          </w:p>
        </w:tc>
      </w:tr>
      <w:tr>
        <w:trPr>
          <w:trHeight w:val="217"/>
        </w:trPr>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_____________________________________</w:t>
            </w:r>
          </w:p>
        </w:tc>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5300"/>
        <w:spacing w:after="0" w:line="342" w:lineRule="auto"/>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Indicate by check mark if the Registrant is not required to file reports pursuant to Section 13 or 15(d)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ind w:right="60"/>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ind w:right="120"/>
        <w:spacing w:after="0" w:line="301"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 w:lineRule="exact"/>
        <w:rPr>
          <w:sz w:val="24"/>
          <w:szCs w:val="24"/>
          <w:color w:val="auto"/>
        </w:rPr>
      </w:pPr>
    </w:p>
    <w:p>
      <w:pPr>
        <w:ind w:right="22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147"/>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820" w:type="dxa"/>
            <w:vAlign w:val="bottom"/>
          </w:tcPr>
          <w:p>
            <w:pPr>
              <w:ind w:left="460"/>
              <w:spacing w:after="0"/>
              <w:rPr>
                <w:sz w:val="20"/>
                <w:szCs w:val="20"/>
                <w:color w:val="auto"/>
              </w:rPr>
            </w:pPr>
            <w:r>
              <w:rPr>
                <w:rFonts w:ascii="Wingdings" w:cs="Wingdings" w:eastAsia="Wingdings" w:hAnsi="Wingdings"/>
                <w:sz w:val="11"/>
                <w:szCs w:val="11"/>
                <w:b w:val="1"/>
                <w:bCs w:val="1"/>
                <w:color w:val="auto"/>
              </w:rPr>
              <w:t>o</w:t>
            </w:r>
          </w:p>
        </w:tc>
        <w:tc>
          <w:tcPr>
            <w:tcW w:w="49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Accelerated filer</w:t>
            </w:r>
          </w:p>
        </w:tc>
        <w:tc>
          <w:tcPr>
            <w:tcW w:w="580" w:type="dxa"/>
            <w:vAlign w:val="bottom"/>
          </w:tcPr>
          <w:p>
            <w:pPr>
              <w:ind w:left="460"/>
              <w:spacing w:after="0"/>
              <w:rPr>
                <w:sz w:val="20"/>
                <w:szCs w:val="20"/>
                <w:color w:val="auto"/>
              </w:rPr>
            </w:pPr>
            <w:r>
              <w:rPr>
                <w:rFonts w:ascii="Wingdings" w:cs="Wingdings" w:eastAsia="Wingdings" w:hAnsi="Wingdings"/>
                <w:sz w:val="11"/>
                <w:szCs w:val="11"/>
                <w:b w:val="1"/>
                <w:bCs w:val="1"/>
                <w:color w:val="auto"/>
              </w:rPr>
              <w:t>o</w:t>
            </w:r>
          </w:p>
        </w:tc>
      </w:tr>
      <w:tr>
        <w:trPr>
          <w:trHeight w:val="17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820" w:type="dxa"/>
            <w:vAlign w:val="bottom"/>
          </w:tcPr>
          <w:p>
            <w:pPr>
              <w:ind w:left="460"/>
              <w:spacing w:after="0"/>
              <w:rPr>
                <w:sz w:val="20"/>
                <w:szCs w:val="20"/>
                <w:color w:val="auto"/>
              </w:rPr>
            </w:pPr>
            <w:r>
              <w:rPr>
                <w:rFonts w:ascii="Wingdings" w:cs="Wingdings" w:eastAsia="Wingdings" w:hAnsi="Wingdings"/>
                <w:sz w:val="11"/>
                <w:szCs w:val="11"/>
                <w:b w:val="1"/>
                <w:bCs w:val="1"/>
                <w:color w:val="auto"/>
              </w:rPr>
              <w:t>x</w:t>
            </w:r>
          </w:p>
        </w:tc>
        <w:tc>
          <w:tcPr>
            <w:tcW w:w="49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580" w:type="dxa"/>
            <w:vAlign w:val="bottom"/>
          </w:tcPr>
          <w:p>
            <w:pPr>
              <w:ind w:left="460"/>
              <w:spacing w:after="0"/>
              <w:rPr>
                <w:sz w:val="20"/>
                <w:szCs w:val="20"/>
                <w:color w:val="auto"/>
              </w:rPr>
            </w:pPr>
            <w:r>
              <w:rPr>
                <w:rFonts w:ascii="Wingdings" w:cs="Wingdings" w:eastAsia="Wingdings" w:hAnsi="Wingdings"/>
                <w:sz w:val="11"/>
                <w:szCs w:val="11"/>
                <w:b w:val="1"/>
                <w:bCs w:val="1"/>
                <w:color w:val="auto"/>
                <w:w w:val="85"/>
              </w:rPr>
              <w:t>x</w:t>
            </w:r>
          </w:p>
        </w:tc>
      </w:tr>
      <w:tr>
        <w:trPr>
          <w:trHeight w:val="17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820" w:type="dxa"/>
            <w:vAlign w:val="bottom"/>
          </w:tcPr>
          <w:p>
            <w:pPr>
              <w:ind w:left="460"/>
              <w:spacing w:after="0"/>
              <w:rPr>
                <w:sz w:val="20"/>
                <w:szCs w:val="20"/>
                <w:color w:val="auto"/>
              </w:rPr>
            </w:pPr>
            <w:r>
              <w:rPr>
                <w:rFonts w:ascii="Wingdings" w:cs="Wingdings" w:eastAsia="Wingdings" w:hAnsi="Wingdings"/>
                <w:sz w:val="11"/>
                <w:szCs w:val="11"/>
                <w:b w:val="1"/>
                <w:bCs w:val="1"/>
                <w:color w:val="auto"/>
              </w:rPr>
              <w:t>o</w:t>
            </w:r>
          </w:p>
        </w:tc>
        <w:tc>
          <w:tcPr>
            <w:tcW w:w="49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118" w:lineRule="exact"/>
        <w:rPr>
          <w:sz w:val="24"/>
          <w:szCs w:val="24"/>
          <w:color w:val="auto"/>
        </w:rPr>
      </w:pPr>
    </w:p>
    <w:p>
      <w:pPr>
        <w:ind w:right="80"/>
        <w:spacing w:after="0" w:line="30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 w:lineRule="exact"/>
        <w:rPr>
          <w:sz w:val="24"/>
          <w:szCs w:val="24"/>
          <w:color w:val="auto"/>
        </w:rPr>
      </w:pPr>
    </w:p>
    <w:p>
      <w:pPr>
        <w:ind w:right="420"/>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o</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54" w:lineRule="exact"/>
        <w:rPr>
          <w:sz w:val="24"/>
          <w:szCs w:val="24"/>
          <w:color w:val="auto"/>
        </w:rPr>
      </w:pPr>
    </w:p>
    <w:p>
      <w:pPr>
        <w:ind w:right="140"/>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20" w:lineRule="exact"/>
        <w:rPr>
          <w:sz w:val="24"/>
          <w:szCs w:val="24"/>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based on the closing price of the shares of common stock on The NASDAQ Stock Market on June 30, 2023, was $129,573,953.</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Registrant’s Common Stock outstanding as of February 14, 2024 was 68,600,669.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54" w:lineRule="exact"/>
        <w:rPr>
          <w:sz w:val="24"/>
          <w:szCs w:val="24"/>
          <w:color w:val="auto"/>
        </w:rPr>
      </w:pPr>
    </w:p>
    <w:p>
      <w:pPr>
        <w:ind w:right="380"/>
        <w:spacing w:after="0" w:line="280"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its 2023 Annual Meeting of Stockholders to be filed pursuant to Regulation 14A within 120 days of the end of the registrant’s fiscal year ended December 31, 2023 are incorporated by reference into Part III of this Annual Report on Form 10-K to the extent stated herein.</w:t>
      </w:r>
    </w:p>
    <w:p>
      <w:pPr>
        <w:spacing w:after="0" w:line="55" w:lineRule="exact"/>
        <w:rPr>
          <w:sz w:val="24"/>
          <w:szCs w:val="24"/>
          <w:color w:val="auto"/>
        </w:rPr>
      </w:pPr>
    </w:p>
    <w:p>
      <w:pPr>
        <w:ind w:left="1400"/>
        <w:spacing w:after="0"/>
        <w:tabs>
          <w:tab w:leader="none" w:pos="5000" w:val="left"/>
          <w:tab w:leader="none" w:pos="8360" w:val="left"/>
        </w:tabs>
        <w:rPr>
          <w:sz w:val="20"/>
          <w:szCs w:val="20"/>
          <w:color w:val="auto"/>
        </w:rPr>
      </w:pPr>
      <w:r>
        <w:rPr>
          <w:rFonts w:ascii="Times New Roman" w:cs="Times New Roman" w:eastAsia="Times New Roman" w:hAnsi="Times New Roman"/>
          <w:sz w:val="11"/>
          <w:szCs w:val="11"/>
          <w:color w:val="auto"/>
        </w:rPr>
        <w:t>Auditor Firm ID: 185</w:t>
      </w:r>
      <w:r>
        <w:rPr>
          <w:sz w:val="20"/>
          <w:szCs w:val="20"/>
          <w:color w:val="auto"/>
        </w:rPr>
        <w:tab/>
      </w:r>
      <w:r>
        <w:rPr>
          <w:rFonts w:ascii="Times New Roman" w:cs="Times New Roman" w:eastAsia="Times New Roman" w:hAnsi="Times New Roman"/>
          <w:sz w:val="11"/>
          <w:szCs w:val="11"/>
          <w:color w:val="auto"/>
        </w:rPr>
        <w:t>Auditor Name: KPMG LLP</w:t>
      </w:r>
      <w:r>
        <w:rPr>
          <w:sz w:val="20"/>
          <w:szCs w:val="20"/>
          <w:color w:val="auto"/>
        </w:rPr>
        <w:tab/>
      </w:r>
      <w:r>
        <w:rPr>
          <w:rFonts w:ascii="Times New Roman" w:cs="Times New Roman" w:eastAsia="Times New Roman" w:hAnsi="Times New Roman"/>
          <w:sz w:val="11"/>
          <w:szCs w:val="11"/>
          <w:color w:val="auto"/>
        </w:rPr>
        <w:t>Auditor Location: Boston, MA,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672465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153035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173355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8"/>
        </w:trPr>
        <w:tc>
          <w:tcPr>
            <w:tcW w:w="10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7"/>
        </w:trPr>
        <w:tc>
          <w:tcPr>
            <w:tcW w:w="11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Business</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260" w:type="dxa"/>
            <w:vAlign w:val="bottom"/>
            <w:gridSpan w:val="18"/>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360" w:type="dxa"/>
            <w:vAlign w:val="bottom"/>
            <w:gridSpan w:val="12"/>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400" w:type="dxa"/>
            <w:vAlign w:val="bottom"/>
            <w:gridSpan w:val="19"/>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920" w:type="dxa"/>
            <w:vAlign w:val="bottom"/>
            <w:gridSpan w:val="16"/>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30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63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auto"/>
              </w:rPr>
              <w:t>[Reserved]</w:t>
            </w:r>
          </w:p>
        </w:tc>
        <w:tc>
          <w:tcPr>
            <w:tcW w:w="2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7.</w:t>
            </w:r>
          </w:p>
        </w:tc>
        <w:tc>
          <w:tcPr>
            <w:tcW w:w="5080" w:type="dxa"/>
            <w:vAlign w:val="bottom"/>
            <w:tcBorders>
              <w:bottom w:val="single" w:sz="8" w:color="0000FF"/>
            </w:tcBorders>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900" w:type="dxa"/>
            <w:vAlign w:val="bottom"/>
            <w:gridSpan w:val="4"/>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3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560" w:type="dxa"/>
            <w:vAlign w:val="bottom"/>
            <w:gridSpan w:val="7"/>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5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880" w:type="dxa"/>
            <w:vAlign w:val="bottom"/>
            <w:gridSpan w:val="3"/>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580" w:type="dxa"/>
            <w:vAlign w:val="bottom"/>
            <w:gridSpan w:val="14"/>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940" w:type="dxa"/>
            <w:vAlign w:val="bottom"/>
            <w:gridSpan w:val="17"/>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0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5760" w:type="dxa"/>
            <w:vAlign w:val="bottom"/>
            <w:gridSpan w:val="8"/>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240" w:type="dxa"/>
            <w:vAlign w:val="bottom"/>
            <w:gridSpan w:val="2"/>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4700" w:type="dxa"/>
            <w:vAlign w:val="bottom"/>
            <w:gridSpan w:val="5"/>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30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898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6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16</w:t>
            </w:r>
          </w:p>
        </w:tc>
        <w:tc>
          <w:tcPr>
            <w:tcW w:w="22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6700" w:type="dxa"/>
            <w:vAlign w:val="bottom"/>
            <w:gridSpan w:val="10"/>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Annual Report on Form 10-K, or Form 10-K,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10-K may include, but are not limited to, statements about:</w:t>
      </w:r>
    </w:p>
    <w:p>
      <w:pPr>
        <w:spacing w:after="0" w:line="58" w:lineRule="exact"/>
        <w:rPr>
          <w:sz w:val="20"/>
          <w:szCs w:val="20"/>
          <w:color w:val="auto"/>
        </w:rPr>
      </w:pPr>
    </w:p>
    <w:p>
      <w:pPr>
        <w:jc w:val="both"/>
        <w:ind w:left="640" w:hanging="317"/>
        <w:spacing w:after="0" w:line="270"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5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manufacturing and commercialization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for any of our current or future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of time over which we anticipate our existing cash and cash equivalents, and marketable securities will be sufficient to fund our operating expenses and capital expenditure requirements;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product candidates for treatment of additional disease indications;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benefits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and clinical utility for any product candidates we may develop;</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 including the possibility for reduced pricing of our products, once approved, if they are later subject to mandatory price negotiation with the Centers for Medicare and Medicaid Services under the Inflation Reduction Act of 2022 or other applicable laws;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with respect to any of our current or future product candidates, as well as innovations by current and future competitors in our industry;</w:t>
      </w:r>
    </w:p>
    <w:p>
      <w:pPr>
        <w:spacing w:after="0" w:line="9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any product candidates we may develop, and our TORPEDO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w:t>
      </w:r>
      <w:r>
        <w:rPr>
          <w:rFonts w:ascii="Times New Roman" w:cs="Times New Roman" w:eastAsia="Times New Roman" w:hAnsi="Times New Roman"/>
          <w:sz w:val="14"/>
          <w:szCs w:val="14"/>
          <w:color w:val="auto"/>
        </w:rPr>
        <w:t xml:space="preserve">arget </w:t>
      </w:r>
      <w:r>
        <w:rPr>
          <w:rFonts w:ascii="Times New Roman" w:cs="Times New Roman" w:eastAsia="Times New Roman" w:hAnsi="Times New Roman"/>
          <w:sz w:val="14"/>
          <w:szCs w:val="14"/>
          <w:u w:val="single" w:color="auto"/>
          <w:color w:val="auto"/>
        </w:rPr>
        <w:t>OR</w:t>
      </w:r>
      <w:r>
        <w:rPr>
          <w:rFonts w:ascii="Times New Roman" w:cs="Times New Roman" w:eastAsia="Times New Roman" w:hAnsi="Times New Roman"/>
          <w:sz w:val="14"/>
          <w:szCs w:val="14"/>
          <w:color w:val="auto"/>
        </w:rPr>
        <w:t xml:space="preserve">iented </w:t>
      </w:r>
      <w:r>
        <w:rPr>
          <w:rFonts w:ascii="Times New Roman" w:cs="Times New Roman" w:eastAsia="Times New Roman" w:hAnsi="Times New Roman"/>
          <w:sz w:val="14"/>
          <w:szCs w:val="14"/>
          <w:u w:val="single" w:color="auto"/>
          <w:color w:val="auto"/>
        </w:rPr>
        <w:t>P</w:t>
      </w:r>
      <w:r>
        <w:rPr>
          <w:rFonts w:ascii="Times New Roman" w:cs="Times New Roman" w:eastAsia="Times New Roman" w:hAnsi="Times New Roman"/>
          <w:sz w:val="14"/>
          <w:szCs w:val="14"/>
          <w:color w:val="auto"/>
        </w:rPr>
        <w:t>rot</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egrader </w:t>
      </w:r>
      <w:r>
        <w:rPr>
          <w:rFonts w:ascii="Times New Roman" w:cs="Times New Roman" w:eastAsia="Times New Roman" w:hAnsi="Times New Roman"/>
          <w:sz w:val="14"/>
          <w:szCs w:val="14"/>
          <w:u w:val="single" w:color="auto"/>
          <w:color w:val="auto"/>
        </w:rPr>
        <w:t>O</w:t>
      </w:r>
      <w:r>
        <w:rPr>
          <w:rFonts w:ascii="Times New Roman" w:cs="Times New Roman" w:eastAsia="Times New Roman" w:hAnsi="Times New Roman"/>
          <w:sz w:val="14"/>
          <w:szCs w:val="14"/>
          <w:color w:val="auto"/>
        </w:rPr>
        <w:t>ptimizer) platform;</w:t>
      </w:r>
    </w:p>
    <w:p>
      <w:pPr>
        <w:spacing w:after="0" w:line="50"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Hoffmann-La Roche Ltd and Hoffmann-La Roche Inc., or Roche, Biogen MA, Inc., or Biogen, Betta Pharmaceuticals, Co., Ltd., or Betta Pharma, and Merck Sharp &amp; Dohme, LLC, or Merck, or other new collaboration agreements;</w:t>
      </w:r>
    </w:p>
    <w:p>
      <w:pPr>
        <w:spacing w:after="0" w:line="5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manufacturing and commercialization of our product candidates, if approved;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discussed in Part I, Item 1A - Risk Factors in this Form 10-K.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Form 10-K.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forward-looking statements in this Form 10-K represent our views as of the date of this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10-K.</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Form 10-K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ability to implement our business strategy is subject to numerous risks that you should be aware of before making an investment decision. These risks are described more fully in Part I, Item 1A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Factors in this Form 10-K. These risks include, among others:</w:t>
      </w:r>
    </w:p>
    <w:p>
      <w:pPr>
        <w:spacing w:after="0" w:line="79" w:lineRule="exact"/>
        <w:rPr>
          <w:sz w:val="20"/>
          <w:szCs w:val="20"/>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$132.5 million and $128.2 million for the years ended December 31, 2023 and 2022, respectively.</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the discovery and development of product candidates based on our TORPEDO platform is unproven, which makes it difficult to predict the time, cost and likelihood of successfully developing any products.</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are a clinical-stage company and have commenced clinical trials of several product candidates, we have never completed a clinical trial of any of our product candidates. Our business could be harmed if we are unable to develop, obtain regulatory approval for and/or commercialize our product candidates, or if we experience significant delays in doing any of these things.</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preclinical studies and clinical trials may fail to demonstrate adequately the safety and efficacy of any of our product candidates, which would prevent, delay, or require additional research or analysis to proceed with development, regulatory approval, and commercialization of our current and future product candidates.</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ongoing collaboration agreements with Roche, Betta Pharma, and Merck, as well as collaboration agreements with Biogen and Calico, whose research terms expired on June 30, 2023 and March 13, 2023, respectively. We may also seek to enter into additional collaborations in the future with third parties for the development and/or commercialization of certain of our product candidates. However, we may never realize the full potential benefits under these existing or potential collaboration arrangements.</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which may result in others discovering, developing or commercializing products for the same indication and/or patient population before or more successfully than we do.</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39"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patent protection for our technology and products or if the scope of the patent protection obtained is not sufficiently broad or enforceable, our competitors could develop and commercialize technology, product candidates, and products similar or identical to ours, and our ability to successfully commercialize our technology, product candidates, and products may be impaired.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REGARDING COMPANY REFERENCES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 the terms “C4 Therapeutics,” “the Company,” “we,” “us,” and “our” in this Form 10-K refer to C4 Therapeutics, Inc. and its consolidated subsidiary.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REGARDING TRADEMARKS</w:t>
      </w:r>
    </w:p>
    <w:p>
      <w:pPr>
        <w:spacing w:after="0" w:line="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 xml:space="preserve">We own or have rights to various trademarks, service marks, and trade names that are used in connection with the operation of our business, including our company name, C4 Therapeutics, our logo, the name of our TORPEDO technology platform and the names of our BIDAC and MONODAC protein degrader product candidates. This Form 10-K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clinical-stage biopharmaceutical company dedicated to delivering on the promise of targeted protein degradation, or TPD, science to create a new generation of small-molecule medicines that transform patients’ lives. By leveraging our proprietary TORPEDO platform, we have the capability to efficiently design and optimize small molecule protein degraders that are highly active against their desired targets by harnessing the body’s natural process for destroying unwanted proteins. We believe our novel oral product candidates have the potential to overcome drug resistance often seen with inhibitors, target currently “undruggable” targets and improve patient outcomes. To date, we have successfully designed and advanced several protein degraders into the clinic across a range of target classes and, based on data from our clinical trials, our product candidates have demonstrated robust target degradation.</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TORPEDO platform has the capability to design two types of protein degraders and both degrader approaches are reflected in our clinical pipeline. We refer to the first type of degrader as MonoDAC degraders, which are referred to by some in the industry as “molecular glues.” MonoDAC degraders function by binding to E3 ligases and creating a new surface on the E3 ligases that enhances the binding of the E3 ligases to target proteins. We refer to the second type of degrader as BiDAC degraders, which are also referred to by some in the industry as heterobifunctional degraders. BiDAC degraders are designed so that one end of the molecule binds to the disease-causing target protein and the other end binds to the E3 ligase. Each of these degrader approaches is intended to result in the same end point: bringing the E3 ligase in close enough proximity to the disease-causing protein, so that the E3 ligase can “tag” it for destruction.</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preclinical and clinical pipeline includes MonoDAC and BiDAC degraders that have the potential to target disease causing proteins for various cancers and other indications in areas of unmet patient need. Our wholly owned pipeline is focused on oncology and our partnership strategy allows us to explore other indications. Our full pipeline, including partnerships, is reflected in the image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722495" cy="2196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249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most advanced product candidate, CFT7455, is an orally bioavailable MonoDAC degrader of protein targets called IKZF1 and IKZF3, currently in clinical development for multiple myeloma, or MM, and non-Hodgkin lymphoma, or NHL. There is a strong mechanistic rationale and well-defined biology to target IKZF1 and IKZF3 and targeting them with a novel degrader has the potential to address a significant unmet need. In our preclinical studies, this product candidate has demonstrated potent and selective protein degradation with favorable pharmacological properties. We initiated a first-in-human Phase 1/2 clinical trial for this product candidate in June 2021. In August 2021, the United States Food and Drug Administration, or FDA, granted orphan drug designation to CFT7455 for the treatment of MM. In December 2023, we presented positive clinical data from the dose escalation portion of the CFT7455 Phase 1/2 trial as a monotherapy and in combination with dexamethasone in MM. We continue to progress the ongoing Phase 1/2 clinical trial in MM and NHL.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next most advanced product candidate, CFT1946, is an orally bioavailable BiDAC degrader designed to be potent and selective against BRAF V600X mutant proteins to treat melanoma, non-small cell lung cancer, or NSCLC, colorectal cancer, or CRC, and other malignancies that harbor this mutation. In preclinical studies, CFT1946 is more efficacious than the standard of care therapies in CRC and NSCLC BRAF V600X xenograft models and in a melanoma patient-derived xenograft, or PDX, BRAF inhibitor resistance model. Additionally, CFT1946 is active in a preclinical metastatic melanoma central-nervous system, or CNS, model. In January 2023, we initiated a first-in-human Phase 1/2 clinical trial of CFT1946 for the treatment of BRAF V600X mutant solid tumors including NSCLC, CRC and melanoma. In January 2024, we shared PK and PD data from the first two dose escalation cohorts of the ongoing Phase 1/2 trial demonstrating dose proportional exposure and oral bioavailability, which are associated with deep BRAF degradation. We continue to progress the ongoing Phase 1/2 clinical trial in BRAF V600X cancers, including melanoma, NSCLC, and CRC.</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Additionally, we are developing CFT8919, an orally bioavailable, allosteric, mutant-selective BiDAC degrader of epidermal growth factor receptor, or EGFR, with an L858R mutation in NSCLC. In preclinical studies, CFT8919 demonstrated equipotent anti-proliferation activity against EGFR mutations resistant to EGFR inhibition, including L858R-C797S, L858R-T790M, and L858R-T790M-C797S compared to L858R single mutation in Ba/F3 cell models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In May 2023, we entered into a license and collaboration agreement with Betta Pharma to collaborate on the development and commercialization of CFT8919 in mainland China, Hong Kong SAR, Macau SAR and Taiwan, with us retaining rights to develop and commercialize CFT8919 in the rest of the world. Additionally in June 2023, the FDA cleared the investigational new drug, or IND, application for CFT8919 and in December 2023, Betta Pharma received clinical trial application, or CTA, clearance for CFT8919 from China's National Medical Product Administration.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Beyond these initial product candidates, we are further diversifying our pipeline by developing new degraders against both clinically validated and currently undruggable targets for our own proprietary pipeline and for the pipeline we are developing in collaboration with Merck, Biogen and Roche. We have engineered degraders that have successfully achieved blood-brain barrier penetration in preclinical studies, which is a key step in developing medicines with the potential to treat brain metastases in oncology, as well as in therapeutic areas such neurodegenerative diseases. We also believe there are many therapeutic areas and indications where leveraging our TORPEDO platform to develop novel degraders may be advantageous.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committed to transforming the treatment of cancer and other diseases through the discovery, development, and commercialization of novel therapies that destroy disease-causing proteins.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elements of our strategy are to:</w:t>
      </w:r>
    </w:p>
    <w:p>
      <w:pPr>
        <w:spacing w:after="0" w:line="92" w:lineRule="exact"/>
        <w:rPr>
          <w:sz w:val="20"/>
          <w:szCs w:val="20"/>
          <w:color w:val="auto"/>
        </w:rPr>
      </w:pPr>
    </w:p>
    <w:p>
      <w:pPr>
        <w:jc w:val="both"/>
        <w:ind w:left="640" w:hanging="317"/>
        <w:spacing w:after="0" w:line="271" w:lineRule="auto"/>
        <w:tabs>
          <w:tab w:leader="none" w:pos="63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Advance our clinical oral oncology degrader programs. </w:t>
      </w:r>
      <w:r>
        <w:rPr>
          <w:rFonts w:ascii="Times New Roman" w:cs="Times New Roman" w:eastAsia="Times New Roman" w:hAnsi="Times New Roman"/>
          <w:sz w:val="14"/>
          <w:szCs w:val="14"/>
          <w:color w:val="auto"/>
        </w:rPr>
        <w:t>Using our proprietary TORPEDO platform, we have generated novel product candidates for the treatment of cancer that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believe have the potential to improve patients’ outcomes. Based on the results of our clinical trials, we will work with the FDA to discuss potential expedited development and accelerated approval pathways for our product candidates as applicable.</w:t>
      </w:r>
    </w:p>
    <w:p>
      <w:pPr>
        <w:spacing w:after="0" w:line="48" w:lineRule="exact"/>
        <w:rPr>
          <w:rFonts w:ascii="Times New Roman" w:cs="Times New Roman" w:eastAsia="Times New Roman" w:hAnsi="Times New Roman"/>
          <w:sz w:val="14"/>
          <w:szCs w:val="14"/>
          <w:b w:val="1"/>
          <w:bCs w:val="1"/>
          <w:color w:val="auto"/>
        </w:rPr>
      </w:pPr>
    </w:p>
    <w:p>
      <w:pPr>
        <w:jc w:val="both"/>
        <w:ind w:left="640" w:hanging="317"/>
        <w:spacing w:after="0" w:line="265" w:lineRule="auto"/>
        <w:tabs>
          <w:tab w:leader="none" w:pos="63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Continue to focus our internal pipeline on oncology targets that we believe could benefit from a TPD approach. </w:t>
      </w:r>
      <w:r>
        <w:rPr>
          <w:rFonts w:ascii="Times New Roman" w:cs="Times New Roman" w:eastAsia="Times New Roman" w:hAnsi="Times New Roman"/>
          <w:sz w:val="14"/>
          <w:szCs w:val="14"/>
          <w:color w:val="auto"/>
        </w:rPr>
        <w:t>Through our target identification process, we evaluate where TPD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could have an outsized patient impact, either by its potential to improve upon existing treatment modalities or or by the selection of targets that are currently considered “undruggable” by inhibitors where the biology suggests that degrading those targets could have an impact on the disease. When considering what targets to select for research activities, biology plays an important role. We select targets with a clear genetic link to a disease. We also consider how a degrader could offer a benefit over an inhibitor or other therapeutic option.</w:t>
      </w:r>
    </w:p>
    <w:p>
      <w:pPr>
        <w:spacing w:after="0" w:line="54" w:lineRule="exact"/>
        <w:rPr>
          <w:rFonts w:ascii="Times New Roman" w:cs="Times New Roman" w:eastAsia="Times New Roman" w:hAnsi="Times New Roman"/>
          <w:sz w:val="14"/>
          <w:szCs w:val="14"/>
          <w:b w:val="1"/>
          <w:bCs w:val="1"/>
          <w:color w:val="auto"/>
        </w:rPr>
      </w:pPr>
    </w:p>
    <w:p>
      <w:pPr>
        <w:jc w:val="both"/>
        <w:ind w:left="64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also consider clinical development as part of the target selection process. We review potential targets to ensure we can prospectively select patients for clinical trials and can identify a path to registration. We also evaluate available biomarker assays to help us identify which patients may benefit from the investigational therapy. We are focusing our current proprietary programs on selected oncology indications as well as other indications with our collaboration partners.</w:t>
      </w:r>
    </w:p>
    <w:p>
      <w:pPr>
        <w:spacing w:after="0" w:line="48" w:lineRule="exact"/>
        <w:rPr>
          <w:rFonts w:ascii="Times New Roman" w:cs="Times New Roman" w:eastAsia="Times New Roman" w:hAnsi="Times New Roman"/>
          <w:sz w:val="14"/>
          <w:szCs w:val="14"/>
          <w:b w:val="1"/>
          <w:bCs w:val="1"/>
          <w:color w:val="auto"/>
        </w:rPr>
      </w:pPr>
    </w:p>
    <w:p>
      <w:pPr>
        <w:jc w:val="both"/>
        <w:ind w:left="640" w:hanging="317"/>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Collaborate with partners to realize the full value of the TORPEDO platform. </w:t>
      </w:r>
      <w:r>
        <w:rPr>
          <w:rFonts w:ascii="Times New Roman" w:cs="Times New Roman" w:eastAsia="Times New Roman" w:hAnsi="Times New Roman"/>
          <w:sz w:val="14"/>
          <w:szCs w:val="14"/>
          <w:color w:val="auto"/>
        </w:rPr>
        <w:t>We have existing strategic collaborations with Roche, Biogen and Merck under which we are working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identify and develop novel degraders across multiple therapeutic areas and targets, including new modalities such as degrader-antibody-conjugates, or DACs. These partnerships allow us to advance and accelerate our research and enable access to additional capabilities and expand the utility of our TORPEDO platform.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Protein Degradation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Protein Degradation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Proteins are large, complex molecules that play many critical roles in the human body. Due to their central role in biological function, protein interactions control mechanisms leading to healthy and diseased states. Diseases are often caused by mutations that alter the normal function of proteins and in turn lead to protein dysfunction and then disease. Recent scientific advances continue to implicate the role of specific proteins in multiple disease states.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Protein levels within cells are controlled by a balance between their synthesis rate and their rate of degradation. Protein degradation provides a natural mechanism to maintain protein levels at a stable equilibrium, to remove aged or faulty proteins, or to rapidly eliminate the activity of certain regulatory proteins in response to specific signals. The human body has a highly conserved degradation machinery known as the ubiquitin proteasome system, or UPS, that can identify and break down proteins into their component amino acids. This process is mediated in part by a family of proteins called E3 ligases. The primary role of E3 ligases is to act as a quality control inspector by identifying proteins that are old, damaged, misfolded or otherwise deemed ready for degradation. When an E3 ligase identifies a target protein for degradation, it attaches a molecular tag called ubiquitin in a process called ubiquitination. This ubiquitination process typically continues until the target protein is tagged with multiple ubiquitins, known as poly-ubiquitination. Once the target protein is poly-ubiquitinated, it is released by the E3 ligase and is then quickly recognized by a proteasome, which is the cell’s recycling plant. The proteasome degrades poly-ubiquitinated proteins into their component amino acids, and these amino acids can then be recycled to form new proteins or can be excreted by the cell. This process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50165</wp:posOffset>
            </wp:positionV>
            <wp:extent cx="4042410" cy="1616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4241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Approximately five percent of all human genes are dedicated to encoding components of the ubiquitin-proteasome system. In addition, many proteins of therapeutic interest are often regulated by E3 ligases. Collectively, these factors underscore the essential role E3 ligases play in normal cellular function and how they can be leveraged against therapeutic protein targets.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Targeted protein degraders represent a novel modality that seeks to harness this natural degradation machinery to destroy disease-causing target proteins that E3 ligases would not otherwise target for destruction. The process of targeted protein degradation mediated by our degraders is illustrated in the graphic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366395</wp:posOffset>
            </wp:positionV>
            <wp:extent cx="4042410" cy="1953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42410"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Both our MonoDAC degraders and BiDAC degraders follow the same catalytic process, with the first step being the formation of a complex between the native E3 ligase, degrader and target protein, which we refer to as the ternary complex. This is shown in Step 2 in the above graphic for a BiDAC degrader. Formation of an appropriate ternary complex that can undergo ubiquitination results in poly-ubiquitination of the target in Step 3. Once the poly-ubiquitination process is complete for one molecule of a target protein, the degrader is released, as shown in Step 4, and then degradation of the target protein by the proteasome occurs in Step 5. Because the degrader is released unchanged, this recursive process—binding the target protein, ternary complex formation with the E3 ligase, poly-ubiquitination and release for degradation—can occur thousands of times with a single degrader molecule before it is eventually cleared by the body. Importantly, both the natural protein degradation process and the targeted protein degradation mediated by our degraders occur rapidly, on the order of milliseconds from initial target-ligase encounter to poly-ubiquitination and release for degradation by the proteasome. In this way, protein degraders act as a catalyst for a natural process and we refer to this process as the catalytic cycle, which is a crucial differentiator between degraders and traditional protein inhibitors, which must remain bound to the target protein to remain effective.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Advantages of Targeted Protein Degradation Over Traditional Protein Inhibitors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current targeted therapies are based on small molecules that inhibit the biological function of a protein of interest. One of the main limitations of inhibitor-based treatments is that sustained target occupancy levels are required for the inhibition of the biological function of protein, and thus efficacy. Since the pharmacological effect is driven by the drug exposure profile, the overall timing and duration of drug action is dependent on drug absorption, distribution, and elimination. These exposures can be challenging to achieve and may increase the likelihood of significant off-target side effects. A further limitation of this approach is the requirement to find compounds that bind to specific active sites on the protein that result in functional inhibition, as there are many sites on a target protein where small molecules can bind but have no effect on the overall function.</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targeted protein degradation is a novel modality that could offer significant potential benefits over traditional small molecule inhibitor approaches, including improved and sustained potency, fast and recursive catalytic effect, high selectivity, and an expansive target landscape.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Improved and Sustained Potency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Degraders have the ability to offer a many-fold amplification of effect because a single degrader molecule can exert its effect recursively on a large number of target proteins. This ability of a degrader molecule to repeat its catalytic cycle multiple times is known as catalytic amplification. In contrast, traditional protein inhibitors rely on one-to-one binding of an inhibitor molecule with a target protein, with the protein only deactivated while the inhibitor is bound. This means that much higher concentrations of a protein inhibitor drug are needed to achieve the same level of therapeutic effect as a protein degrader.</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requiring significantly less drug than a protein inhibitor, a degrader’s impact on target protein function is more durable than that of a traditional inhibitor. This is because the activity of a target protein resumes as soon as an inhibitor is no longer bound to it, whereas a degrader completely eliminates its target protein and disease-causing activity is prevented until the cell is able to synthesize replacement proteins – a process that can take hours or even days. Therefore,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contrast to a typical reversible inhibitor, the effect of a degrader can persist well after it has been cleared from the body. The ability of a degrader to eliminate its target completely is another mechanism for improved potency relative to a traditional inhibitor. This is because a single protein can often have multiple functions, each mediated by a different domain. An inhibitor can only interfere with protein functions directly impacted by the region to which it binds. In the case of a disease-causing protein where more than one function contributes to pathogenic activity (for example, aberrant enzyme activity as well as ability to form multi-protein complexes), a degrader will eliminate all functions and therefore have a more profound effect versus an inhibitor that only blocks one. All these factors mean that degraders may help to achieve a more durable biological effect and better clinical outcomes.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 Selectivity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One of the primary challenges of protein inhibition is attempting to identify and develop molecules that only target cancerous cells or disease-causing proteins without having deleterious effects on normal cells or other proteins, commonly referred to as off-target effects.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step in the protein degradation catalytic cycle requires specific positioning of the target protein and E3 ligase to progress through the cycle, and these positioning requirements can serve as filters to increase selectivity of a degrader molecule so that only the target protein is ultimately degraded, even if the degrader binds to multiple proteins. For example, degraders not only interact with the target protein, but must do so in such a way that targets an E3 ligase and assumes a ternary complex conformation amenable to productive target protein ubiquitination. As a result, even if a degrader were to bind to a non-target protein, the resulting ternary complex may not have a conformation that is appropriate to facilitate ubiquitination and subsequent degradation. We are able to leverage these intrinsic properties of the ubiquitin-proteasome protein degradation pathway to design degraders to be highly selective for disease-causing proteins.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Expansive Target Landscape</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Traditional inhibitors can only have a therapeutic effect if they are able to bind tightly to a site on a disease-causing protein that interferes with its function. This requires that the inhibitor binds directly to a protein’s active site, or to an allosteric site in a way that leads to a conformational change that impairs protein activity. This inherently limits the number of druggable targets addressable with traditional inhibitors, as many potential binding sites are not in regions of a protein that interfere with function. In contrast, degraders can use any binding site on a protein to facilitate formation of a ternary complex with an E3 ligase that leads to its destruction. Additionally, whereas an inhibitor requires high affinity to its binding site to maintain occupancy and block function, degraders can interact with relatively weaker affinity in a transient fashion and still enable ubiquitination and destruction of the protein. Targeted protein degradation greatly expands the potential target pool to include a significant proportion of those currently considered undruggable.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48260</wp:posOffset>
            </wp:positionV>
            <wp:extent cx="4042410" cy="1616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4241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Approach</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employ a comprehensive approach to product candidate discovery, selection, and development to maximize the potential therapeutic benefit of our protein degraders. We seek out indications with high value protein targets that may benefit the most from degraders, with catalytic degradation turnover as the key metric by which to assess protein degradation. To that end, we have invested heavily in experimental tools, computational and predictive models, and team expertise to analyze and optimize the catalytic ability of our degraders through our TORPEDO platform. Additionally, we leverage our platform to optimize the ability of our degraders to initiate the ubiquitin-proteasome protein degradation cycle and predict their function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Due to the rapid optimization allowed by our TORPEDO platform and the ability of our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100"/>
        <w:spacing w:after="0" w:line="381" w:lineRule="auto"/>
        <w:rPr>
          <w:sz w:val="20"/>
          <w:szCs w:val="20"/>
          <w:color w:val="auto"/>
        </w:rPr>
      </w:pPr>
      <w:r>
        <w:rPr>
          <w:rFonts w:ascii="Times New Roman" w:cs="Times New Roman" w:eastAsia="Times New Roman" w:hAnsi="Times New Roman"/>
          <w:sz w:val="14"/>
          <w:szCs w:val="14"/>
          <w:color w:val="auto"/>
        </w:rPr>
        <w:t xml:space="preserve">platform to predict degrader effects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we are able to quickly and efficiently advance programs from target identification to the candidate development stage. </w:t>
      </w:r>
      <w:r>
        <w:rPr>
          <w:rFonts w:ascii="Times New Roman" w:cs="Times New Roman" w:eastAsia="Times New Roman" w:hAnsi="Times New Roman"/>
          <w:sz w:val="14"/>
          <w:szCs w:val="14"/>
          <w:b w:val="1"/>
          <w:bCs w:val="1"/>
          <w:color w:val="auto"/>
        </w:rPr>
        <w:t>Our TORPEDO Platform</w:t>
      </w:r>
    </w:p>
    <w:p>
      <w:pPr>
        <w:spacing w:after="0" w:line="287" w:lineRule="auto"/>
        <w:rPr>
          <w:sz w:val="20"/>
          <w:szCs w:val="20"/>
          <w:color w:val="auto"/>
        </w:rPr>
      </w:pPr>
      <w:r>
        <w:rPr>
          <w:rFonts w:ascii="Times New Roman" w:cs="Times New Roman" w:eastAsia="Times New Roman" w:hAnsi="Times New Roman"/>
          <w:sz w:val="14"/>
          <w:szCs w:val="14"/>
          <w:color w:val="auto"/>
        </w:rPr>
        <w:t>Our proprietary TORPEDO platform is a collection of experimental approaches and tools that give us the ability to design, analyze and predict degrader performance, which allows us to design degraders at the molecular level to have enhanced potency and selectivity. Key elements of the platform include:</w:t>
      </w:r>
    </w:p>
    <w:p>
      <w:pPr>
        <w:spacing w:after="0" w:line="37" w:lineRule="exact"/>
        <w:rPr>
          <w:sz w:val="20"/>
          <w:szCs w:val="20"/>
          <w:color w:val="auto"/>
        </w:rPr>
      </w:pPr>
    </w:p>
    <w:p>
      <w:pPr>
        <w:jc w:val="both"/>
        <w:ind w:left="640" w:hanging="317"/>
        <w:spacing w:after="0" w:line="259" w:lineRule="auto"/>
        <w:tabs>
          <w:tab w:leader="none" w:pos="63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Focus on Catalytic Efficiency: </w:t>
      </w:r>
      <w:r>
        <w:rPr>
          <w:rFonts w:ascii="Times New Roman" w:cs="Times New Roman" w:eastAsia="Times New Roman" w:hAnsi="Times New Roman"/>
          <w:sz w:val="14"/>
          <w:szCs w:val="14"/>
          <w:color w:val="auto"/>
        </w:rPr>
        <w:t>We seek to optimize catalytic degradation turnover by focusing our analytical techniques and predictive models on the relationship between degrader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properties and ultimate protein degradation. Our degraders are designed to activate the E3 ligase and facilitate target protein binding and ubiquitination, resulting in rapid overall target degradation. The ability of our degraders to repeat this process recursively, with the same single degrader molecule interacting with many copies of the target protein, allows us to optimize our product candidates for catalytic degradation turnover and, as a result, create candidates that have the potential to provide a greater therapeutic effect. Our MonoDAC degraders and BiDAC degraders need to achieve sufficient binding affinity to initiate brief ternary complex formation, but, unlike traditional inhibitors, they do not need to achieve prolonged stable binding to achieve desired physiological effects. In a number of our preclinical research studies, we have observed that even weaker binders can still result in very efficient degraders since they may allow for higher rates of catalytic degradation turnover, which is something we prioritize to achieve greater activity.</w:t>
      </w:r>
    </w:p>
    <w:p>
      <w:pPr>
        <w:spacing w:after="0" w:line="57" w:lineRule="exact"/>
        <w:rPr>
          <w:rFonts w:ascii="Times New Roman" w:cs="Times New Roman" w:eastAsia="Times New Roman" w:hAnsi="Times New Roman"/>
          <w:sz w:val="14"/>
          <w:szCs w:val="14"/>
          <w:b w:val="1"/>
          <w:bCs w:val="1"/>
          <w:color w:val="auto"/>
        </w:rPr>
      </w:pPr>
    </w:p>
    <w:p>
      <w:pPr>
        <w:jc w:val="both"/>
        <w:ind w:left="640" w:hanging="317"/>
        <w:spacing w:after="0" w:line="271"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Investment in Cereblon: </w:t>
      </w:r>
      <w:r>
        <w:rPr>
          <w:rFonts w:ascii="Times New Roman" w:cs="Times New Roman" w:eastAsia="Times New Roman" w:hAnsi="Times New Roman"/>
          <w:sz w:val="14"/>
          <w:szCs w:val="14"/>
          <w:color w:val="auto"/>
        </w:rPr>
        <w:t>Our lead degraders utilize Cereblon as the E3 ligase. There are over 600 E3 ligases in the human proteome, of which the biology has been well characterized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 more than 50. A limited number of E3 ligases, including Cereblon, VHL, MDM2, IAPs and ß-TRCP, have been reported to be suitable for targeted protein degradation. We have chosen to focus on Cereblon as the E3 ligase target of our protein degradation approach for several reasons:</w:t>
      </w:r>
    </w:p>
    <w:p>
      <w:pPr>
        <w:spacing w:after="0" w:line="50" w:lineRule="exact"/>
        <w:rPr>
          <w:rFonts w:ascii="Times New Roman" w:cs="Times New Roman" w:eastAsia="Times New Roman" w:hAnsi="Times New Roman"/>
          <w:sz w:val="14"/>
          <w:szCs w:val="14"/>
          <w:color w:val="auto"/>
        </w:rPr>
      </w:pPr>
    </w:p>
    <w:p>
      <w:pPr>
        <w:jc w:val="both"/>
        <w:ind w:left="960" w:hanging="319"/>
        <w:spacing w:after="0" w:line="264" w:lineRule="auto"/>
        <w:tabs>
          <w:tab w:leader="none" w:pos="96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Extensive clinical experience with the approved drugs thalidomide, lenalidomide and pomalidomide has shown that using Cereblon can effect target degradation in a way that impacts human disease. The mechanism of action of these molecules is to degrade disease targets, specifically IKZF1 and IKZF3, by bringing them into complex with Cereblon. Lenalidomide and pomalidomide are both approved drugs that have served as part of the standard of care for the treatment of MM since their approvals in 2006 and 2013, respectively. Together, this experience clinically validates Cereblon as an E3 ligase that can be harnessed to produce effective drugs.</w:t>
      </w:r>
    </w:p>
    <w:p>
      <w:pPr>
        <w:spacing w:after="0" w:line="55" w:lineRule="exact"/>
        <w:rPr>
          <w:rFonts w:ascii="Times New Roman" w:cs="Times New Roman" w:eastAsia="Times New Roman" w:hAnsi="Times New Roman"/>
          <w:sz w:val="14"/>
          <w:szCs w:val="14"/>
          <w:color w:val="auto"/>
        </w:rPr>
      </w:pPr>
    </w:p>
    <w:p>
      <w:pPr>
        <w:ind w:left="960" w:hanging="319"/>
        <w:spacing w:after="0" w:line="287" w:lineRule="auto"/>
        <w:tabs>
          <w:tab w:leader="none" w:pos="96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Cereblon is widely expressed across tissues and is present in all cellular compartments, including the cytoplasm and nucleus, potentially allowing for Cereblon-mediated targeted protein degradation across a wide variety of clinical settings and potential targets.</w:t>
      </w:r>
    </w:p>
    <w:p>
      <w:pPr>
        <w:spacing w:after="0" w:line="39" w:lineRule="exact"/>
        <w:rPr>
          <w:rFonts w:ascii="Times New Roman" w:cs="Times New Roman" w:eastAsia="Times New Roman" w:hAnsi="Times New Roman"/>
          <w:sz w:val="14"/>
          <w:szCs w:val="14"/>
          <w:color w:val="auto"/>
        </w:rPr>
      </w:pPr>
    </w:p>
    <w:p>
      <w:pPr>
        <w:jc w:val="both"/>
        <w:ind w:left="960" w:hanging="319"/>
        <w:spacing w:after="0" w:line="261" w:lineRule="auto"/>
        <w:tabs>
          <w:tab w:leader="none" w:pos="97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developed multiple distinct, proprietary Cereblon binders that we have designed for improved drug-like properties, such as enhanced oral bioavailability, solubility, permeability, and stability, and all of our product candidates and programs benefit from these properties of our proprietary Cereblon binders. Our library of Cereblon binders offers a proprietary and powerful toolkit for degrader discovery. This Cereblon binder toolkit enables a more modular approach to identifying and optimizing degraders, as each of these binder classes encode distinct drug-like properties and, importantly, unique “exit trajectories” from the Cereblon surface following protein degradation, which can promote better target degradation turnover.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focusing on catalytic efficiency and leveraging Cereblon, we have built capabilities unique to the TPD field. With these capabilities, we can:</w:t>
      </w:r>
    </w:p>
    <w:p>
      <w:pPr>
        <w:spacing w:after="0" w:line="92" w:lineRule="exact"/>
        <w:rPr>
          <w:sz w:val="20"/>
          <w:szCs w:val="20"/>
          <w:color w:val="auto"/>
        </w:rPr>
      </w:pPr>
    </w:p>
    <w:p>
      <w:pPr>
        <w:jc w:val="both"/>
        <w:ind w:left="640" w:hanging="317"/>
        <w:spacing w:after="0" w:line="268"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Design, analyze and predict degrader performance: </w:t>
      </w:r>
      <w:r>
        <w:rPr>
          <w:rFonts w:ascii="Times New Roman" w:cs="Times New Roman" w:eastAsia="Times New Roman" w:hAnsi="Times New Roman"/>
          <w:sz w:val="14"/>
          <w:szCs w:val="14"/>
          <w:color w:val="auto"/>
        </w:rPr>
        <w:t>We have made a significant investment in computational methods and tools to enhance our ability to rationally design degraders.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 xml:space="preserve">silico </w:t>
      </w:r>
      <w:r>
        <w:rPr>
          <w:rFonts w:ascii="Times New Roman" w:cs="Times New Roman" w:eastAsia="Times New Roman" w:hAnsi="Times New Roman"/>
          <w:sz w:val="14"/>
          <w:szCs w:val="14"/>
          <w:color w:val="auto"/>
        </w:rPr>
        <w:t>models allow us to design degraders with enhanced potency and selectivity across our pipeline. Additionally, our cellular degradation assays provide high-quality data that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analyze using a proprietary and unique framework based on fundamental enzymology principles, which allow us to predict both the depth and duration of target degradation at any dose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vivo</w:t>
      </w:r>
      <w:r>
        <w:rPr>
          <w:rFonts w:ascii="Times New Roman" w:cs="Times New Roman" w:eastAsia="Times New Roman" w:hAnsi="Times New Roman"/>
          <w:sz w:val="14"/>
          <w:szCs w:val="14"/>
          <w:color w:val="auto"/>
        </w:rPr>
        <w:t>.</w:t>
      </w:r>
    </w:p>
    <w:p>
      <w:pPr>
        <w:spacing w:after="0" w:line="226" w:lineRule="exact"/>
        <w:rPr>
          <w:rFonts w:ascii="Times New Roman" w:cs="Times New Roman" w:eastAsia="Times New Roman" w:hAnsi="Times New Roman"/>
          <w:sz w:val="14"/>
          <w:szCs w:val="14"/>
          <w:color w:val="auto"/>
        </w:rPr>
      </w:pPr>
    </w:p>
    <w:p>
      <w:pPr>
        <w:jc w:val="both"/>
        <w:ind w:left="960" w:hanging="319"/>
        <w:spacing w:after="0" w:line="270" w:lineRule="auto"/>
        <w:tabs>
          <w:tab w:leader="none" w:pos="968"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developed high-throughput cellular degradation assays that are designed to produce quantitative data showing the relationship between degrader concentration and target protein degradation. This approach allows protein degradation quantitation with greater precision and higher throughput than traditional Western blot approaches. The application of our experimental data to our proprietary models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960"/>
        <w:spacing w:after="0" w:line="287" w:lineRule="auto"/>
        <w:rPr>
          <w:sz w:val="20"/>
          <w:szCs w:val="20"/>
          <w:color w:val="auto"/>
        </w:rPr>
      </w:pPr>
      <w:r>
        <w:rPr>
          <w:rFonts w:ascii="Times New Roman" w:cs="Times New Roman" w:eastAsia="Times New Roman" w:hAnsi="Times New Roman"/>
          <w:sz w:val="14"/>
          <w:szCs w:val="14"/>
          <w:color w:val="auto"/>
        </w:rPr>
        <w:t>then allows us to predict protein degradation kinetics and allows us to rapidly iterate and improve on degrader candidates and design for properties that optimize catalytic degradation turnover.</w:t>
      </w:r>
    </w:p>
    <w:p>
      <w:pPr>
        <w:spacing w:after="0" w:line="39" w:lineRule="exact"/>
        <w:rPr>
          <w:sz w:val="20"/>
          <w:szCs w:val="20"/>
          <w:color w:val="auto"/>
        </w:rPr>
      </w:pPr>
    </w:p>
    <w:p>
      <w:pPr>
        <w:jc w:val="both"/>
        <w:ind w:left="960" w:hanging="319"/>
        <w:spacing w:after="0" w:line="260" w:lineRule="auto"/>
        <w:tabs>
          <w:tab w:leader="none" w:pos="957"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have also established an enzymology framework that assesses and balances the relationship between degrader concentration, time, and target protein degradation to identify the key kinetic parameters of degrader induced protein degradation. We have extended this framework to proprietary PK/PD models, which integrate these kinetic parameters with metabolism and PK exposure profiles to predict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degrader performance. Our predictions of degrader performance are routinely validated through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PD experiments with measurements of target degradation from tumor samples using standard western blot assays. We have found that these models linking cellular assays with predicted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performance have significantly accelerated our discovery process, and we believe that this will increase the likelihood of successfully transitioning from preclinical models to the clinic.</w:t>
      </w:r>
    </w:p>
    <w:p>
      <w:pPr>
        <w:spacing w:after="0" w:line="229" w:lineRule="exact"/>
        <w:rPr>
          <w:rFonts w:ascii="Times New Roman" w:cs="Times New Roman" w:eastAsia="Times New Roman" w:hAnsi="Times New Roman"/>
          <w:sz w:val="14"/>
          <w:szCs w:val="14"/>
          <w:color w:val="auto"/>
        </w:rPr>
      </w:pPr>
    </w:p>
    <w:p>
      <w:pPr>
        <w:jc w:val="both"/>
        <w:ind w:left="640" w:hanging="317"/>
        <w:spacing w:after="0" w:line="265" w:lineRule="auto"/>
        <w:tabs>
          <w:tab w:leader="none" w:pos="6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Develop both MonoDAC and BiDAC degraders: </w:t>
      </w:r>
      <w:r>
        <w:rPr>
          <w:rFonts w:ascii="Times New Roman" w:cs="Times New Roman" w:eastAsia="Times New Roman" w:hAnsi="Times New Roman"/>
          <w:sz w:val="14"/>
          <w:szCs w:val="14"/>
          <w:color w:val="auto"/>
        </w:rPr>
        <w:t>Our platform provides the flexibility to address different classes of disease-causing proteins with a tailored approach. For those target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proteins where a ligandable binding site exists, we can develop BiDAC degraders leveraging our Cereblon toolkit. For target proteins where a ligandable binding site is not present or lacks sufficient specificity, such as transcription factors, we can leverage our proprietary MonoDAC library of over 7,000 compounds to screen for hits against the target. Once we have a confirmed hit on a target, we are able to leverage the other elements of our TORPEDO platform to optimize either a MonoDAC or a BiDAC degrader.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features help focus our platform on the creation of product candidates that we believe will present minimized biology and toxicity risk, while also addressing unmet medical needs.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Candidates—Highly Potent and Selective Targeted Protein Degraders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currently conducting first-in-human Phase 1/2 clinical trials for CFT7455 and CFT1946. These programs are directed towards targets that remain inadequately treated with available therapies.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CFT7455: A IKZF1/3 Degrader for Multiple Myeloma and non-Hodgkin's Lymphoma,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developing CFT7455, an orally bioavailable degrader designed to target IKZF1/3, for the treatment of MM and NHL. We have chosen IKZF1 and IZKF3 as our initial targets for degradation because of their strong mechanistic rationale and well-defined biology. In preclinical studies, CFT7455 has shown robust activity in MM, peripheral T-cell lymphoma, or PTCL, and mantle cell lymphoma, or MCL, subcutaneous xenograft mouse models, providing preclinical proof of concept. We believe that the differentiated pharmacology of CFT7455, including its high potency, may translate into improved clinical outcomes in each of the indications in which we are pursuing its development.</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we presented clinical data from the ongoing CFT7455 Phase 1/2 clinical trial as a monotherapy and in combination with dexamethasone in MM. The data showed that the 14 days on/14 days off schedule was optimal and that CFT7455 was well tolerated as of the data cutoff date, with neutropenia, an expected on-target toxicity, observed as the most common Grade 3 or above adverse event. Additionally, CFT7455 demonstrated anti-myeloma activity and International Myeloma Working Group, or IMWG, responses in patients who have undergone numerous lines of prior therapy for MM, including B-cell maturation antigen, or BCMA, therapies.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IKZF1 and IZKF3 Are Well Understood Biological Targets for Certain Blood Cancers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IKZF1 and IKZF3 are transcription factors central to the differentiation of lympho-myeloid multipotent progenitor cells through mature immune cells, including T cells and plasma cells, such as B cells. In particular, by preventing the maturation of B cells there is an antiproliferative effect in B-cell driven blood cancers, such as MM, B-cell lymphomas, and myelodysplastic syndrome. In addition to these cell-intrinsic dependencies on IKFZ1/3 for B cell maturation, degradation of IKZF1 and IKZF3 has been shown in third-party research to lead to enhanced IL-2 expression in T cells, meaning IKZF1/3 degradation also induces T cell activity and may exert anti-cancer effects. Further, IKZF1/3 has been previously validated as a target in clinical practice as lenalidomide and pomalidomide primarily target IKZF1/3 as their mechanism of action.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First-in-Human Phase 1/2 Trial</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June 2021, we initiated a first-in-human Phase 1/2 clinical trial for CFT7455. This trial is designed to primarily investigate safety, tolerability, and anti-tumor activity. Secondary and exploratory objectives are to characterize the PK and PD profile of CFT7455. The trial is evaluating CFT7455 as a monotherapy for patients with NHL, as well as in combination with dexamethasone for patients with relapsed or refractory MM. We continue to enroll patients in these two arms of the Phase 1 dose escalation trial.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Multiple Myeloma</w:t>
      </w:r>
    </w:p>
    <w:p>
      <w:pPr>
        <w:spacing w:after="0" w:line="96"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In the United States, MM represents nearly 1.8% of all new cancer cases. The National Cancer Institute estimated that there were 35,730 new cases of MM in the United States and 12,590 deaths from the disease in 2023. Although overall outcomes for patients with MM have improved substantially over the past several decades, patients with MM have a poor prognosis and the predicted median five-year relative survival rate is only 57.9%, according to the National Institute of Health, or NIH. As such, there remains a significant unmet need.</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Most patients with MM will have an initial response to treatment. Based on fluorescence in situ hybridization, or FISH, studies on bone marrow, patients are stratified into high-risk or standard-risk categories. High-risk patients eligible for hematopoietic cell transplantation receive induction therapy with a combination regimen, often including an IKZF1/3 targeting drug like lenalidomide, to reduce the number of tumor cells prior to stem cell collection. Alternatively, patients who are ineligible for hematopoietic cell transplantation immediately receive a combination regimen, often with three to four classes of drugs, including an IKZF1/3 targeting drug and a steroid, typically dexamethasone, until progression or unacceptable toxicity.</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However, despite the various treatment options, most patients will ultimately progress and/or experience serial relapse. In our CFT7455 clinical program, we are initially focusing on patients with relapsed or refractory MM who have received at least three lines of specified prior therapy, including lenalidomide, pomalidomide, proteasome inhibitors and an anti-CD38 monoclonal antibody, or mAb. We believe that the dose escalation data from the ongoing CFT7455 Phase 1/2 trial has the potential to demonstrate that CFT7455 can have a meaningful benefit for patients.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Peripheral T-cell Lymphomas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PTCLs are a heterogeneous and typically aggressive group of NHLs. The Surveillance, Epidemiology and End Results Program or SEER Program, of the NIH estimated that there were 80,540 new cases of NHL in the United States and 20,180 deaths from the disease in 2023. PTCLs comprise approximately 5 to 15% of all NHL diagnoses in the United States and Europe. The five-year overall survival of patients with PTCL is 30-50%.</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PTCL is a heterogeneous malignancy with many subtypes and while the outcomes in these subtypes vary, many patients with PTCL do poorly. For example, in patients with PTCL in whom no subtype is defined, which is often referred to as PTCL not otherwise specified or PTCL-NOS, the five-year overall survival is approximately 20% to 32%. Further, patients with angioimmunoblastic, natural killer/T-cell lymphoma, adult T-cell leukemia/lymphoma, hepatosplenic, enteropathy type or ALK-peripheral T-cell lymphoma all have a median five-year overall survival of less than 50%. Although initial overall response rates for chemotherapy are approximately 40% to 75%, most patients ultimately relapse. Median progression free survival, or PFS, following chemotherapy is 12 to 14 months, with a median five-year survival rate of approximately 20% to 30%. Lenalidomide has been evaluated in PTCL in a Phase 2 clinical trial and shown to have an overall response rate of 22% to 26%. However, Cereblon modulators such as lenalidomide are not widely used nor approved for treating PTCL. Based on our preclinical data, we believe CFT7455 has the potential to create a meaningful benefit for these patients and become an established standard of care for these patients, if approved.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Mantle Cell Lymphoma</w:t>
      </w:r>
    </w:p>
    <w:p>
      <w:pPr>
        <w:spacing w:after="0" w:line="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MCL is one of the mature B-cell NHLs and comprises approximately 5% of all NHL diagnoses, according to the American Cancer Society. There is an annual incidence of one case per 200,00 people per year according to the NIH. Median overall survival for patients receiving standard therapies is four to five years. Outside of agents being tested in clinical trials, front-line treatment options typically include some combination of conventional chemoimmunotherapy, rituximab, and radiation therapy. Most patients with MCL experience serial relapse and are treated with various agents, including IKFZ1/3-targeting drugs, BTK inhibitors, or the BCL-2 inhibitor venetoclax. Lenalidomide is approved for use in patients with MCL whose disease has relapsed or progressed after two prior therapies, one of which included bortezomib, based in part on an observed overall response rate of approximately 26%. However, lenalidomide is not widely used to treat MCL. Accordingly, we believe that CFT7455 has the potential to meaningfully improve outcomes and become an established standard of care for these patients, if approved.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CFT1946: Degrading BRAF V600X to Treat Melanoma, Colorectal, and Non-small Cell Lung Cancers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developing CFT1946, an orally bioavailable degrader of BRAF V600X. We selected BRAF V600X as a target due to its strong mechanistic rationale, well-defined biology, and unmet need. In the United States, BRAF mutations occur in approximately 5% of all cancers, which translates to approximately 100,000 patients diagnosed with BRAF mutated cancers annually. Approximately 70-90% of all BRAF mutations are substituting V600 for another amino acid. We plan to initially pursue development of CFT1946 in three types of cancers: melanoma, in which BRAF V600X mutations occur in approximately 35% of late-stage patients; colorectal, in which BRAF V600X mutations occur in approximately 5 to 10% of patients; and NSCLC, in which BRAF V600X mutations occur in approximately 1-2% of patients. In patients, there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remains a high unmet need for those who relapse after, or do not respond to, approved BRAF inhibitors. We are evaluating CFT1946 in a variety of BRAF V600X solid tumors, including melanoma, CRC, and NSCLC, where current standard of care BRAF inhibitor for these specific indications are dabrafenib with trametinib for melanoma in the first-line setting with a progression-free survival, or PFS, of 11.4 months, encorafenib with cetuximab for CRC in the second-line letting with a PFS of 4.2 months, and dabrafenib with trametinib for NSCLC in the second-line setting with a PFS of 15.2 months. We believe that a mutant-specific BRAF V600X degrader could offer a significant mechanistic benefit over currently available BRAF inhibitors and could have the potential to confer significant improvements in clinical outcomes.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First-in-Human Phase 1/2 Clinical Trial</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January 2023, we initiated a first-in-human Phase 1/2 clinical trial for CFT1946 and we continue to enroll patients in this ongoing clinical trial. The Phase 1/2 clinical trial will primarily investigate safety, tolerability, and anti-tumor activity, with secondary and exploratory objectives to characterize the PK and PD profile of CFT1946. The initial arm of the Phase 1 portion of the study will evaluate CFT1946 as a single agent in patients with BRAF V600X solid tumors including CRC, melanoma, and NSCLC after prior BRAF inhibitor treatment. As the Phase 1 trial progresses, we may add an additional arm to evaluate CFT1946 in combination with trametinib in patients with BRAF V600X melanoma and NSCLC after prior BRAF inhibitor treatment and we may also add another additional arm to evaluate CFT1946 in combination with cetuximab for BRAF V600X CRC after prior BRAF inhibitor treatment.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BRAF V600X is a Common and Well Understood Oncogenic Mutation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BRAF is one of several protein kinases involved in a signaling cascade to initiate cell proliferation, known as the mitogen-activated protein kinase, or MAPK, pathway. The MAPK pathway conducts extracellular proliferative signals to the nucleus of cells, signaling them to proliferate. Many cancers are characterized by activating mutations in components of this MAPK pathway, including BRAF V600X mutations, which confer constitutive activation of the MAPK pathway and promote oncogenic transformation and can cause tumor growth.</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Single base substitutions for the amino acid valine at codon 600 in the BRAF gene, referred to as V600X, are known as Class I mutations and, when those V600X mutations result in substitution of glutamic acid for valine (the most common such mutation), they are referred to as V600E mutations.</w:t>
      </w:r>
    </w:p>
    <w:p>
      <w:pPr>
        <w:spacing w:after="0" w:line="1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BRAF V600X mutants activate the MAPK pathway constitutively, meaning that cell proliferation is activated without receiving the extracellular proliferative signals necessary to activate the pathway normally. Constitutive activation occurs because BRAF V600X mutants are able to signal as a single protein, or a monomer, while wild-type RAF proteins including BRAF and CRAF must form a complex of two proteins, or a dimer, before downstream signaling can occur. This constitutive activation leads to overactivation of the MAPK cell proliferation pathway, causing oncogenic cell proliferation and tumor growth. Approved small molecule inhibitors of BRAF V600E—vemurafenib, dabrafenib, and encorafenib—block the constitutive activation of the MAPK pathway by the mutant BRAF monomer. However, inhibition of BRAF with these molecules inevitably results in emergence of various resistance mechanisms. Unlike other MAPK pathway targets, the resistance is not due to a mutation in the ATP binding pocket. Rather, first generation inhibitors are vulnerable to mechanisms of resistance that promote formation of dimers between BRAF V600X and other RAF partners that may include BRAF V600X itself, wild-type BRAF or wild-type CRAF. This is because these inhibitors are subject to a phenomenon known as paradoxical activation where, in the context of RAF dimers, the drug is unable to inhibit both RAF proteins simultaneously. Thus, the inhibited form of BRAF V600X can contribute to the activation of the non-drug bound RAF partner in cellular contexts that promote RAF dimer formation. Below are four ways in which tumor cells exploit this vulnerability to generate resistance in the presence of first generation BRAF inhibitors.</w:t>
      </w:r>
    </w:p>
    <w:p>
      <w:pPr>
        <w:spacing w:after="0" w:line="253" w:lineRule="exact"/>
        <w:rPr>
          <w:sz w:val="20"/>
          <w:szCs w:val="20"/>
          <w:color w:val="auto"/>
        </w:rPr>
      </w:pPr>
    </w:p>
    <w:p>
      <w:pPr>
        <w:ind w:left="520" w:right="20" w:hanging="260"/>
        <w:spacing w:after="0" w:line="27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Increased RTK activity: </w:t>
      </w:r>
      <w:r>
        <w:rPr>
          <w:rFonts w:ascii="Times New Roman" w:cs="Times New Roman" w:eastAsia="Times New Roman" w:hAnsi="Times New Roman"/>
          <w:sz w:val="14"/>
          <w:szCs w:val="14"/>
          <w:color w:val="auto"/>
        </w:rPr>
        <w:t>Enhanced RTK signaling can activate RAS, which can then promote the formation of dimers between drug-bound BRAF V600X and wild-type RAF protein.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only BRAF V600X is occupied by the inhibitor, the wild-type RAF partner is simultaneously activated by dimer formation and up regulates the MAPK pathway.</w:t>
      </w:r>
    </w:p>
    <w:p>
      <w:pPr>
        <w:spacing w:after="0" w:line="35" w:lineRule="exact"/>
        <w:rPr>
          <w:rFonts w:ascii="Times New Roman" w:cs="Times New Roman" w:eastAsia="Times New Roman" w:hAnsi="Times New Roman"/>
          <w:sz w:val="14"/>
          <w:szCs w:val="14"/>
          <w:color w:val="auto"/>
        </w:rPr>
      </w:pPr>
    </w:p>
    <w:p>
      <w:pPr>
        <w:ind w:left="520" w:right="280" w:hanging="260"/>
        <w:spacing w:after="0" w:line="27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Activating RAS mutants: </w:t>
      </w:r>
      <w:r>
        <w:rPr>
          <w:rFonts w:ascii="Times New Roman" w:cs="Times New Roman" w:eastAsia="Times New Roman" w:hAnsi="Times New Roman"/>
          <w:sz w:val="14"/>
          <w:szCs w:val="14"/>
          <w:color w:val="auto"/>
        </w:rPr>
        <w:t>Mutations in RAS can activate its ability to promote the formation of dimers between drug-bound BRAF V600X and wild-type RAF protein in the absence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upstream RTK signaling. This leads to up regulation of MAPK activity by the non-inhibitor bound wild-type RAF partner as described above.</w:t>
      </w:r>
    </w:p>
    <w:p>
      <w:pPr>
        <w:spacing w:after="0" w:line="35" w:lineRule="exact"/>
        <w:rPr>
          <w:rFonts w:ascii="Times New Roman" w:cs="Times New Roman" w:eastAsia="Times New Roman" w:hAnsi="Times New Roman"/>
          <w:sz w:val="14"/>
          <w:szCs w:val="14"/>
          <w:color w:val="auto"/>
        </w:rPr>
      </w:pPr>
    </w:p>
    <w:p>
      <w:pPr>
        <w:ind w:left="520" w:right="60" w:hanging="260"/>
        <w:spacing w:after="0" w:line="255"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BRAF V600X splice variant: </w:t>
      </w:r>
      <w:r>
        <w:rPr>
          <w:rFonts w:ascii="Times New Roman" w:cs="Times New Roman" w:eastAsia="Times New Roman" w:hAnsi="Times New Roman"/>
          <w:sz w:val="14"/>
          <w:szCs w:val="14"/>
          <w:color w:val="auto"/>
        </w:rPr>
        <w:t>Conferred by alternative splicing via generation of BRAF V600X isoforms lacking the RAS binding domain, or RBD, encoded by exons 3–5. In the absence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RBD, these BRAF isoforms dimerize even in the presence of low levels of RAS activity, Once BRAF V600X dimers form, the inhibitor is only able to block one of the BRAF V600X partners leaving the other unoccupied BRAF V600X partner activated and free to up regulate MAPK activity.</w:t>
      </w:r>
    </w:p>
    <w:p>
      <w:pPr>
        <w:spacing w:after="0" w:line="49" w:lineRule="exact"/>
        <w:rPr>
          <w:rFonts w:ascii="Times New Roman" w:cs="Times New Roman" w:eastAsia="Times New Roman" w:hAnsi="Times New Roman"/>
          <w:sz w:val="14"/>
          <w:szCs w:val="14"/>
          <w:color w:val="auto"/>
        </w:rPr>
      </w:pPr>
    </w:p>
    <w:p>
      <w:pPr>
        <w:ind w:left="520" w:right="100" w:hanging="260"/>
        <w:spacing w:after="0" w:line="27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BRAF V600X amplification: </w:t>
      </w:r>
      <w:r>
        <w:rPr>
          <w:rFonts w:ascii="Times New Roman" w:cs="Times New Roman" w:eastAsia="Times New Roman" w:hAnsi="Times New Roman"/>
          <w:sz w:val="14"/>
          <w:szCs w:val="14"/>
          <w:color w:val="auto"/>
        </w:rPr>
        <w:t>Genetic alterations can lead to many additional copies of the BRAF V600X gene – a phenomenon known as gene amplification. This in turn leads to elevated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BRAF V600X protein concentrations.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520" w:right="560"/>
        <w:spacing w:after="0" w:line="271" w:lineRule="auto"/>
        <w:rPr>
          <w:sz w:val="20"/>
          <w:szCs w:val="20"/>
          <w:color w:val="auto"/>
        </w:rPr>
      </w:pPr>
      <w:r>
        <w:rPr>
          <w:rFonts w:ascii="Times New Roman" w:cs="Times New Roman" w:eastAsia="Times New Roman" w:hAnsi="Times New Roman"/>
          <w:sz w:val="14"/>
          <w:szCs w:val="14"/>
          <w:color w:val="auto"/>
        </w:rPr>
        <w:t>At high concentrations, BRAF V600X proteins will form dimers without the need for upstream RTK or RAS activation. Once again, the inability of the first-generation inhibitors to simultaneously bind and inhibit both BRAF V600X partners leaves the unoccupied BRAF V600X dimer partner activated and free to up regulate MAPK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229870</wp:posOffset>
            </wp:positionV>
            <wp:extent cx="2135505" cy="1873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5505"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4"/>
          <w:szCs w:val="14"/>
          <w:color w:val="auto"/>
        </w:rPr>
        <w:t>We believe that targeted protein degradation of BRAF V600X mutations offers the potential for a fundamental improvement over current BRAF inhibitors due to the advantages of degraders over inhibitors in general, because degrading mutant BRAF removes the possibility of incorporation into the various BRAF dimer-based resistance mechanisms that result in paradoxical activation of the MAPK pathway. As a result, CFT1946 has the potential to overcome the resistance mechanisms that vary by indication. For melanoma and NSCLC, acquired resistance occurs where, despite inhibition of the BRAF V600X monomer, there still is activation through the MAPK pathway as described above. In CRC, there is the added complication that inhibition of MAPK signaling leads to activation of EGFR as an intrinsic resistance mechanism, which is why the standard of care therapeutics approaches include a combination of a BRAF inhibitor and an anti-EGFR antibody such as cetuximab.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Melanoma</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According to the National Cancer Institute, approximately 97,610 patients were diagnosed with melanoma in the United States in 2023 and approximately 5% of those cases, or about 4,800 patients per year, will have metastatic disease. Moreover, approximately 35% of late-stage melanoma patients carry BRAF V600X mutations, approximately 90% of which are BRAF V600E mutations.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recommended first-line treatment for patients with BRAF V600X mutated unresectable or metastatic melanoma is anti-PD-1 monotherapy, such as pembrolizumab or nivolumab, or combination therapy with a BRAF inhibitor, such as dabrafenib, vemurafenib or encorafenib, and a MEK inhibitor, such as as trametinib, cobimetinib or binimetinib. However, a significant number of patients undergoing this combination therapy do not sufficiently respond or do not have a durable response as resistance to the therapy occurs.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current standard of care treatment for patients with BRAF V600E/K melanoma is treatment with a BRAF and MEK inhibitor combination, dabrafenib and trametinib, and the median PFS for this regimen is approximately 11.4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Colorectal Cancer</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the National Cancer Institute, approximately 153,020 patients in the United States were diagnosed with colorectal cancer in 2023. Of these patients, approximately 20%, or about 30,000 patients, were diagnosed with metastatic disease and approximately 25%, or about 37,000 patients, were diagnosed with local disease that will recur with metastases. There are about 5 to 10% of CRC patients with BRAF V600E, or about 11,000 CRC BRAF V600E cases that occur annually.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Patients with BRAF V600E mutations who have progressed on prior therapy may receive a combination therapy of encorafenib and cetuximab, both of which are inhibitor therapies. However, this regimen has limited efficacy and a median PFS of approximately 4.2 months.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Non-Small Cell Lung Cancer</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According to the National Cancer Institute, approximately 238,340 patients in the United States were diagnosed with NSCLC in 2023 and, of these patients, approximately 53%, or 126,320 patients, were diagnosed with metastatic disease with high recurrence rates of locally diagnosed tumors. Approximately 1-2% of NSCLC patients have a BRAF V600X mutation.</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Newly diagnosed NSCLC patients with a BRAF V600E mutation typically have a median PFS of 15.2 months when treated in the front-line with dabrafenib and trametinib. Patients previously treated with chemotherapy or other targeted agents before receiving dabrafenib and trametinib experience a median PFS of only around 9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Development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preclinical studies, we have shown CFT1946 is more efficacious than the standard of care for BRAF V600X CRC, NSCLC, and melanoma. As shown in the images below, in the HT-29 CRC cell line xenograft model, CFT1946 as a monotherapy, as well as in combination with cetuximab, shows enhanced responses over cetuximab monotherapy, encorafenib monotherapy, and encorafenib combined with cetuximab. In a NSCLC PDX xenograft model, CFT1946 as a monotherapy shows enhanced responses to dabrafenib combined with trametinib. Additionally, CFT1946 combined with trametinib shows deep tumor regression compared to dabrafenib plus trametinib in a melanoma PDX BRAF inhibitor resistance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44450</wp:posOffset>
            </wp:positionV>
            <wp:extent cx="4352290" cy="1549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52290"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A375 BRAF V600E melanoma model, we have observed that CFT1946 showed a dose-dependent reduction in tumor growth and demonstrated tumor regression at the minimum efficacious dose of 10 mg/kg administered orally twice daily. Further, CFT1946 at doses starting at 2mg/kg (administered orally and twice daily) all demonstrated superior activity to encorafenib, an FDA approved BRAF V600E inhibitor. Additionally, there were no adverse effects (assessed by significant loss of body weight) observed in the xenograft study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41910</wp:posOffset>
            </wp:positionV>
            <wp:extent cx="3031490" cy="1819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31490"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also demonstrated that CFT1946 is active in a preclinical metastatic melanoma central nervous system, or CNS, model. Further, CFT1946 prolongs survival and reduces CNS burden when compared to encorafenib.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392930" cy="1468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9293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CFT8919: Potent, Oral, Allosteric, Mutant-selective Degrader of EGFR L858R</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developing CFT8919, an orally bioavailable allosteric degrader of EGFR L858R for the treatment of NSCLC. We have chosen to target EGFR because of its well-defined biology and the limitations that EGFR kinase inhibitors face that we believe our degrader approach may be able to overcome. Our initial target population is patients with EGFR L858R driven NSCLC who have progressed after treatment with approved EGFR inhibitors, including osimertinib. We believe CFT8919 has the potential to overcome resistance to standard of care EGFR inhibitors to effect deeper and more durable responses due to the unique advantages of protein degradation. In May 2023, we entered into an exclusive licensing and collaboration agreement with Betta Pharma for the development and commercialization of CFT8919 in Greater China, including mainland China, Hong Kong SAR, Macau SAR and Taiwan. We believe this partnership will enable us to expedite the overall development of CFT8919 in patients with EGFR-driven resistance mutations due to a high prevalence of EGFR L858R driven NSCLC in Greater China, maximizing the number of patients who can potentially benefit from CFT8919. As a result, the Phase 1 clinical study will be conducted by Betta Pharma in Greater China. We do not intend to initiate clinical studies outside of Greater China until after Betta Pharma has generated results from the Phase 1 trial. We retain all rights to develop and commercialize CFT8919 outside of Greater China.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EGFR is a Well-Characterized Protein Target for Oncology with Known Resistance Mechanisms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EGFR is a receptor tyrosine kinase that is involved in cell signaling pathways that control cell division and survival. Mutations in the EGFR gene cause the EGFR protein to signal aberrantly in some types of cancer cells, including a subset of patients with NSCLC. Of the known EGFR tyrosine kinase domain mutations, approximately 90% occur as deletions in exon 19 or as point mutations in exon 21, the latter resulting in arginine replacing leucine at codon 858 (L858R). The L858R activating mutation in exon 21 accounts for approximately 25-45% of EGFR-mutant NSCLC. EGFR tyrosine kinase inhibitors, or TKIs, have been developed and provide significant clinical benefit. However, patients ultimately develop resistance, often by acquisition of a secondary resistance mutation in EGFR. T790M is the most prevalent resistance mutation after first- and second-generation EGFR TKIs including gefitinib, erlotinib, afatinib, and dacomitinib. A third-generation covalent EGFR inhibitor, osimertinib, can overcome this resistance mechanism and is now approved in the first-line setting, but acquired resistance remains an issue. Patients who progress after osimertinib lack effective treatment options and the EGFR C797S mutation is the most common on-target resistance mechanism.</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CFT8919 is a mutant-selective degrader targeting EGFR L858R, which remains active in the setting of resistant secondary mutations (T790M and/or C797S). We believe there may be an opportunity for CFT8919 as a component of first-line therapy, where we hope to achieve deeper and more durable responses due to the advantages of a degrader over a standard protein inhibitor. Further, since 30-40% of mutant EGFR NSCLC patients develop brain metastases, penetration of the central nervous system sufficient to drive therapeutic effect in this compartment was a key factor in our selection of CFT8919 as our development candidate.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Non-Small-Cell Lung Cancer</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According to the National Cancer Institute, approximately 238,340 patients in the United States were diagnosed with NSCLC in 2023 and between 10 and 15% of these patients have mutant EGFR, or mEGFR. The EGFR mutation is particularly common in NSCLC patients of Asian heritage. In China, where approximately 693,000 patients are diagnosed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NSCLC annually, approximately 50% of diagnoses are driven by the EGFR mutation. Furthermore, 30 to 40% of patients with EGFR mutations develop brain metastases.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EGFR L858R mutation is the second most common activating EGFR mutation, found in approximately 40 percent of EGFR diagnoses in the United States and China. When treated with standard of care EGFR inhibitors, patients with EGFR L858R mutations have worse outcomes with therapy compared to patients who exhibit an exon19 deletion. When using osimertinib in the front-line setting in patients with EGFR L858R, the median PFS is 14.4 months compared to 21.4 months for patients with an exon19 deletion. The most EGFR-mediated resistance mechanism to osimertinib in this patient population is the C797S mutation. This shorter median PFS rate and resistance demonstrates the unmet medical need for the L858R patient population.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Development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conducted preclinical experiments to characterize the activity profile of our EGFR degraders and demonstrated that CFT8919 is a potent and highly selective orally bioavailable degrader of EGFR L858R with broad coverage of on-target resistance mutations as well as intracranial activity.</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human cancer cell lines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we have observed that CFT8919 induced potent degradation of EGFR L858R at low nanomolar concentrations while no degradation of wild type is induced up to 10 µM. Importantly, CFT8919 retained its activity in the presence of secondary resistance mutations such as T790M and T790M-C797S. This is reflected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33020</wp:posOffset>
            </wp:positionV>
            <wp:extent cx="1684020" cy="1819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84020"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Further, we have evaluated CFT8919 against a broad panel of EGFR resistance mutations in Ba/F3 cell models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Cellular growth inhibition potency, GI50, was determined by measuring the effect of various concentrations on the proliferation of Ba/F3 cells transformed by various EGFR mutations over 72 hours. As depicted in the table below, CFT8919 demonstrated equipotent anti-proliferation activity against a large panel of EGFR secondary mutations that cause acquired resistance to the approved EGFR inhibitors such as osimertinib and erlotinib, compared to L858R single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44450</wp:posOffset>
            </wp:positionV>
            <wp:extent cx="2021205" cy="1347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1205" cy="134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Kinome profiling and global proteomics evaluation were conducted to evaluate binding and degradation selectivity of CFT8919, and no significant off-target activity of CFT8919 was identified. Kinome selectivity was determined using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DiscoveryX KINOMEscan assay testing 468 kinases, as shown below in the graph on the left. No wild type kinases showed binding at the 50% cutoff when CFT8919 tested at a single concentration of 100nM. The only kinases that CFT8919 exhibited significant binding were the on-target exon21 EGFR activating mutants, L858R, and L861Q. In addition, we have evaluated proteome-wide degradation selectivity by utilizing mass spectrometry to quantify cellular protein levels following 6 hours of 300 nM CFT8919 treatment in A431 EGFR-WT and H1975 EGFR-L858R-T790M cell lines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As depicted below in the table on the right, measurement of over 8000 proteins showed that EGFR-L858R-T790M and CCND1 are the only proteins with &gt;50% protein level decrease induced by CFT8919 treatment, demonstrating its highly selective degradation profile. We believe that CCND1 protein loss was induced by the biological effect of EGFR suppression rather than direct degradation since this change was also observed in osimertinib EGFR inhibitor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48260</wp:posOffset>
            </wp:positionV>
            <wp:extent cx="4042410" cy="1246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2410" cy="124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i w:val="1"/>
          <w:iCs w:val="1"/>
          <w:color w:val="auto"/>
        </w:rPr>
        <w:t xml:space="preserve">In vivo </w:t>
      </w:r>
      <w:r>
        <w:rPr>
          <w:rFonts w:ascii="Times New Roman" w:cs="Times New Roman" w:eastAsia="Times New Roman" w:hAnsi="Times New Roman"/>
          <w:sz w:val="14"/>
          <w:szCs w:val="14"/>
          <w:color w:val="auto"/>
        </w:rPr>
        <w:t>activity of CFT8919 was assessed in H1975 EGFR-L858R-T790M xenograft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generation TKI resistant) and BaF3 EGFR-L858R-T790M-C797S (osimertinib resistant) allograft models.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H1975 xenograft model, twice daily (BID) oral administration of CFT8919 demonstrated dose-dependent activity, with tumor regression observed at doses as low as 10 mg/kg. Regression of Ba/F3 EGFR-L858R-T790M-C797S allograft tumors were achieved with CFT8919 dosed BID &gt; 25 mg/kg, while osimertinib was inactive as expected. All doses were well tolerated, indicated by no significant body weight loss. This is reflected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54610</wp:posOffset>
            </wp:positionV>
            <wp:extent cx="3166745" cy="2357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6674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Intracranial activity of CFT8919 was evaluated in the H1975-LUC brain metastasis model. Female BALB/c nude mice were inoculated by intracarotid artery injection with H1975 (EGFR L858R-T790M) luciferase expressing cells. Bioluminescence imaging, or BLI, was conducted to follow the tumor growth in brain. As shown in the graphic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CFT8919 demonstrated rapid and significant reductions in tumor burden with minimal weight loss after oral dosing, indicating its potential to be active in the central nervous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68580</wp:posOffset>
            </wp:positionV>
            <wp:extent cx="3234055" cy="1819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4055"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Other Discovery Programs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the programs discussed above, we are also progressing various other discovery-stage pipeline programs. In line with our strategy, we assess on a target-by-target basis whether the degraders we might develop would provide a compelling and differentiated approach over standard of care or other approaches to the same disease and are consistent with our focus on minimizing biology and toxicity risk, and focusing on high unmet medical need, including rare diseases. These early-stage discovery programs include compounds that have already shown the ability to cross the blood-brain barrier in preclinical models, where appropriate. Our discovery programs are a combination of internal programs, over which we have full control and ownership, and programs in collaboration with our partners.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Collaborations and License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Merck License and Collaboration Agreement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December, 2023, we entered into a license and collaboration agreement with Merck, or the Merck License Agreement, to collaborate on the development and commercialization of degrader-antibody conjugates, or DACs, an emerging modality designed to selectively target and neutralize disease-causing proteins in cancer cells. Pursuant to the terms of the License Agreement, we granted Merck a worldwide, exclusive license under certain of our intellectual property rights to develop, manufacture and commercialize DACs directed to an initial undisclosed oncology target. Merck is responsible for all development, regulatory approval, manufacturing and commercialization costs. Under the terms of the Merck License Agreement, Merck has made an upfront cash payment of $10.0 million. For DACs directed to the initial target, we are eligible to receive milestone payments totaling approximately $600 million in aggregate, plus tiered royalties on net sales. In addition, as part of the collaboration, we granted Merck options to obtain worldwide, exclusive licenses under certain of our intellectual property rights to develop, manufacture and commercialize DACs directed to three additional targets, each subject to payment of an option exercise price. If Merck exercises these options, these additional programs would also provide for additional potential milestones and royalties for the duration of the royalty term as detailed in the Merck License Agreement. If Merck exercises all of its options to extend the collaboration, we would be eligible to receive up to approximately $2.5 billion in potential payments across the entire collaboration.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Betta Pharma License and Collaboration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2023, we entered into a license and collaboration agreement with Betta Pharma, or the Betta Pharma License Agreement, to collaborate on the development and commercialization of CFT8919, an orally bioavailable BiDAC degrader that is designed to be potent and selective against EGFR bearing an oncogenic L858R mutation, in Greater China, comprised of mainland China, Hong Kong SAR, Macau SAR and Taiwan, with us retaining rights to develop and commercialize CFT8919 in the rest of the world.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terms of the Betta Pharma License Agreement, we granted Betta Pharma an exclusive license under certain of our intellectual property rights to develop, manufacture and commercialize CFT8919 for all uses in humans in Greater China. Betta Pharma is responsible for all development, regulatory approval, manufacturing and commercialization costs in Greater China except where Betta Pharma acts as our agent in Greater China in connection with a global trial sponsored by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us. As part of the collaboration, Betta Pharma has made an upfront cash payment of $10.0 million and we are eligible to receive up to $357.0 million in aggregate milestone payments, plus tiered royalties on net sales of CFT8919 in Greater China. Royalties payable from Betta Pharma to us range from low to mid double-digit percent, subject to certain reductions under certain circumstances as described in the Betta Pharma License Agreement. In addition, as part of the collaboration, we have agreed to make milestone payments to Betta Pharma of up to $40 million following our receipt of approval of a New Drug Application for CFT8919 from the U.S. Food and Drug Administration, with the milestone amount based on the percentage of patients in contemplated clinical trials that were enrolled by Betta Pharma and the line of therapy of the approval. In addition, we have agreed to pay Betta Pharma tiered royalties on net sales of CFT8919 in our territory, which is the rest of the world excluding Greater China, in the low single digit percent range, subject to certain reductions under certain circumstances as described in the Betta Pharma License Agreement. The royalty term for all contemplated royalties under the Betta Pharma License Agreement shall terminate on a product-by-product and country-by-country basis on the latest of (i) the twelve (12) year anniversary of the first commercial sale of such product in such country, (ii) the expiration of any regulatory exclusivity period that covers such product in such country, and (iii) the expiration of the last-to-expire licensed patent that covers such product in such country. Further, in January 2024, an affiliate of Betta Pharma purchased shares of our common for $25.0 million as described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Biogen Collaborative Research and License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2018, we entered into a collaborative research and license agreement, or the Biogen Agreement, with Biogen, whereby we agreed to collaborate with Biogen and use our proprietary protein degrader platform to research, develop, and identify small molecule protein degraders. In February 2020, we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 Biogen licenses to us rights to use these Biogen target binding moieties and any related intellectual property as needed in order to conduct the research and development activities contemplated under the Biogen Agreement.</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Biogen Agreement, we granted Biogen an exclusive license under our intellectual property, with the right to sublicense through multiple tiers, (a) for the purpose of performing candidate development activities in accordance with research and development plans agreed upon by the parties and (b) for the purpose of exploiting all degraders and products for any use in the world.</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terms of the Biogen Agreement, we are responsible for conducting research and development activities for a number of targets selected by Biogen in accordance with a target selection and replacement procedure set forth in the agreement. We are required to provide all resources necessary to perform candidate development activities, perform those activities with reasonable care and skill and in accordance with applicable law and the Biogen Agreement and use diligent efforts to complete the activities as set forth in the applicable development plan and deliver to Biogen a certain number of degraders directed to each target that meet a range of pre-defined criteria. We and Biogen are also responsible for research activities designed to inform Biogen’s target selection process, for which Biogen will pay for its own costs and will reimburse our costs up to a certain amount. The research term under the Biogen Agreement ended in June 2023.</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Biogen’s commencement of the IND-enabling study for a degrader directed towards each target selected by Biogen, Biogen is responsible for, and agrees to use commercially reasonable efforts to carry out, all further development, regulatory affairs, manufacturing, and commercialization for at least one product directed against each such target in certain territories.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Upon execution of the Biogen Agreement, Biogen paid us an upfront payment of $45.0 million as prepayment for candidate development activities. Upon Biogen’s receipt of degraders directed to each target that satisfy pre-defined criteria, we are eligible to receive payments ranging from $2.0 million to $5.0 million per target. Upon Biogen’s commencement of the first IND-enabling study for a development candidate directed towards each target, Biogen is required to pay us $8.0 million. For each target, Biogen is required to pay us (a) development and commercialization milestone payments totaling up to $35.0 million and (b) sales milestone payments totaling up to $26.0 million for the achievement of certain amounts of net sales of all products directed to such target, each subject to certain reductions. The total development, commercialization, and sales milestone payments will increase if Biogen extends the collaboration term and elects additional targets. In addition, Biogen is required to pay us royalties on a product-by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product and country-by-country basis on the net sales of each product, at percentages in the mid-single digits, subject to certain reductions.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Unless earlier terminated, the Biogen Agreement expires on the date of the last product-by-product and country-by-country basis upon the expiration of the last-to-expire valid claim of a patent right covering the composition of matter of method of use in the approved label of the applicable product in the applicable country. We and Biogen each may terminate the Biogen Agreement (a) with respect to one or more development candidates, products or collaboration targets or, only in the case of Biogen, the entire agreement, for the other party’s uncured material breach of its obligations and (b) in its entirety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the other party’s bankruptcy, insolvency or similar proceedings. Biogen may also terminate the Biogen Agreement in its entirety or with respect to one or more development candidates, products or collaboration targets for convenience.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Amended and Restated License Agreement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March 2016, we entered into a license agreement with Roche, which has since been amended several times, including in in June 2016, March 2017, and December 2018. We refer to this amended and restated agreement as the Roche Agreement. Under the Roche Agreement, we agreed to collaborate with Roche in the research, development, manufacture, and commercialization of target-binding degrader medicines using our proprietary TORPEDO platform for the treatment of cancers and other indications. Under the terms of the Roche Agreement, we are responsible for conducting preclinical research and development activities for a number of targets selected by Roche in accordance with a target selection and replacement procedure set forth in the agreement. We are also responsible for conducting Phase 1 clinical trials for products directed to certain targets and for manufacturing activities in connection with the applicable research plans, subject to Roche’s right to assume manufacturing responsibilities at pre-defined times. We and Roche each share in the costs of these research activities.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Roche Agreement, we granted Roche an exclusive option to obtain an exclusive, worldwide license, with the right to sublicense through multiple tiers to develop and commercialize products directed at each target that is subject to the collaboration. Upon the exercise of its option for a particular target, Roche is responsible for the manufacture, development, and commercialization of products directed to that target, at its sole expense. However, we have the option to co-develop products directed to certain targets, in which case we would be responsible for a portion of the development costs associated with such co-developed products and eligible to receive increased royalties on sales of such co-developed products. We also have an option to co-detail products for which we have exercised our co-development option. If we exercise our co-detail option, we will be responsible for a portion of the co-detailing costs. We generally have the right to opt out of these co-development and co-detailing activities.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2020, we signed a further amendment to the Roche Agreement that provides a mechanism through which we and Roche can mutually agree to terminate the Roche Agreement on a target-by-target basis by the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us. Further, this amendment states that, following the entry into a mutual target termination agreement, Roche will have rights in and responsibility for any know-how and intellectual property generated as a result of the collaboration that fits within the Roche Field, and we will have rights in and responsibility for any know-how and intellectual property generated as a result of the collaboration that fits within the C4T Field. In support of this allocation of rights, under the amendment, Roche provided us, and we provided Roche, with a perpetual, irrevocable, fully paid up, exclusive (even as to party granting the license), sublicensable (including in multiple tiers) license to the patents that are allocated to a party under the mutual target termination agreement and a perpetual, irrevocable fully paid up, non-exclusive, sublicensable (including in multiple tiers) license to the know-how that is allocable to a party under the mutual termination agreement.</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November 2020, through the entry into this amendment, we and Roche mutually agreed to terminate the Roche Agreement as to the target EGFR. Further, in November 2021, July 2022, and December 2023, we and Roche mutually agreed to terminate the Roche Agreement as to BRAF as well as two additional undisclosed targets. As a result, Roche is now free to pursue these targets in the Roche Field and we are free to pursue these targets in the C4T Field, and all rights in and responsibility for know-how and intellectual property related to these targets in the Roche Field reverted to the Roche parties, and all rights in and responsibility for know-how and intellectual property related to these targets in the C4T Field reverted to us, with Roche assigning the patents in the C4T Field to us. In September 2023, Roche designated a new undisclosed target to be added to the collaboration pursuant to the Roche Agreement. As a result of these efforts, two targets currently remain as part of this collaboration. In December 2023, we and Roche mutually agreed to further amend the Roche Agreement to adjust the timing of Roche's option rights to the remaining two targets to begin upon Roche's receipt of the dose range finding data package.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Upon signing the Roche Agreement, we received upfront consideration of $40.0 million from Roche. In addition, we receive annual research funding from Roche for each active research plan and we are eligible to receive additional payments upon the achievement of predetermined research and development success criteria with respect to certain targets. Under the Roche Agreement, as amended, if Roche exercises its option right for either of the two remaining targets, Roche is obligated to pay an exercise fee of $8.0 million. For each target option exercised by Roche, we are eligible to receive milestone payments up to $273 million upon the achievement of certain research, development, and commercial milestones with respect to corresponding products, subject to certain reductions and exclusions based on intellectual property coverage. Roche is also required to pay us up to $150 million per target in one-time sales-based milestone payments upon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achievement of specified levels of net sales of a product directed to such target. Finally, we are eligible to receive tiered royalties ranging from mid-single digit to mid-teen percentages on net sales of products sold by Roche pursuant to its exercise of its option rights, subject to certain reductions. For sales of products for which we exercise our co-development right, the applicable royalty rates will be increased by a low-single digit percentage.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Unless earlier terminated, the Roche Agreement expires on the date when no royalty or other payment obligations under the Roche Agreement are or will become due. We and Roche each may terminate the Roche Agreement in its entirety or on a target-by-target or product-by-product basis and, in our case, on a country-by-country basis, for the other party’s uncured material breach of its obligations under the Roche Agreement or upon the other party’s bankruptcy, insolvency or similar proceedings. Roche may terminate the Roche Agreement for convenience on a target-by-target, product-by-product or country-by-country basis. In the event we are acquired by a competitor of Roche, Roche has the right to require us to terminate our research, development, and co-detailing activities under the Roche Agreement, after which time we would not be eligible to receive payments for such terminated activities.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focus is on the discovery and development of protein degradation therapies using our TORPEDO platform. Other companies developing chimeric small molecules for protein degradation include, without limitation, Arvinas, Inc., BioTheryX, Inc., Captor Therapeutics, Inc., Cullgen Inc., Foghorn Therapeutics, Inc., Frontier Medicines Corporation, Glubio Therapeutics, Inc., Haisco Pharmaceutical Group, Kymera Therapeutics, Inc., Monte Rosa Therapeutics, Inc., Nurix Therapeutics, Inc., Orum Therapeutics, Inc., PhoreMost Ltd., Plexium, Inc., Salarius Pharmaceuticals, Inc., Seed Therapeutics, Inc., SK Life Science Labs, Inc.. (a subsidiary of SK Biopharmaceuticals Co., Ltd.), and Vividion Therapeutics, Inc. (a subsidiary of Bayer AG). Further, several large pharmaceutical companies have disclosed preclinical investments in this field including Amgen, Astellas Pharma Inc.,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lead product candidates target oncologic indications. The most common methods of treating patients in oncologic indications are surgery, radiation, and drug therapy, including chemotherapy, hormone therapy, cellular therapy, and targeted drug therapy. There are a variety of available drug therapies marketed for cancer. In many cases, these drugs are administered in combination to enhance efficacy. Some of the currently approved drug therapies are branded and subject to patent protection and others are available on a generic basis. Many of these approved drugs are therapies and are widely accepted by physicians, patients, and third-party payors. In general, although there has been considerable progress over the past few decades in the treatment of cancer and the currently marketed therapies provide benefits to many patients, these therapies are all limited to some extent in their efficacy and frequency of adverse events, and none of them are successful in treating all patients. As a result, the level of morbidity and mortality from cancer remains high.</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currently marketed drugs, there are also several product candidates in preclinical development for the treatment of oncologic indications.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any of our product candidates are approved for the indications for which we expect to conduct clinical trials, they will compete with the foregoing therapies and currently marketed drugs, as well any drugs potentially in development. It is also possible that we will face competition from other biologic or pharmaceutical approaches, as well as from other types of therapies.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key competitive factors affecting the success of all our programs, if approved, are likely to be their efficacy, safety, convenience, price, level of generic competition, and availability of reimbursement.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rely on and expect to continue to rely on third-party contract manufacturing organizations, or CMOs, for both drug substance and finished drug product.</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currently obtain our supplies from these manufacturers on a purchase order basis and do not have long-term committed supply arrangements with respect to our product candidates and other materials. Should any of these manufacturers become unavailable to us for any reason, we believe that there are a number of potential replacements, although we may incur some delay in identifying and qualifying such replacements. For additional information, see the section titled “Risk Factors—</w:t>
      </w:r>
      <w:r>
        <w:rPr>
          <w:rFonts w:ascii="Times New Roman" w:cs="Times New Roman" w:eastAsia="Times New Roman" w:hAnsi="Times New Roman"/>
          <w:sz w:val="14"/>
          <w:szCs w:val="14"/>
          <w:i w:val="1"/>
          <w:iCs w:val="1"/>
          <w:color w:val="auto"/>
        </w:rPr>
        <w:t>Risks Related to Dependence on Third Parties—Manufacturing pharmaceutical products 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of our drug candidates are organic compounds of low molecular weight, which are often referred to in the biopharmaceutical community as small molecules, but our BiDAC degraders tend to be larger than traditional small molecule therapeutics. We have selected these compounds not only on the basis of their potential clinical activity and tolerability, but also on their physical properties. Our candidates are manufactured using reliable and reproducible synthetic processes from readily available starting materials and are based on chemistry that is amenable to scale up. We expect to continue to develop drug candidates that can be produced cost effectively at contract manufacturing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Commercialization Plans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not yet established our own commercial organization or distribution capabilities because our product candidates are still in clinical development. We have retained full commercialization rights for all of our programs in development other than those subject to our collaboration agreements. Prior to any of our product candidates receiving marketing approval, at an appropriate time, we will need to develop a plan to commercialize them in the United States and other key markets. We currently anticipate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product candidates advance through our pipeline, our commercial plans may change.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commercial success depends in part upon our ability to secure and maintain patent and other proprietary protection for our protein degradation technologies, including our TORPEDO platform, our solely-owned product candidates, our product candidates co-owned with Roche and know-how related to our business. To protect our core technology and products, we will need to successfully prosecute, defend and, if necessary, enforce our intellectual property rights, including, in particular, our patent rights, preserve the confidentiality of our trade secrets and operate without infringing valid and enforceable intellectual property rights of others. For our product candidates, we generally intend to pursue patent protection covering compositions of matter, pharmaceutical compositions, methods of use, including combination therapies, processes of manufacture and process intermediates, where relevant. We continually assess and refine our intellectual property strategies as we develop new technologies and product candidates. We currently plan to file additional patent applications based on our intellectual property strategies, where appropriate, including where we seek to adapt to competition or to improve our business opportunities.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patent positions for biopharmaceutical companies like us are generally uncertain and can involve complex legal, scientific, and factual issues. Further, the laws governing the protection of intellectual property may change over time due to the issuance of new judicial decisions or the passage of new laws, rules or regulations.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protectable by valid, enforceable patents. We also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exclusivity terms of our patents depend upon the laws of the countries in which they are obtained. In the countries in which we currently file, the patent term is 20 years from the earliest date of filing of a non-provisional patent application. The term of a United States patent may be extended to compensate for the time required to obtain regulatory approval to sell a drug (referred to as a patent term extension) or by delays encountered during patent prosecution that are caused by the United States Patent and Trademark Office (referred to as patent term adjustment). For example, the Hatch-Waxman Act permits a patent term extension for FDA-approved new chemical entity drugs of up to five years beyond the ordinary expiration date of one patent that covers the approved drug or its use.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Patents and Patent Applications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in total, we owned seventeen issued United States patents, more than forty United States patent applications (which include provisional and United States utility applications), seven patent applications filed under the Patent Cooperation Treaty, or PCT, and over two hundred fifty patent applications that are pending in foreign countries.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patent portfolio is generally organized into two categories: platform patent filings designed to cover inventions relating to our proprietary TORPEDO platform and protein target-specific degrader patent filings, each of which categories is described in more detail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TORPEDO Platform Portfolio</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solely own our platform patent estate, which has been designed using our proprietary TORPEDO platform. As of December 31, 2023, our platform patent portfolio included thirteen issued United States patents, eighteen pending United States patent applications, one PCT patent application, and more than seventy-five pending foreign patent applications. This patent portfolio covers a variety of our ligands that bind to the Cereblon E3 ubiquitin ligase, or CRBN, either alone, as part of a MonoDAC molecule, or as part of a BiDAC molecule that includes a protein ligand to a disease-modifying protein target.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Specifically, this platform portfolio consists of nineteen patent families covering the TORPEDO platform with composition of matter claims directed to various classes of CRBN ligands and degraders derived therefrom, as well as claims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associated methods of use, pharmaceutical compositions, and processes of manufacture. Patents in these families, if issued and maintained, will expire between 2037 and 2044, without taking into account potential patent term extensions or adjustments.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Products and Target Portfolio</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patent applications directed to target-specific degraders, including our product candidates, are focused on composition of matter, pharmaceutical composition, method of use, and process of manufacture claims covering novel compounds designed to degrade disease-causing proteins. As of December 31, 2023, we owned four issued United States patents, twenty-four pending United States patent applications, six PCT patent applications, and more than one hundred seventy-five foreign patent applications covering our degraders and product candidates.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Specifically, as of December 31, 2023, we owned four patent families (two United States patents, three United States patent applications, one PCT patent application, and fifty-four foreign patent applications) presenting composition of matter and pharmaceutical composition claims to compounds that cause the degradation of the IKZF1/3 protein target, as well as associated methods of use to treat cancer and processes of manufacture. Three of these patent families include claims directed to compositions of matter generally and specifically covering CFT7455, one of our lead product candidates and associated methods of use, which if issued and maintained through the payment of all required fees, will expire in 2040, 2041, and 2043, respectively, without regard to any possible patent term extensions or adjustments. The fourth patent family covering our IKZF1/3 degraders is directed to a separate genus than that covered in the previous three families and, if granted and maintained through the payment of all required fees, will expire in 2039, without regard to any possible patent term extensions or adjustments.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we owned three patent families (one United States patent, four United States patent applications, one PCT patent application, and twenty-four foreign patent applications) with claims directed to compositions of matter covering our BRD9 degraders, including our CFT8634 product candidate, and associated pharmaceutical compositions, methods of use, and processes of manufacture. United States and foreign patents claiming priority to these patent applications, if granted and maintained through the payment of all required fees, will expire in 2041, 2042, and 2044, respectively, without regard to any possible patent term extensions or adjustments.</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December 31, 2023, we owned four patent families (five United States patent applications, one PCT patent application, and twenty-eight foreign patent applications) with claims directed to compositions of matter covering our BRAF degraders, and associated methods of use, pharmaceutical compositions, and processes of manufacture. Two of these patent families include claims directed to compositions of matter generally and specifically covering CFT1946, our lead BRAF product candidate, and associated methods of use, and United States and foreign patents claiming priority to these patent applications, if granted and maintained through payment of all required fees, will expire in 2042 and 2043, respectively, without regard to any possible patent term extensions or adjustments. The other two patent families covering our BRAF degraders are directed to separate genuses than that covered by the previous two families, and United States and foreign patents claiming priority to these patent applications, if granted and maintained through the payment of all required fees, will expire in 2041 and 2044, respectively, without regard to any possible patent term extensions or adjustments.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we owned two patent families (one United States patent, two United States patent applications, and fifty foreign patent applications) with claims directed to compositions of matter covering our EGFR degraders, including our CFT8919 product candidate, and associated methods of use, pharmaceutical compositions, and processes of manufacture. United States and foreign patents claiming priority to these patent applications, if granted and maintained through the payment of all required fees, will expire in 2040 and 2042, respectively, without regard to any possible patent term extensions or adjustments.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we owned two patent families (two United States patent applications and nine foreign patent applications) with claims directed to compositions of matter covering our RET degraders and associated methods of use, pharmaceutical compositions, and processes of manufacture. United States and foreign patents claiming priority to these patent applications, if granted and maintained through the payment of all required fees, will expire in 2041 and 2044, respectively, without regard to any possible patent term extensions or adjustments.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we owned eight United States patent applications, three PCT patent applications, and twelve foreign patent applications with claims directed to compositions of matter covering degraders to undisclosed targets and associated methods of use, pharmaceutical compositions, and processes of manufacture. United States and foreign patents claiming priority to these patent applications, if granted and maintained through the payment of all required fees, will expire between 2040 and 2044, without regard to any possible patent term extensions or adjustments.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 Patent Applications Co-owned with Roche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(giving effect to each of the assignment of rights in patents related to the undisclosed targets from Roche to us in July 2022 and December 2023, as described above), we do not co-own any patent applications or patents with Roche. If new patent applications relating to ongoing collaboration activities are filed in the future, our rights to any such future patent applications will be governed by the Roche Agreement, which is described above.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Target Platform Collaborations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work with strategic partners to expand our platform potential, including Roche, Calico, Biogen, and Merck. Under the agreements with each of these partners, we generally assign our solely or co-invented patent rights in development candidates to the applicable partner in exchange for financial benefits in the products under development under those agreements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Secrets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rely on trade secrets, technical know-how and continuing innovation to develop and maintain our competitive advantage. Under the agreements we enter into with them, any of our employees and consultants who are identified on any company-owned patent applications assign any rights they may have in any such patent applications to us. We also rely on confidentiality or other agreements with our employees, consultants, and other advisors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Trademarks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own various registered and unregistered trademarks and service marks in the United States and overseas, including C4 THERAPEUTICS, our housemark logo, the name of our TORPEDO platform, and the names of our BIDAC degraders and MONODAC degraders.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Government Regulation of Drug Products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United States, the FDA regulates drugs under the Federal Food, Drug and Cosmetic Act, or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a pending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process required by the FDA before product candidates may be marketed in the United States generally involves the following:</w:t>
      </w:r>
    </w:p>
    <w:p>
      <w:pPr>
        <w:spacing w:after="0" w:line="94" w:lineRule="exact"/>
        <w:rPr>
          <w:sz w:val="20"/>
          <w:szCs w:val="20"/>
          <w:color w:val="auto"/>
        </w:rPr>
      </w:pPr>
    </w:p>
    <w:p>
      <w:pPr>
        <w:ind w:left="640" w:hanging="31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nonclinical laboratory and animal tests that must be conducted in accordance with GLP;</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or IND, application, which must become effective before clinical trials may begin;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or IRB, for each clinical site or centrally before each trial may be initiated;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adequate and well controlled human clinical trials to establish the safety and efficacy of the proposed product candidate for its intended use, performed in accordance with good clinical practices, or GCP;</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NDA and payment of user fees;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pre-approval inspection of manufacturing facilities and selected clinical investigators for their compliance with current good manufacturing practices, or cGMP, and GCP;</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FDA audits of clinical trial sites to assure compliance with GCP and the integrity of the clinical data;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an NDA to permit commercial marketing for particular indications for use.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testing and approval process requires substantial time, effort, and financial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Studies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that may overlap or be combined.</w:t>
      </w:r>
    </w:p>
    <w:p>
      <w:pPr>
        <w:spacing w:after="0" w:line="94" w:lineRule="exact"/>
        <w:rPr>
          <w:sz w:val="20"/>
          <w:szCs w:val="20"/>
          <w:color w:val="auto"/>
        </w:rPr>
      </w:pPr>
    </w:p>
    <w:p>
      <w:pPr>
        <w:jc w:val="both"/>
        <w:ind w:left="640" w:hanging="317"/>
        <w:spacing w:after="0" w:line="280" w:lineRule="auto"/>
        <w:tabs>
          <w:tab w:leader="none" w:pos="63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218"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50" w:lineRule="exact"/>
        <w:rPr>
          <w:rFonts w:ascii="Times New Roman" w:cs="Times New Roman" w:eastAsia="Times New Roman" w:hAnsi="Times New Roman"/>
          <w:sz w:val="14"/>
          <w:szCs w:val="14"/>
          <w:color w:val="auto"/>
        </w:rPr>
      </w:pPr>
    </w:p>
    <w:p>
      <w:pPr>
        <w:jc w:val="both"/>
        <w:ind w:left="640" w:hanging="317"/>
        <w:spacing w:after="0" w:line="264" w:lineRule="auto"/>
        <w:tabs>
          <w:tab w:leader="none" w:pos="63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3—These clinical trials are generally undertaken in larger subject populations to provide statistically significant evidence of efficacy and to further test for safety in an expanded subject population at multiple clinical trial sites. These clinical trials are intended to establish the overall risk/benefit profile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Typically, clinical trials are designed in consultation with the FDA or foreign regulatory authorities during these development phases. The indications under development can influence the study designs employed during the conduct of clinical trials, such as for a first-line cancer treatment indication which may require head-to-head data demonstrating clinical superiority or non-inferiority to currently available therapies. The timeline for first-line cancer indication development programs may also be longer than for indications sought in third-line treatment or beyond due to a desire for regulatory authorities to expedite access to later-line treatments for those whose cancer has progressed despite available and earlier-line treatments. As such, many new oncology products initially seek an indication in treatment for third-line treatment, which is a smaller available treatment population in any oncology indication, and any later approvals sought for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those products in earlier lines of treatment that target a larger treatment population may require the conduct of additional clinical trials.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has implemented initiatives that may affect the development of oncology product candidates. For example, Project Optimus, which was launched in 2021, is an initiative to reform the dose selection and dose optimization paradigm across oncology drug development to emphasize selection of a dose or doses that maximize not only the efficacy of a drug but also its safety and tolerability. Project Optimus will require that developers of oncology drugs implement strategies in ongoing programs to leverage nonclinical and clinical data in dose selection, including the potential need to conduct randomized evaluations of a range of doses in trials, and require that these studies take place as early as possible in the development program.</w:t>
      </w:r>
    </w:p>
    <w:p>
      <w:pPr>
        <w:spacing w:after="0" w:line="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addition, 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developmental costs and time.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FDA may require, or companies may pursue, additional clinical trials after a product is approved. These so-called Phase 4 trials may be made a condition to be satisfied after approval. The results of Phase 4 trials can confirm the effectiveness of a product candidate and can provide important safety information.</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NIH for public dissemination on their website. Progress reports detailing the results of the clinical trials must be submitted at least annually to the FDA and more frequently if serious adverse events occur.</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Expedited Review and Approval Programs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Under the FDA’s accelerated approval pathway,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Under the Food and Drug Omnibus Reform Act of 2022, or FDORA, the FDA is now permitted to require, as appropriate, that these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All promotional materials for drug candidates approved under accelerated approval regulations are subject to prior review by the FDA unless the sponsor is otherwise informed by the FDA.</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ten-month review periods are measured from the 60-day filing date rather than the receipt date for NDAs for new molecular entities, which typically adds approximately two months to the timeline for review from the date of submission.</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NDA Submission and Review by the FDA</w:t>
      </w:r>
    </w:p>
    <w:p>
      <w:pPr>
        <w:spacing w:after="0" w:line="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Orphan-designated drugs are also exempt from the application fee.</w:t>
      </w:r>
    </w:p>
    <w:p>
      <w:pPr>
        <w:spacing w:after="0" w:line="6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Unless otherwise required by regulation, PREA does not apply to a drug for an indication for which orphan drug designation has been granted, except that PREA will apply to an original NDA for a new active ingredient that is orphan-designated if the drug is a molecularly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targeted cancer product intended for the treatment of an adult cancer and is directed at a molecular target that FDA determines to be substantially relevant to the growth or progression of a pediatric cancer.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may refer applications for drugs that contain active ingredients, including any ester or salt of the active ingredients, which have not previously been approved by the FDA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FDA’s review goal for a standard NDA for a new molecular entity, or NME, is 10 months from the 60-day filing date. For priority review applications, the FDA’s review goal for NME NDAs is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during the review period that amends the original application.</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a resubmitted NDA.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FDA may delay or refuse approval of an NDA if applicable regulatory criteria are not satisfied, require additional testing or information, require post-marketing testing and surveillance to monitor safety or efficacy of a product and/or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prior FDA review and approval. Further, should new safety information arise, additional testing, product labeling changes or FDA notification may be required.</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regulatory approval of a product is granted, such approval may entail limitations on the indicated uses for which such product may be marketed or may include contraindications, a boxed warning, or other warnings or precautions in the product labeling, which has resulted in a boxed warning. A boxed warning is the strictest warning put in the labeling a drug product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effectiveness or safety of an approved product and may limit further marketing of the product based on the results of these post-marketing studies.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Post-Approval Requirements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products manufactured or distributed by us pursuant to FDA approvals will be subject to continuing regulation by the FDA, including periodic reporting, product sampling and distribution, advertising, promotion, drug shortage reporting, compliance with any post-approval requirements imposed as a condition of approval such as Phase 4 clinical trials, or a REMS, and recordkeeping and reporting requirements, including adverse experiences.</w:t>
      </w:r>
    </w:p>
    <w:p>
      <w:pPr>
        <w:spacing w:after="0" w:line="5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After approval, many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and those supplying products, ingredients, and components of them,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enforce the laws and regulations prohibiting the promotion of off-label uses and a company that is found to have improperly promoted off-label uses may be subject to significant liability.</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Failure to comply with any of the FDA’s requirements could result in significant adverse enforcement actions. These may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Marketing Exclusivity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responsible for the therapeutic activity of the drug substance, excluding those appended portions of the molecule that cause the drug to be an ester, salt, including a salt with hydrogen or coordination bonds or other noncovalent bonds not involving the sharing of electron pairs between atoms, derivatives, such as a complex (i.e., formed by the chemical interaction of two compounds), chelate (i.e., a chemical compound) or clathrate (i.e., a polymer framework that traps molecules) of the molecule. During the exclusivity period, the FDA may not accept for review or approve an Abbreviated New Drug Application, or ANDA, or a 505(b)(2) NDA submitted by another company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contains the previously approved active moiety. An ANDA or 505(b)(2) application, however, may be submitted one year before NCE exclusivity expires if a Paragraph IV certification is filed.</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drug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If an orphan-designated drug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any other applications for the same product for the same indication for seven years, except in certain limited circumstances. If an orphan-designated drug receives marketing approval for an indication broader than what was designated in its orphan product application, it may not be entitled to exclusivity. Orphan exclusivity also will not block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obtain approval for the same product but for a different indication for which the orphan product has exclusivity.</w:t>
      </w:r>
    </w:p>
    <w:p>
      <w:pPr>
        <w:spacing w:after="0" w:line="6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addition, the FDCA also provides incentives for sponsors to conduct studies of drugs in pediatric populations. A drug may be eligible for pediatric exclusivity if a sponsor voluntarily completes a pediatric study that fairly responds to an FDA-issued Written Request. If granted, pediatric exclusivity adds six months to existing regulatory exclusivity periods and patent terms for all approved drug products that contain the active moiety for which pediatric exclusivity was granted.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Outside the United States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 subject to similar foreign laws and regulations concerning the development of our product candidates outside of the United States, including the European Union, or EU, and China.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Drug Development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EU, our product candidates also will be subject to extensive regulatory requirements. As in the United States, medicinal products can be marketed only if a marketing authorization from the competent regulatory agencies has been obtained, and the various phases of preclinical and clinical research in the EU are subject to significant regulatory controls.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April 2014, the EU adopted the Clinical Trials Regulation EU No 536/2014, which replaced the Clinical Trials Directive 2001/20/EC on January 31, 2022. The transitory provisions of the Clinical Trials Regulation provide that, by January 31, 2025, all ongoing clinical trials must have transitioned to the Regulation. The main characteristics of the new Clinical Trials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 The Clinical Trial Regulation will have a transition period of three years from the date it became effective.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EU, the Pediatric Committee, or PDCO of the EMA must approve the pediatric investigation plan, or PIP, prior to the filing of a marketing authorization application, or MAA, unless the EMA has granted (1) a product-specific waiver, (2) a class waiver or (3) a deferral for one or more of the measures included in the PIP. The PIP outlines the pharmaceutical company’s strategy for investigation of the new medicinal product in the pediatric population. Before an MAA can be filed, or an existing marketing authorization can be amended, the EMA assesses whether companies have complied with the agreed studies and measures listed in each relevant PIP. If an applicant obtains a marketing authorization in all EU Member States, or a marketing authorization granted in the centralized procedure by the EC, and the study results for the pediatric population are included in the product information, even when negative, the medicine is then eligible for an additional six-</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month period of qualifying patent protection through extension of the term of any supplementary protection certificate, or SPC, so long as an application for this extension is made at the same time as filing the SPC application for the product, or at any point up to two years before the SPC expires.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Expedited Review and Development</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PRIME, or PRIority MEdicine, is a scheme provided by the EMA to enhance support for the development of medicines that target an unmet medical need and provides accelerated assessment of products representing substantial innovation where the MAA will be made through the centralized procedure. To qualify for PRIME, product candidates require early clinical evidence that the therapy has the potential to offer a major therapeutic advantage over existing treatments or benefits patients without treatment options. Products from small-and medium-sized enterprises, or SMEs, may qualify for earlier entry into the PRIME scheme than larger companies. Among the benefits of PRIME are the appointment of a rapporteur from the EMA’s scientific committees to provide continuous support and help build knowledge ahead of an MAA, early dialogue and scientific advice at key development milestones, and the potential to qualify products for accelerated review earlier in the application process. The receipt of PRIME designation does not change the standards for approval but may expedite the development or approval process. Where, during the course of development, a product no longer meets the eligibility criteria, support under the PRIME scheme may be withdrawn.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Drug Review and Approval</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EU, medicinal products can only be commercialized after obtaining a marketing authorization, or MA. There are two types of MAs. Centralized MAs, which are issued by the EC through the centralized procedure, based on the opinion of the Committee for Medicinal Products for Human Use, or CHMP, of the EMA, are valid throughout the EU, and in the additional Member States (Iceland, Liechtenstein and Norway) of the EEA. The centralized procedure is mandatory for certain types of products, such as medicinal products produced by certain biotechnological processes, products designated as orphan medicinal products, advanced therapy medicinal products (i.e., gene therapy, somatic cell therapy or tissue 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National MAs, which are issued by the competent authorities of the EU Member States and only cover their respective territory, are available for products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SmPC, and a draft of the labeling and package leaflet, which are sent to the other Member States (referred to as the Member States Concerned) for their approval. If the Member States Concerned raise no objections, based on a potential serious risk to public health, to the assessment, SmPC, labeling, or packaging proposed by the RMS, the product is subsequently granted a national MA in all the Member States (i.e., in the RMS and the Member States Concerned).</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above described procedures, before granting the MA, the EMA or the competent authorities of the EU Member States make an assessment of the risk benefit balance of the product on the basis of scientific criteria concerning its quality, safety and efficacy.</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pediatric-use marketing authorization, or PUMA, is available for medicines that are already authorized, no longer covered by an SPC or patent that qualifies as an SPC and are to be exclusively development for use in children. A PUMA is a dedicated MA covering the indication and formulation of a medicinal product developed exclusively for use in the pediatric population, where such development has been in accordance with an approved PIP. There are various incentives to apply for a PUMA, including access to the centralized procedure even where the product would otherwise fall outside the mandatory scope of this procedure.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Orphan Designation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EU, the European Commission grants orphan designation in respect of a product, after receiving the opinion of the EMA’s Committee for Orphan Medicinal Products, if its sponsor can establish that: (1) the product is intended for the diagnosis, prevention or treatment of a life-threatening or chronically debilitating condition; (2) either (i) such condition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affects no more than five in 10,000 persons in the EU when the application is made, or (ii)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a significant benefit to those affected by that condition.</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EU, orphan designation entitles a party to financial incentives such as reduction of fees or fee waivers and 10 years of market exclusivity is granted following the grant of an MA. During this market exclusivity period, neither the EMA nor the European Commission nor any of the competent authorities in the EU Members States can accept an application or grant an MA for a “similar medicinal product.” A “similar medicinal product” is defined as a medicinal product containing a similar active substance or substances as contained in an authorized orphan medicinal product, and which is intended for the same therapeutic indication. This period may be reduced to six years if, at the end of the fifth year, it is established that the orphan designation criteria are no longer met, including where it is shown that the product is sufficiently profitable not to justify maintenance of market exclusivity. An MA may be granted to a similar medicinal product to an authorized orphan product in very select cases, such as if: (i) it is established that a similar medicinal product is safer, more effective or otherwise clinically superior to the authorized product; (ii) the MA holder for the authorized orphan product consents to the authorization of the similar medicinal product; or (iii) the MA holder for the authorized orphan product cannot supply enough orphan medicinal product. Orphan designation must be requested before submitting an application for an MA. Orphan designation does not convey any advantage in, or shorten the duration of, the regulatory review and approval process.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Drug Development in China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clinical trials conducted in China for the purpose of seeking marketing approvals must be approved by the China National Medical Products Administration, or NMPA, and conducted at hospitals satisfying GCP requirements. In addition to a standalone China trial to support development, imported drug applicants may include Chinese clinical sites as part of an international multi-center trial, or IMCT. Domestically manufactured drugs are not subject to foreign approval requirements, and in contrast to prior practice, the NMPA has decided to permit those drugs to conduct development via an IMCT as well.</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Drug Administration Law of the PRC, which was revised in 2019, or the rDAL, has now adopted an implied approval system for clinical trials of new drugs. Trials can proceed if, after 60 business days, the applicant has not received any objections from the Center for Drug Evaluation, or CDE, as opposed to the lengthier previous clinical trial pre-approval process in which the applicant had to wait for affirmative approval. The rDAL also expands the number of trial sites by abolishing the GCP accreditation system and requiring trial sites to follow a more simplified notification procedure.</w:t>
      </w:r>
    </w:p>
    <w:p>
      <w:pPr>
        <w:spacing w:after="0" w:line="2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NMPA finalized in November 2021 the Guideline on Clinical Value-Oriented Research and Development for Oncology Drugs as part of its policies intended to encourage the research and development of innovative oncology drugs with significant clinical value, and discourage repeated research and development of “me-too” drugs with minimal or no clinical value to patients.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Clinical trials conducted in China must be registered and published through the Drug Clinical Trial Information Platform (http://www.chinadrugtrials.org.cn). Applicants are required to pre-register the trial information within one month after obtaining the clinical trial approval to obtain the trial’s unique registration number and to complete registration of certain follow-up information before the first subject’s enrollment in the trial. If the foregoing pre-registration and registration is not obtained within one year after obtaining the clinical trial approval, the applicant shall submit an explanation, and if the procedure is not completed within three years, the clinical trial approval automatically expires.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58" w:lineRule="exact"/>
        <w:rPr>
          <w:sz w:val="20"/>
          <w:szCs w:val="20"/>
          <w:color w:val="auto"/>
        </w:rPr>
      </w:pPr>
    </w:p>
    <w:p>
      <w:pPr>
        <w:jc w:val="both"/>
        <w:ind w:left="640" w:hanging="317"/>
        <w:spacing w:after="0" w:line="270" w:lineRule="auto"/>
        <w:tabs>
          <w:tab w:leader="none" w:pos="6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4"/>
          <w:szCs w:val="14"/>
          <w:color w:val="auto"/>
        </w:rPr>
        <w:t>Medicare and Medicaid. A person or entity need not have actual knowledge of the federal Anti-Kickback Statute or specific intent to violate it in order to have committed a violation. There are a number of statutory exceptions and regulatory safe harbors protecting some common activities from prosecution. Violations are subject to civil and criminal fines and penalties for each violation, plus up to three times the remuneration involved, imprisonment, and exclusion from government healthcare programs;</w:t>
      </w:r>
    </w:p>
    <w:p>
      <w:pPr>
        <w:spacing w:after="0" w:line="51" w:lineRule="exact"/>
        <w:rPr>
          <w:sz w:val="20"/>
          <w:szCs w:val="20"/>
          <w:color w:val="auto"/>
        </w:rPr>
      </w:pPr>
    </w:p>
    <w:p>
      <w:pPr>
        <w:jc w:val="both"/>
        <w:ind w:left="640" w:hanging="317"/>
        <w:spacing w:after="0" w:line="258"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61" w:lineRule="exact"/>
        <w:rPr>
          <w:rFonts w:ascii="Times New Roman" w:cs="Times New Roman" w:eastAsia="Times New Roman" w:hAnsi="Times New Roman"/>
          <w:sz w:val="14"/>
          <w:szCs w:val="14"/>
          <w:color w:val="auto"/>
        </w:rPr>
      </w:pPr>
    </w:p>
    <w:p>
      <w:pPr>
        <w:jc w:val="both"/>
        <w:ind w:left="640" w:hanging="317"/>
        <w:spacing w:after="0" w:line="264"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 The government may also assert that a claim including items or services resulting from a violation of the federal Anti-Kickback statute constitutes a false or fraudulent claim under federal civil monetary penalties laws;</w:t>
      </w:r>
    </w:p>
    <w:p>
      <w:pPr>
        <w:spacing w:after="0" w:line="55"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spacing w:after="0" w:line="58"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58"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certain other licensed health care practitioners and teaching hospitals, as well as ownership and investment interests held by such physicians and their immediate family members; and</w:t>
      </w:r>
    </w:p>
    <w:p>
      <w:pPr>
        <w:spacing w:after="0" w:line="58" w:lineRule="exact"/>
        <w:rPr>
          <w:rFonts w:ascii="Times New Roman" w:cs="Times New Roman" w:eastAsia="Times New Roman" w:hAnsi="Times New Roman"/>
          <w:sz w:val="14"/>
          <w:szCs w:val="14"/>
          <w:color w:val="auto"/>
        </w:rPr>
      </w:pPr>
    </w:p>
    <w:p>
      <w:pPr>
        <w:jc w:val="both"/>
        <w:ind w:left="640" w:hanging="317"/>
        <w:spacing w:after="0" w:line="259"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4"/>
          <w:szCs w:val="14"/>
          <w:color w:val="auto"/>
        </w:rPr>
        <w:t>pharmaceutical sales representatives;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56" w:lineRule="exact"/>
        <w:rPr>
          <w:sz w:val="20"/>
          <w:szCs w:val="20"/>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eligibility criteria for Medicaid programs, thereby potentially increasing a manufacturer’s Medicaid rebate liability;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manufacturers’ rebate liability under the Medicaid Drug Rebate Program;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the types of entities eligible for the 340B drug discount program;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licensure framework for follow-on biologic products;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 Center for Medicare &amp; Medicaid Innovation at CMS to test innovative payment and service delivery models to lower Medicare and Medicaid spending, potentially including prescription drug spending;</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the Medicare Part D coverage gap discount program by requiring manufacturers to provide 70% point-of-sale-discounts off the negotiated price of applicable brand drugs to eligible beneficiaries during their coverage gap period as a condition for the manufacturers’ outpatient drugs to be covered under Medicare Part D; and</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created a Patient-Centered Outcomes Research Institute to oversee, identify priorities in and conduct comparative clinical effectiveness research, along with funding for such research.</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Other legislative changes have been proposed and adopted in the United States since the ACA was enacted. In August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2031.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August 2022, the IRA was signed into law. The IRA includes several provisions that could impact our business to varying degrees, including provisions that reduce the out-of-pocket cap for Medicare Part D beneficiaries to $2,000 starting in 2025, impose new manufacturer financial liability on certain drugs in Medicare Part D, allow the United States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disease designation and for which the only approved indication is for that disease or condition. If a product receives multiple rare disease designations or has multiple approved indications, it will not qualify for the orphan drug exemption. The implementation of the IRA is currently subject to ongoing litigation challenging the constitutionality of the IRA’s Medicare drug price negotiation program. The effect of IRA on our business and the healthcare industry in general is not yet known.</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for an FDA-approved drug that was originally intended to be marketed in a foreign country and that was authorized for sale in that foreign country. The market implications of the final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Further,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Outside the United States, ensuring coverage and adequate payment for a product also involves challenges. Pricing of prescription pharmaceuticals is subject to government control in many countries. For example, in Canada, price control legislation for patented medicines is currently undergoing significant change that may have significant effects on profitability for companies selling products in Canada.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we had 145 full-time employees, including 61 employees with an M.D. and/or Ph.D. degree. Of these full-time employees, 105 employees were engaged in research and development activities and 44 employees were engaged in general and administrative activities. On January 9, 2024, we implemented a plan to reduce operating costs and better align our workforce with the needs of the business and thus, we have reduced our workforce by approximately 30%. We presently have nine senior leaders, seven of whom serve as executive officers. None of our employees are represented by a labor union or covered by a collective bargaining agreement. We consider our relationship with our employees to be good.</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future success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 As part of our promotion and retention efforts, we also invest in ongoing development.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committed to diversity, equity, and inclusion in the workplace because we believe that a diverse workforce with an inclusive and equitable environment are a critical component to business success. Our goal is to foster a culture in which every employee can flourish, contribute and be their best. With this focus, we have adopted goals that drive diversity, equity and inclusion initiatives across our entire workforce, from working with managers and employees to develop strategies for understanding their own biases and learning inclusive leadership techniques, to promoting the advancement of leaders from different backgrounds and through supporting our local community in their efforts to bridge the opportunity gap for underserved communities. With assistance from our Diversity, Equity &amp; Inclusion Council, which was established in 2022, we continue to focus on incorporating our diversity, equity, and inclusion initiatives into how we work each day.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were incorporated in October 2015 under the laws of the State of Delaware. Our principal executive offices are located at 490 Arsenal Way, Suite 120, Watertown, Massachusetts 02472, and our telephone number is (617) 231-0700. We have one wholly owned subsidiary, C4T Securities Corporation, a Massachusetts corporation.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website address is www.c4therapeutics.com. Information on our website is not incorporated by reference herein. We will make available on our website, free of charge, our Annual Report on Form 10-K, Quarterly Reports on Form 10-Q, Current Reports on Form 8-K, including exhibits,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our Corporate Governance Guidelines, Code of Business Conduct and Ethics and the charters of the (i) Audit Committee, (ii) Organization, Leadership and Compensation Committee, and</w:t>
      </w:r>
    </w:p>
    <w:p>
      <w:pPr>
        <w:spacing w:after="0" w:line="23" w:lineRule="exact"/>
        <w:rPr>
          <w:sz w:val="20"/>
          <w:szCs w:val="20"/>
          <w:color w:val="auto"/>
        </w:rPr>
      </w:pPr>
    </w:p>
    <w:p>
      <w:pPr>
        <w:ind w:firstLine="5"/>
        <w:spacing w:after="0" w:line="266"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are posted on our website, www.c4therapeutics.com, under the heading “Corporate Governance” and are available in print to any person who requests copies by contacting us by calling (617) 231-0700 or by writing to C4 Therapeutics, Inc., 490 Arsenal Way, Suite 120, Watertown, Massachusetts 02472, Attention: Corporate Secretary.</w:t>
      </w:r>
    </w:p>
    <w:p>
      <w:pPr>
        <w:spacing w:after="0" w:line="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intend to use press releases, our company website, including our Investor Relations website, and our LinkedIn, and Twitter accounts, which are listed below, as a means of disclosing material non-public information and for complying with our disclosure obligations under Regulation FD.</w:t>
      </w:r>
    </w:p>
    <w:p>
      <w:pPr>
        <w:spacing w:after="0" w:line="54" w:lineRule="exact"/>
        <w:rPr>
          <w:sz w:val="20"/>
          <w:szCs w:val="20"/>
          <w:color w:val="auto"/>
        </w:rPr>
      </w:pPr>
    </w:p>
    <w:p>
      <w:pPr>
        <w:spacing w:after="0"/>
        <w:rPr>
          <w:sz w:val="20"/>
          <w:szCs w:val="20"/>
          <w:color w:val="auto"/>
        </w:rPr>
      </w:pPr>
      <w:r>
        <w:rPr>
          <w:sz w:val="1"/>
          <w:szCs w:val="1"/>
          <w:color w:val="auto"/>
        </w:rPr>
        <w:drawing>
          <wp:inline distT="0" distB="0" distL="0" distR="0">
            <wp:extent cx="201930" cy="20193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1930" cy="20193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www.linkedin.com/company/c4-therapeutics-inc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sz w:val="1"/>
          <w:szCs w:val="1"/>
          <w:color w:val="auto"/>
        </w:rPr>
        <w:drawing>
          <wp:inline distT="0" distB="0" distL="0" distR="0">
            <wp:extent cx="262890" cy="1885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890" cy="188595"/>
                    </a:xfrm>
                    <a:prstGeom prst="rect">
                      <a:avLst/>
                    </a:prstGeom>
                    <a:noFill/>
                    <a:ln>
                      <a:noFill/>
                    </a:ln>
                  </pic:spPr>
                </pic:pic>
              </a:graphicData>
            </a:graphic>
          </wp:inline>
        </w:drawing>
      </w:r>
      <w:r>
        <w:rPr>
          <w:rFonts w:ascii="Times New Roman" w:cs="Times New Roman" w:eastAsia="Times New Roman" w:hAnsi="Times New Roman"/>
          <w:sz w:val="14"/>
          <w:szCs w:val="14"/>
          <w:color w:val="auto"/>
        </w:rPr>
        <w:t>https://twitter.com/C4Therapeutics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the risks described below together with all the other information in this Annual Report on Form 10-K, including the section titled “Management’s Discussion and Analysis of Financial Condition and Results of Operations” and our financial statements and related notes appearing at the end of this Annual Report on Form 10-K, in evaluating our company. The risks and uncertainties described below and in our other filings with the SEC, may not be the only ones that we face. The occurrence of any of the events or developments described below, if they actually occur, could harm our business, financial condition, results of operations and growth prospects. As a result, the market price of our common stock could decline, and you may lose all or part of your investment in our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additional capital</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biopharmaceutical company and have incurred significant losses since our inception. We expect to incur losses over at least the next several years and may never achieve or maintain profitability.</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a clinical-stage biopharmaceutical company with limited operating history. Our net loss was $132.5 million and $128.2 million for the years ended December 31, 2023 and 2022, respectively. As of December 31, 2023, we had an accumulated deficit of $528.4 million. To date, we have not generated any revenue from product sales and have financed our operations primarily through sales of our equity interests, including public offerings of our common stock, proceeds from our collaborations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continue to incur significant expenses and increasing operating losses for at least the next several years. We anticipate that our expenses will increase substantially if and as we:</w:t>
      </w:r>
    </w:p>
    <w:p>
      <w:pPr>
        <w:spacing w:after="0" w:line="94" w:lineRule="exact"/>
        <w:rPr>
          <w:sz w:val="20"/>
          <w:szCs w:val="20"/>
          <w:color w:val="auto"/>
        </w:rPr>
      </w:pPr>
    </w:p>
    <w:p>
      <w:pPr>
        <w:ind w:left="640" w:hanging="317"/>
        <w:spacing w:after="0" w:line="287"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conduct, and successfully complete first-in-human and later-stage clinical trials of our product candidates and as we expand the scope of our proprietary research and development portfolios;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TORPEDO platform to identify and then advance additional product candidates into preclinical and clinical development;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the capabilities of our TORPEDO platform;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any product candidates that successfully complete clinical trials;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 a sales, marketing, and distribution infrastructure and scale up external manufacturing capabilities to commercialize any products for which we expect to obtain marketing approval;</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expand, maintain, and protect our intellectual property portfolio;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staffing needs to meet the changing needs of the business as we advance additional product candidates and/or continue to develop existing product candidates.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we expect to continue to incur additional costs associated with operating as a public company, including significant legal, accounting, insurance, investor relations, and other expenses.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expenses could increase beyond our expectations if we are required by the FDA, the European Medicines Agency, or other regulatory authorities to perform trials in addition to those that we currently expect, or if we experience any delays in either establishing appropriate manufacturing arrangements for or completing our clinical trials or the clinical development of any of our product candidates.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annual basis. Our failure to become and remain profitable would depress the value of our company and could impair our ability to raise capital, maintain our research and development efforts, expand our business or continue operations. A decline in the value of our company, or in the value of our common stock, could also cause you to lose all or part of your investment.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expect our expenses to increase substantially in connection with our ongoing activities, particularly as we prepare for and initiate, conduct, and complete our ongoing and planned first-in-human Phase 1/2 clinical trials of our product candidates, advance our TORPEDO platform and continue research and development activities, expand our proprietary research and development portfolios and initiate and continue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had cash, cash equivalents, and marketable securities of approximately $281.7 million as of December 31, 2023. We believe that these funds, together with the funds we received in early January 2024 from (i) the settlement of shares sold under our "at-the-market" offering, (ii) the closing of the sale of shares to an affiliate of Betta Pharma under the previously disclosed stock purchase agreement, and (iii) the upfront payment from Merck under our December 2023 license and collaboration agreement, as well as the anticipated cost savings from the restructuring will be sufficient to fund our planned operating expenses into 2027. We have based this estimate on assumptions that may prove to be wrong, and we could deplete our current capital resources sooner than we currently expect. Our future capital requirements will depend on many factors, including:</w:t>
      </w:r>
    </w:p>
    <w:p>
      <w:pPr>
        <w:spacing w:after="0" w:line="58" w:lineRule="exact"/>
        <w:rPr>
          <w:sz w:val="20"/>
          <w:szCs w:val="20"/>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progress, costs, and results of our ongoing and planned first-in-human Phase 1/2 clinical trials for our product candidates and any future clinical development of those product candidates;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costs, and results of clinical development stage programs and our other product candidates and development programs;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development requirements of other product candidates that we pursue;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ongoing collaborations;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regulatory review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product manufacturing, marketing, sales, and distribution, for any of our product candidates for which we receive or expect to receive marketing approval;</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 and the timing of the receipt of any such revenue;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or interruptions, including delays due to any global health epidemics, that we experience in our preclinical studies, clinical trials, and/or supply chain;</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and</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collaboration arrangements with other biotechnology or pharmaceutical companies on favorable terms, if at all, for the development or commercialization of our product candidates or access to our TORPEDO platform.</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current cash, cash equivalents, and marketable securities will not be sufficient for us to fund any of our product candidates through regulatory approval. As a result, we will need to raise substantial additional capital to complete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remain early in the development lifecycle, which may make it difficult for you to evaluate the success of our business to date and assess our future viability.</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commenced operations in late 2015 and our activities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establishing arrangements with third parties for the manufacture of initial quantities of our product candidates, and preparing for and conducting early-stage clinical trials. While we have several ongoing clinical trials, all of our other product candidates are still in the discovery stage. We have not yet demonstrated our ability to successfully complete any clinical trials, obtain marketing approvals, manufacture a commercial-scale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as a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our financial condition and operating results to continue to fluctuate significantly from quarter to quarter and year to year due to a variety of factors, many of which are beyond our control.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you should not rely upon the results of any quarterly or annual periods as indications of future operating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we do not currently have any committed external source of funds.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discovery and development of our product candidates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of the product candidates developed through our TORPEDO platform have been approved in the United States, Europe, or any other jurisdiction. The data underlying the feasibility of developing these types of therapeutic products is both preliminary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and limited. If any adverse learnings are made by other 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would prevent or diminish their clinical benefit, as would be the case if the scientific research that forms the basis of our efforts proves to be contradicted.</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we have several ongoing clinical trials, at this time, we have not yet completed a clinical trial of any product candidate. As a result, we are only starting to assess the safety of our lead product candidates in patients and we have not yet assessed the safety of any of our other earlier-stage product candidates in humans. Although some of our earlier-stage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6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a clinical stage biotechnology company and, while we have commenced clinical trials of certain of our product candidates, the majority of our other product candidates are still in the discovery stage. If we are unable to advance to clinical development, develop, obtain regulatory approval for and commercialize our product candidates or experience significant delays in doing so, our business may be materially harmed.</w:t>
      </w:r>
    </w:p>
    <w:p>
      <w:pPr>
        <w:spacing w:after="0" w:line="51"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We are a clinical-stage biotechnology company and, while we have several ongoing clinical trials, the majority of our other product candidates are currently in the discovery stage. As a result, their risk of failure is high. We have invested substantially all of our efforts and financial resources into building our TORPEDO platform and identifying and conducting preclinical development of our current product candidates, including our lead programs. Our ability to generate revenue from product sales, which we do not expect will occur for several years, if ever, will depend heavily on the successful development and eventual commercialization of one or more of our product candidates. The success of our product candidates will depend on several factors, including the following:</w:t>
      </w:r>
    </w:p>
    <w:p>
      <w:pPr>
        <w:spacing w:after="0" w:line="56" w:lineRule="exact"/>
        <w:rPr>
          <w:sz w:val="20"/>
          <w:szCs w:val="20"/>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our financial and other resources;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of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patient enrollment in, and conduct and completion of,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related terms of marketing approvals from applicable regulatory authorities;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or trade secret protection and regulatory exclusivity for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suitable arrangements with third-party manufacturers for both clinical and commercial supplies of our product candidates;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product candidates that achieve the therapeutic properties desired and appropriate for their intended indications;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products, if and when approved, whether alone or in collaboration with others;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products, if and when approved, by patients, the medical community, and third-party payors;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third-party coverage and adequate reimbursement;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continued acceptable safety profile of our products and maintaining that profile following approval;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skill and success of our third-party collaboration partners in accomplishing any of the aforementioned in the markets in which they are developing our product candidate(s) in a timely manner.</w:t>
      </w:r>
    </w:p>
    <w:p>
      <w:pPr>
        <w:spacing w:after="0" w:line="39"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relatively limited experience as a company in completing preclinical studies to enable the filing of INDs, submitting INDs or commencing, enrolling and conducting clinical trials.</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experience as a company in completing IND-enabling preclinical studies comes from our work in commencing clinical development of four product candidates. While this work represents a substantial amount of progress, to date, we still have relatively limited experience as a company in commencing, enrolling and conducting clinical trials. In part because of this, while we continue to make strides in this area, we cannot be certain that our planned clinical trials will begin, enroll or be completed on time, if at all. Additionally, even if the applicable regulatory authorities agree with the design and implementation of the clinical trials set forth in our INDs upon initial IND submission, we cannot guarantee that those regulatory authorities will not change their requirements in the future. These considerations apply to the INDs described above, additional INDs that we may submit in the future and also to new clinical trials we may submit as amendments to existing or new INDs.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large-scale clinical trials would require significant additional financial and management resources and reliance on third-party clinical investigators, contract research organizations, or CROs, and consultants. Relying on third-party clinical investigators, CROs and consultants may cause us to encounter delays that are outside of our control and, for each of the product candidates that is currently in clinical development, we have engaged a CRO to lead our first-in-human Phase 1/2 clinical trial. Relying on third parties in the conduct of our preclinical studies or clinical trials exposes us to a risk that they may not adequately adhere to study or trial protocols or comply with good laboratory practice or good clinical practice, or GCP, as required for any studies or trials we plan to submit to a regulatory authority. We may also be unable to identify and contract with sufficient investigators, CROs, and consultants on a timely basis or at all, and we may also determine and have in the past determined after a clinical trial has commenced that a change in CRO is warranted. There can be no assurance that we will be able to negotiate and enter into appropriate contractual arrangements without current or potential future CROs, if and when necessary for our other product candidates, on terms that are acceptable to us on a timely basis or at all.</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 Further, the results of preclinical studies may not be predictive of future results in later studies or trials and initial success in clinical trials may not be indicative of results obtained when these trials are completed or in later stage clinical trials.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Before obtaining regulatory approval for the commercial sale of any of our product candidates, we must demonstrate through lengthy, complex, and expensive preclinical studies and clinical trials that our product candidates are both safe and effective for use in each target indication. This testing is expensive and can take many years to complete. Further, the outcome of these activities is inherently uncertain. Failure can occur at any time during the clinical development process and, because many of our product candidates are in an early stage of development and have never been tested in humans,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It is also possible that the results of preclinical studies and early clinical trials of our product candidates may not be predictive of the results of later-stage clinical trials. Preclinical and clinical data are often susceptible to varying interpretations and analyses and many companies that have believed their product candidates performed satisfactorily 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preclinical studies and clinical trials have nonetheless failed to obtain marketing approval of their products. Although product candidates may demonstrate promising results in preclinical studies and early clinical trials, they may not prove to be effective or safe in subsequent clinical trials. The results of the dose escalation portion of our ongoing and planned first-in-human Phase 1/2 clinical trials of our product candidates may not be predictive of the results of further clinical trials of these product candidates or any other product candidates and may not be sufficient to enable us to progress to the Phase 2 portion of a Phase 1/2 clinical trial. Testing on animals occurs under different conditions than testing in humans and, therefore, the results of animal studies may not accurately predict human experience.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There is typically an extremely high rate of attrition from the failure of product candidates proceeding through preclinical studies and clinical trials. Product candidates in later stages of clinical trials may fail to show the desired safety and efficacy profile despite having progressed successfully through preclinical studies and/or initial clinical trials. Likewise, early, smaller-scale clinical trials may not be predictive of eventual safety or effectiveness in large-scale pivotal clinical trials. In particular, the small number of patients in our planned early clinical trials of the designs of these trials may make the results of these trials less predictive of the outcome of later clinical trials. Many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marketable products. Any setbacks of this nature in our clinical development could materially harm our business, financial condition, results of operations and prospects.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Additionally, we expect that the first clinical trials for our product candidates will be open-label studies, where both the patient and investigator know whether the patient is receiving the investigational product candidate or either an existing approved drug or placebo. This is the case with our ongoing first-in-human clinical trials and will be the case in the first-in-human clinical trials of the additional product candidates we presently expect to advance into clinical development. Open-label clinical trials often test only the investigational product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preclinical studies or clinical trials that we may conduct or have conducted may not demonstrate the safety and efficacy necessary to obtain regulatory approval to market our product candidates. If the results of our ongoing or future preclinical studies or clinical trials are inconclusive with respect to the safety and efficacy of our product candidates, if evidence of target degradation does not correlate with clinical efficacy,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While we have commenced clinical trials of several of our product candidates, some of which remain ongoing, we have not yet initiated clinical trials for any of our other product candidates. As is the case with all drugs, it is likely that there may be side effects associated with the use of our product candidates related to on-target toxicity, off-target toxicity, or other mechanisms of drug toxicity including chemical-based toxicity. Results of our clinical trials could reveal a high and unacceptable severity and prevalence of side effects of this nature. If unacceptable levels of toxicity are observed or if our product candidates have other characteristics that are unexpected, we may need to abandon their development, modify our development plans as to dose level and/or dose schedule or otherwise, or limit development to more narrow uses or subpopulations in which the undesirable side effects or other characteristics are less prevalent, less severe or more acceptable from a risk-benefit perspective. For example, due to observed safety signals, we previously modified the dosing schedule in our ongoing Phase 1/2 clinical trial of CFT7455 as we continue to advance this clinical trial.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Many compounds that initially showed promise in early-stage testing for treating cancer have later been found to cause side effects that prevented further development of the compound. Any of these occurrences may significantly harm our business, financial condition, and prospects.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may publish interim or top-line preliminary data from our clinical trials. Interim data from clinical trials that we may conduct are subject to the risk that one or more of the clinical outcomes may materially change as patient enrollment continues and more patient data become available. In addition, preliminary or top-line data also remains subject to audit and verification procedures that may result in the final data being different, potentially in material ways, from the preliminary data we previously announced or published. As a result, interim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we have commenced clinical trials of several product candidates, one of which we elected to shut down, and anticipate the commencement of a clinical trial of CFT8919 through our partner Betta Pharma, all of our other product candidates are still in the discovery stage at this time and the risk of failure for all of our product candidates remains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Clinical testing is expensive, difficult to design and implement, can take many years to enroll and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51" w:lineRule="exact"/>
        <w:rPr>
          <w:sz w:val="20"/>
          <w:szCs w:val="20"/>
          <w:color w:val="auto"/>
        </w:rPr>
      </w:pPr>
    </w:p>
    <w:p>
      <w:pPr>
        <w:ind w:left="640" w:hanging="317"/>
        <w:spacing w:after="0" w:line="287"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the failure to reach, a consensus with regulators on clinical trial design or the inability to produce acceptable preclinical results to enable entry into human clinical trials;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the failure to reach, agreement on acceptable clinical trial contracts or clinical trial protocols with prospective trial sites or CROs;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regulators or institutional review boards, or IRBs, to authorize us or our investigators to commence a clinical trial or conduct a clinical trial at a prospective trial site;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designing clinical trials and in selecting endpoints for diseases that have not been well studied and for which the natural history and course of the disease is poorly understood;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selection of certain clinical endpoints that may require prolonged periods of clinical observation or analysis of the resulting data;</w:t>
      </w:r>
    </w:p>
    <w:p>
      <w:pPr>
        <w:spacing w:after="0" w:line="93"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we may be unable to recruit suitable patients to participate in our clinical trials;</w:t>
      </w:r>
    </w:p>
    <w:p>
      <w:pPr>
        <w:spacing w:after="0" w:line="5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have undesirable side effects or other unexpected characteristics, causing us or our investigators, regulators or IRBs to suspend or terminate our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suspend or terminate clinical trials of our product candidates for various reasons, including a finding that the participants are being exposed to unacceptable health risks;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 parties with whom we contract may fail to comply with regulatory requirements or meet their contractual obligations to us in a timely manner, or at all;</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from regulators or IRBs that we or our investigators suspend or terminate clinical trials for various reasons, including noncompliance with regulatory requirements or unacceptable safety risks;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line="287"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product candidates may produce negative or inconclusive results and we may decide, or regulators may require us, to conduct additional clinical trials, modify our development plans as to dose level and/or dose schedule or otherwise, or abandon product development programs;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may be greater than we anticipate;</w:t>
      </w:r>
    </w:p>
    <w:p>
      <w:pPr>
        <w:spacing w:after="0" w:line="93"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staffing shortages, including but not limited to the lack of appropriately trained or experienced clinical research associates or medical staff at the institutions where we conduct our clinical trials or the lack of sufficient support personnel at these institutions involved in site contracting and activation, may cause delays or create other challenges to the timely and efficient conduct of our clinical trials;</w:t>
      </w:r>
    </w:p>
    <w:p>
      <w:pPr>
        <w:spacing w:after="0" w:line="50"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adverse events associated with the product candidate that are viewed to outweigh its potential benefits;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caused by any global health epidemics, such as the recent COVID-19 pandemic, which may increase the likelihood that we encounter these types of difficulties or cause other delays in initiating, enrolling, conducting, or completing our planned clinical trials.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may encounter challenges in our clinical development programs due to evolving regulatory policy in the United States or other jurisdictions. For example, in 2021, the FDA's Oncology Center of Excellence launched Project Optimus, an initiative to reform dose selection in oncology drug development, and this initiative is still being implemented. If the FDA believes we have not sufficiently established that the selected dose or doses for our product candidates maximize efficacy as well as safety and tolerability, the FDA may require us to conduct additional clinical trials or generate additional dosing-related information, which could significantly delay and/or increase the expense of our clinical development programs.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product candidates beyond those that we currently contemplate, if we are unable to successfully enroll or complete clinical trials of our product candidates or other testing, if the results of these trials or tests are not positive or are only modestly positive or if there are safety concerns related to our product candidates, we may:</w:t>
      </w:r>
    </w:p>
    <w:p>
      <w:pPr>
        <w:spacing w:after="0" w:line="51" w:lineRule="exact"/>
        <w:rPr>
          <w:sz w:val="20"/>
          <w:szCs w:val="20"/>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our product candidates, if at all;</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perform additional clinical trials to support marketing approval;</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regulatory authorities withdraw or suspend their approval, or impose restrictions on distribution of a product candidate in the form of a risk evaluation and mitigation strategy, or REMS;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additional post-marketing testing requirements or changes in the way the product is administered; or</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our product removed from the market after obtaining marketing approval.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product development costs also will increase if we experience delays in preclinical studies or clinical trials or in obtaining marketing approvals. While we have commenced clinical trials of several product candidates and anticipate the commencement of a clinical trial of CFT8919 through our partner Betta Pharma, we do not know whether any of our other clinical trials will begin as planned, will need to be restructured or will be completed on schedule, or at all. Significant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ongoing and planned early-stage clinical trials will be with patients who have received one or more prior treatments and we expect that we would initially seek regulatory approval of our lead product candidates as second-line 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for the same indication and/or patient population before or more successfully than we do.</w:t>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Targeted protein degradation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developing product candidates based on chimeric small molecules for targeted protein degradation including Arvinas, Inc., Astellas Pharma Inc., BioTheryX, Inc., Captor Therapeutics, Inc., Cullgen Inc., Foghorn Therapeutics, Inc., Frontier Medicines Corporation, Glubio Therapeutics, Inc., Kymera Therapeutics, Inc., Monte Rosa Therapeutics, Inc., Nurix Therapeutics, Inc., Orum Therapeutics, Inc., PhoreMost, Ltd., Plexium, Inc.., Salarius Pharmaceuticals, Inc., Seed Therapeutics, Inc., SK Life Science Labs., Ltd. (a subsidiary of SK Biopharmaceuticals), and Vividion Therapeutics, Inc. (a subsidiary of Bayer AG). Further, several large pharmaceutical companies and academic institutions have disclosed investments and research in this field including Amgen,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research and development tax credit carryforwards may be limited.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we had $214.9 million federal net operating loss carryforwards and $315.3 million gross in U.S. state net operating loss carryforwards, portions of which expire at various dates through 2043. Under current law, federal net operating losses generated in tax years beginning after 2017, if any, will not expire and may be carried forward indefinitely, but our ability to deduct such federal net operating losses in tax years beginning after December 31, 2020 will be limited to the lesser of the net operating loss carryover or 80% of the corporation’s adjusted taxable income (subject to Section 382 of the Internal Revenue Code of 1986, as amended). It is uncertain if and to what extent various states will conform to the federal tax laws. In addition, at the state level, there may be periods during which the use of net operating losses is suspended or otherwise limited, which could accelerate or permanently increase state taxes owed.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we also had U.S. federal and state research and development tax credit carryforwards of $12.6 million and $5.2 million, respectively, which expire at various dates through 2043. These tax credit carryforwards could expire unused and be unavailable to offset our future income tax liabilities.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we completed a study of ownership changes from inception through December 31, 2020, which concluded that we experienced ownership changes as defined by Section 382 of the Code. However, there were no net operating loss carryforwards that were limited or expired unused. We have not updated the study to assess whether a change of ownership has occurred during 2022 and through 2023. We may have experienced additional ownership changes that have not been identified that could result in the expiration of our net operating loss and tax credit carryforwards before utilization and we may experience subsequent shifts in our stock ownership, some of which are outside our control. As a result, if we earn net taxable income and determine that an ownership change has occurred and our ability to use our historical net operating loss and tax credit carryforwards is materially limited, that will harm our future operating results by effectively increasing our future tax obligations.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serious adverse events, undesirable side effects or unexpected characteristics or results are identified during the development of any product candidates we may develop, we may need to modify, abandon, or limit our further clinical development of those product candidates.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we have commenced clinical trials of several product candidates, and anticipate the commencement of a clinical trial of CFT8919 through our partner Betta Pharma, all of our other product candidates are still in the discovery stage at this time, which means that we have not yet evaluated any of our other product candidates in human clinical trials.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or results. There is also the potential risk of delayed adverse events following treatment using product candidates developed through our TORPEDO platform.</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any product candidates we develop are associated with serious adverse events or undesirable side effects or have other characteristics or results that are unexpected, we may choose or need to abandon their development, modify our development plans as to dose level and/or dose schedule or otherwise, or limit development to certain uses or subpopulations in which the adverse events, undesirable side effects or other characteristics are less prevalent, less severe or more acceptable from a risk-benefit perspective. The occurrence of any of these types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delays or difficulties in the enrollment of patients in our clinical trials, our timelines for submitting applications for and receiving necessary marketing approvals could be delayed, or we may be prevented from obtaining marketing approvals altogether.</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have progressed three product candidates, CFT7455, CFT8634, and CFT1946, into first-in-human clinical trials in June 2021, May 2022, and December 2022, respectively, with clinical trials currently ongoing for CFT7455 and CFT1946 and planned for CFT8919. While we believe that we will be able to enroll a sufficient number of patients into each of our ongoing and planned clinical trials, we cannot predict with certainty how difficult it will be to enroll patients for trials, some of which are in rare indications. Our ability to identify and enroll eligible patients for clinical trials of our product candidates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trials of our competitors’ product candidates. Patient enrollment in clinical trials is also affected by other factors including:</w:t>
      </w:r>
    </w:p>
    <w:p>
      <w:pPr>
        <w:spacing w:after="0" w:line="94" w:lineRule="exact"/>
        <w:rPr>
          <w:sz w:val="20"/>
          <w:szCs w:val="20"/>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eligibility criteria for the trial in question;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perceived risks and benefits of the product candidates offered in the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to facilitate timely enrollment in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referral practices of physicians;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suitable and sufficient staffing at clinical trial sites;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 on patients due to the scope and invasiveness of required procedures under clinical trial protocols, some of which may be inconvenient and/or uncomfortable;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and availability of clinical trial sites for prospective patients;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global health epidemics, such as the recent COVID-19 pandemic,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inability to enroll a sufficient number of patients for our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or our partners may develop our product candidates in combination with other drugs. If the FDA or similar regulatory authorities outside of the United States do not approve these other drugs, revoke their approval of these other drugs or if safety, efficacy, manufacturing or supply issues arise with the drugs we choose to evaluate in combination with our product candidates, we may be unable to obtain approval of or market our product candidates.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the study design for a number of our product candidates, once a recommended dose is identified from the dose escalation portion of our first-in-human Phase 1/2 clinical trial, we often plan to conduct a portion of that clinical trial in combination with one or more other medicines. We did not develop or obtain marketing approval for, nor do we manufacture or sell, any of the currently approved drugs that we may study in combination with our product candidates. If the FDA or similar regulatory authorities outside of the United States revoke their approval of the drug or drugs we intend to deliver in combination with our product candidates, we will not be able to market our product candidates in combination with those revoked drugs.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our product candidates, the FDA or similar regulatory authorities outside of the United States may require us to conduct additional clinical trials. In addition, if manufacturing or other issues result in a shortage of supply of the drugs with which we determine to combine with our product candidates, we may not be able to complete clinical development of our product candidates on our current timeline or at all.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Even if our product candidates were to receive marketing approval or be commercialized for use in combination with other existing drugs, we would continue to be subject to the risks that the FDA or similar regulatory authorities outside of the United States could revoke approval of the drugs used in combination with our product candidates or that safety, efficacy, manufacturing or supply issues could arise with these existing drugs.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identify or discover additional potential product candidates.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our current clinical stage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56" w:lineRule="exact"/>
        <w:rPr>
          <w:sz w:val="20"/>
          <w:szCs w:val="20"/>
          <w:color w:val="auto"/>
        </w:rPr>
      </w:pPr>
    </w:p>
    <w:p>
      <w:pPr>
        <w:ind w:left="640" w:hanging="317"/>
        <w:spacing w:after="0" w:line="287" w:lineRule="auto"/>
        <w:tabs>
          <w:tab w:leader="none" w:pos="6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candidates may not be effective in treating their targeted diseases; or</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size for the target indications of a potential product candidate may diminish over time due to improvements in the standard of care to the point that further development is not warranted.</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dependence on third parties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currently rely on CROs to conduct our clinical trials, as we currently do not plan to independently conduct clinical trials of any of our product candidates. Additionally, we must contract with third-party research sites for the conduct of our clinical trials. Just as we rely on Betta Pharma to develop CFT8919 in Greater China in an efficient and effective manner, we may also similarly rely on other third party collaboration partners in the future to develop one or more of our products in various territories on certain timelines. Our agreements with these CROs, sites, and other third parties might terminate for a variety of reasons, including a failure to perform by the third parties. If we were ever to need to enter into alternative arrangements or if we were to need to change a CRO for an ongoing clinical trial, which we have done in the past, we might experience delays in our clinical development activities.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safety and confidentiality of trial participants are protected. GCP compliance extends not only to sponsors 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clinical research but also to third parties including CROs and sites involved in the conduct of clinical research. Similarly, other regulators throughout the world require compliance with similar standards that are also applicable to clinical trial sponsors and other third parties like CROs and clinical trial sites.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these CROs or sites may have relationships with other entities, some of which may be our peers or competitors. If the CROs or sites with whom we work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manufacturing sites is required and FDA is unable to complete those required inspections during the review period for any reason.</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be unable to establish agreements with CMOs or to do so on acceptable terms. Even if we are able to establish agreements with CMOs, reliance on third-party manufacturers entails additional risks, including:</w:t>
      </w:r>
    </w:p>
    <w:p>
      <w:pPr>
        <w:spacing w:after="0" w:line="39" w:lineRule="exact"/>
        <w:rPr>
          <w:sz w:val="20"/>
          <w:szCs w:val="20"/>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third party for regulatory, compliance, quality assurance, and manufacturing success;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the manufacturing agreement by the third-party CMO;</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agreement by the third party at a time that is costly or inconvenient for us or the inability of the CMO to provide us with a manufacturing slot when we need it.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anticipate receiving or receive marketing approval for any of our product candidates, we will need to establish or have established an agreement for commercial manufacture with one or more third parties.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Third-party manufacturers may not be able to comply with current good manufacturing practices, or cGMP, regulations or similar regulatory requirements outside of the United States. Some of our molecules are highly potent and, in the absence of additional safety data, they receive a high occupational exposure band, or OEB. These assigned OEBs dictate the containment and other precautions that must be taken as part of the manufacture of our product candidates and, for molecules with high OEB designations, serve to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in some cases, given the potency or OEB of our compounds.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performance failure or delay in performance on the part of our existing or future manufacturers could delay clinical development or marketing authorization. For example, in the past, a CMO with whom we work had a mechanical issue arise in connection with a manufacturing step for a manufacturing run for our CFT7455 product candidate. While this issue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did not ultimately delay the timing of submission of our IND for CFT7455,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 them. While we have identified several potential alternative vendors who could manufacture some or all of our product candidates, switching vendors could result in significant additional costs and delays to our operations as we select and qualify a replacement manufacturer, we may be constrained in the vendors we can select, particularly for compounds that have high OEB designations, or we may not be able to reach agreement with an alternative manufacturer on acceptable terms.</w:t>
      </w:r>
    </w:p>
    <w:p>
      <w:pPr>
        <w:spacing w:after="0" w:line="2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we currently rely on single source suppliers for a portion of our supply chain for our preclinical and clinical trial supplies. If our current or future suppliers, whether for raw materials, drug substance, or drug product, are unable to supply us with sufficient materials for our preclinical studies and clinical trials, we may experience delays in our development efforts as we locate and qualify new suppliers or manufacturers.</w:t>
      </w:r>
    </w:p>
    <w:p>
      <w:pPr>
        <w:spacing w:after="0" w:line="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third-party manufacturers on whom we rely may incorporate their own proprietary processes into our product candidate manufacturing processes. We have limited control and oversight of a third party’s proprietary manufacturing processes. If a third-party manufacturer were to modify its processes, those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our product candidates progress through preclinical studies and clinical trials towards approval and commercialization, we expect that various aspects of the product development and manufacturing process will evolve in an effort to optimize processes and results. Some of those product and manufacturing process changes may involve the use of third-party proprietary technology, which could then cause us to need to obtain a license from third parties. In addition, these types of changes may require that we make amendments to our regulatory applications, which could further delay the timeframes under which modified manufacturing processes can be used for any of our product candidates.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demonstrate analytical comparability and/or conduct additional bridging studies or trials, all of which would require additional time and expense.</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existing collaborations with third parties under which we are engaged in the research, development and commercialization of certain product candidates. If any of these collaborations are not successful, we may not be able to capitalize on the market potential of those product candidates. In addition, these collaborations could impact our intellectual property rights.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have four ongoing collaborations involving our research programs:</w:t>
      </w:r>
    </w:p>
    <w:p>
      <w:pPr>
        <w:spacing w:after="0" w:line="94" w:lineRule="exact"/>
        <w:rPr>
          <w:sz w:val="20"/>
          <w:szCs w:val="20"/>
          <w:color w:val="auto"/>
        </w:rPr>
      </w:pPr>
    </w:p>
    <w:p>
      <w:pPr>
        <w:ind w:left="640" w:hanging="317"/>
        <w:spacing w:after="0" w:line="287" w:lineRule="auto"/>
        <w:tabs>
          <w:tab w:leader="none" w:pos="63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Roche that we entered into in December 2015, which we amended and restated in December 2018 and further amended periodically thereafter, with collaboration activities ongoing as to two targets;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Calico that we entered into in March 2017, which was extended in respect of one program in September 2021 and the research term of which expired in March 2023;</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Biogen that we entered into in December 2018, which was amended in February 2020, with certain research activities on the nominated targets continuing for a period of time beyond the end of the research term in June 2023, as contemplated by the Biogen Agreement; and</w:t>
      </w:r>
    </w:p>
    <w:p>
      <w:pPr>
        <w:spacing w:after="0" w:line="39" w:lineRule="exact"/>
        <w:rPr>
          <w:rFonts w:ascii="Times New Roman" w:cs="Times New Roman" w:eastAsia="Times New Roman" w:hAnsi="Times New Roman"/>
          <w:sz w:val="14"/>
          <w:szCs w:val="14"/>
          <w:color w:val="auto"/>
        </w:rPr>
      </w:pPr>
    </w:p>
    <w:p>
      <w:pPr>
        <w:ind w:left="640" w:right="120" w:hanging="317"/>
        <w:spacing w:after="0" w:line="287" w:lineRule="auto"/>
        <w:tabs>
          <w:tab w:leader="none" w:pos="63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agreement with Merck that we entered into in December 2023, for the development and commercialization of degrader-antibody conjugates, or DACs, with respect to one initial target, with the option for Merck to add up to three additional targets over a stated period of time.</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Under these collaboration agreements, we are generally responsible for developing drug candidates leveraging our TORPEDO platform based on partner-selected targets. Further, these agreements provide that our collaboration partners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have exclusive rights to develop degraders for their selected and reserved targets. As a result, we are not permitted to pursue a target of potential interest – either alone or with another partner – while that target is bound by these restrictions.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that were to happen, we might decide to abandon the program or to move the program forward on our own, which would require us to devote additional resources to the program on a going-forward basis. In addition, if one of our collaborators terminates its agreement with us generally, which they are permitted to do for convenience with between 90 and 270 days’ notice, or with respect to a specific target or in connection with a material breach of the agreement by us that remains uncured for a specified period of time, we may find it more difficult to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It is also possible that our collaborators may not properly obtain, maintain, enforce, or defend the intellectual property or proprietary rights arising out of our licensed programs or may use our proprietary information in a way that could jeopardize or invalidate our proprietary information or expose us to potential litigation. For example, Roche, Biogen, Calico, and Merck have the first right to enforce and defend certain intellectual property rights under the applicable collaboration arrangement with respect to particular licensed programs and, although we may have the right to assume the enforcement and defense of these intellectual property rights if our collaborator does not, our ability to do so may be compromised by their actions. In addition, if any licensed program were later to revert to us, our ability to protect any intellectual property or other proprietary rights associated with that program would be impacted by the intellectual property filings made or other steps taken by our collaborator prior to program reversion. Further, our collaborators may own or co-own intellectual property covering our products that results from our collaborating with them and, in cases where that applies, we would not have the exclusive right to commercialize the collaboration intellectual property.</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May 2023, we entered into the Betta Pharma License Agreement with Betta Pharma under which we are collaborating on the development and commercialization of CFT8919 in Greater China, while retaining rights to develop and commercialize CFT8919 in the rest of the world. Similarly, in the future, we may form or seek strategic alliances, create joint ventures, or other collaborations or enter into additional licensing arrangements with third parties that we believe will complement or augment our development and commercialization efforts with respect to our product candidates and any future product candidates that we may develop. Our likely collaborators in any other collaboration arrangements we may enter into include large and mid-size pharmaceutical companies and biotechnology companies. However, it is possible that we will not be able to enter into a collaboration agreement of this nature or that the terms of any potential new collaboration arrangement may not be favorable.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example, we may seek to enter into collaboration arrangements to advance our CFT7455 product candidate in MM or other indications or we may form or seek to form collaboration arrangements to enable our development and commercialization of a product candidate in a specified geographic area, as we have done in the case of CFT8919 and our collaboration with Betta Pharma. In addition, as we did in our collaboration agreement with Merck, we may seek to enter into collaboration agreements that enable other companies to access and leverage our TORPEDO platform to develop medicines directed at targets selected by our collaboration partners. Any of these relationships may require us to incur non-recurring and other charges, increase our near and long-term expenditures, issue securities that dilute our existing stockholders or disrupt our management and business.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Additionally, our existing partners may decide to acquire or partner with other companies developing targeted protein degraders or directed at the targets or indications to which our product candidates are directed, which may have an adverse impact on our business prospects, financial condition and results of operations.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commercialization of our product candidates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56" w:lineRule="exact"/>
        <w:rPr>
          <w:sz w:val="20"/>
          <w:szCs w:val="20"/>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potential advantages compared to alternative treatments;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in particular compared to alternative treatments;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our products for sale at competitive prices and the ability of governmental authorities to require that we negotiate the pricing of our products, as well as the timing of these mandatory negotiations;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compared to alternative treatments;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treating these patients to prescribe these therapies;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sales, and distribution support;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insurance coverage and adequate reimbursement;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any marketing approval in relation to other product approvals;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from patient advocacy groups;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products together with other medications.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company, we currently have no marketing and sales organization and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company, we currently have no sales, marketing, or distribution capabilities and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 opportunities for our product candidates may be relatively small as we expect that they will initially be approved only for those patients who are ineligible for other approved treatments or have failed prior treatments. In addition, our estimates of the prevalence of our target patient populations may be inaccurate.</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developing product candidates to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or, in the case of CFT8919, Betta Pharma, receive marketing approval of any of our product candidates, our products may become subject to unfavorable pricing regulations, third-party reimbursement practices, or healthcare reform initiatives, any of which would impact our business.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or, in the case of CFT8919, Betta Pharma, might obtain marketing approval for a product candidate in a particular country, but then be subject to price regulations that delay the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and, in the case of CFT8919, Betta Pharma's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The Medicare Drug Price Negotiation Program, administered by CMS as part of the Inflation Reduction Act of 2022, commonly referred to as the IRA, may apply to our products if they are selected for negotiation, which could materially reduce the amount of revenue we can generate from our products if they are approved.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In addition, in light of the requirements of the IRA, we may be required to negotiate pricing for our product candidates, if approved, with Medicare, with those negotiated prices going into effect nine years after product approval. If coverage and adequate reimbursement are not available or reimbursement is available only to limited levels, we may not be able to successfully commercialize any product candidate for which we obtain marketing approval.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to limit commercialization of any products that we may develop.</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1" w:lineRule="exact"/>
        <w:rPr>
          <w:sz w:val="20"/>
          <w:szCs w:val="20"/>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or products that we may develop;</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marketing approval, product recall, restriction on the approval or a “black box” warning or contraindication for an approved drug;</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the related litigation and/or increased product liability insurance costs;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patent protection for our technology, product candidates, and products or if the scope of the patent protection obtained is not sufficiently broad or enforceable, our competitors could develop and commercialize technology, product candidates, and products similar or identical to ours, our ability to successfully commercialize our technology, product candidates, and products may be impaired or we may not be able to compete effectively in our market.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rely upon a combination of patents, trade secret protection and confidentiality agreements to protect our intellectual property and prevent others from exploiting our platform technologies, our pipeline drug product candidates, any future drug product candidates we may develop and their use or manufacture.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patents and other proprietary protection in the United States and other countries with respect to our proprietary technology, product candidates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patent prosecution process is expensive and time consuming and we may not be able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and patent applications, covering technology that we license from third parties or that we license to our collaborators. Therefore, these patents and applications may not be prosecuted and enforced in a manner consistent with the best interests of our business.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patent position of the biopharmaceutical industry generally is highly uncertain, involves complex legal and factual questions and has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those inventions. As a result, the issuance, scope, validity, enforceability and commercial value of our patent rights or those of our collaborators are highly uncertain. Our pending and future patent applications may not result in patents being issued that protect our technology, product candidates or products, in whole or in part, or that effectively prevent others from commercializing competitive technologies, product candidates and products. Changes in either the patent laws or interpretation of the patent or other laws in the United States and other countries may diminish the value of our patents and potential applications, narrow the scope of our patent protection, or cause us to be required to pay royalties to third parties.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product candidates, or products in a non-infringing manner.</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product candidates, and products or limit the duration of the patent protection of our technology, product candidates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U.S. patent law. These changes include provisions that affect the way patent applications are prosecuted and may also affect patent litigation. The U.S.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provision of the Leahy-Smith Act requires us to act promptly during the period from invention to filing of a patent application, as there is always a risk that a third party could file a patent application that could be blocking to our patent filings.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The Leahy-Smith Act created, for the first time, new procedures under which third parties may challenge issued patents in the United States, including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after the nine-month period for filing a post-grant review petition has expired. Post-grant review proceedings can be brought on any ground of challenge, whereas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can only be brought to raise a challenge based on published prior art. Under applicable law, the standard of review for these types of adversarial actions at the USPTO are conducted without the presumption of validity afforded to U.S. patents, which is the standard that applies if a third party were to seek to invalidate a patent through a lawsuit filed in the federal courts of the United States. The USPTO issued a Final Rule on November 11, 2018 announcing that it will now use the same claim construction currently used in the federal courts of the United States—which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this legislation,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Competitors may infringe our issued patents, the patents of our licensors or collaborators or our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or actually invalidated, held unenforceable or interpreted narrowly. Even if we successfully assert our patents, a court may not award remedies that sufficiently compensate us for our losses. In addition, we may not have sufficient financial or other resources to seek to enforce our patents adequately against perceived infringers, which could have a material and adverse effect on the profitability of our products.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license intellectual property from third parties and licenses of this nature may not be available or may not be available on commercially reasonable terms.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third party may hold intellectual property, including patent rights, that are important or necessary to the development or manufacture of our products or our collaborators’ products. It may, therefore, be necessary for us to use the patented or proprietary technology of a third party to commercialize our own technology or products or those of our collaborators, in which case we or our collaborators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derivation proceedings, or interference proceedings before the USPTO and oppositions and other comparable proceedings in foreign jurisdictions.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may become party to or threatened with future adversarial proceedings or litigation regarding intellectual property rights with respect to our product candidates and technology, including derivation,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or interference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our product candidates or use of our technologies infringes upon these patents.</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we are found by a court of competent jurisdiction to infringe a third party’s intellectual property rights, we could be required to obtain a license from the applicable third-party intellectual property holder to continue developing and marketing our product candidates,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 number of other companies, as well as universities and other organizations, file and obtain patents in the same areas as our products, which are targeted protein degraders, or our platform technologies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MonoDAC and BiDAC product candidates are small molecule pharmaceuticals, which degrade specific proteins. A number of companies and institutions have patent applications and issued patents in this general area, such as, for example, Accutar Biotechnology, Inc., Amgen Inc., Amphista Therapeutics, Ltd., Araxes Pharma, LLC, Arvinas, Inc., Astellas Pharma Inc., AstraZeneca PLC, Aurigen Discovery Technologies, Ltd., Bayer AG (and its subsidiary Vividion Therapeutics, Inc.), Beigene Co. Ltd., BioTheryX, Inc., Boehringer Ingelheim International GmbH, Bristol Myers Squibb Company (and its subsidiary Celgene Corporation), Captor Therapeutics Inc., Cullgen Inc., the Dana-Farber Cancer Institute and its Center for Protein Degradation, Dialectic Therapeutics, Inc., Foghorn Therapeutics, Inc., Frontier Medicines Corporation, GlaxoSmithKline PLC, Genentech, Inc., Glubio Therapeutics, Inc., Hinova Pharmaceuticals, Inc., Janssen Biotech, Inc., Kymera Therapeutics, Inc., Monte Rosa Therapeutics, Inc., Novartis International AG, Nurix Therapeutics, Inc., Orum Thereapeutic, Inc., Otsuka Pharmaceuticals, Inc., Phoremost, Ltd., Plexium, Inc., Prelude Therapeutics, Inc., Inc., Roche AG, Salarius Pharmaceuticals Inc., Salarius Pharmaceuticals, Inc., Seed Therapeutics, Inc., Sichuan Haisco Pharmaceutical Co., Ltd., SK Life Science Labs, Inc. (a subsidiary of SK Biopharmaceuticals Co. Ltd)., the University of Michigan School of Medicine, Vertex Pharmaceuticals, Inc., and others. If any of these companies or institutions or others not included in this list were to assert that one of its patents is infringed by any product candidate or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typically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assurance that a third party practicing in the general area of our technology will not present or has not presented a patent claim that covers one or more of our product candidates or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For example, on May 1, 2023, we filed a petition with the USPTO Patent Trial and Appeal Board, or PTAB, seeking a post-grant review of all the claims of U.S. patent number 11,414,416 (referred to as the ‘416 patent), and on October 23, 2023, we filed a petition with PTAB seeking post-grant review of all the claims of U.S. patent number 11,560,381 (referred to as the ‘381 patent). Both the ‘416 patent and the ‘381 patent relate to compounds for the treatment of BRD9-related disorders. The ‘416 patent challenge was successfully resolved as a result of the patent owner filing, on August 21, 2023, a statutory disclaimer of all the ‘416 patent claims, thereby relinquishing all their legal rights to and under the ‘416 patent. The '381 patent challenge was successfully resolved as a result of the patent owner filing, on January 17, 2024, a statutory disclaimer of all the '381 patent claims, thereby relinquishing all their rights to and under the '381 patent. If we determine that we require a license to a third party’s patent or patent application, we may discover that a license may not be available on reasonable terms, or at all, which could prevent us or our collaborators from selling a product or using our proprietary technologies.</w:t>
      </w:r>
    </w:p>
    <w:p>
      <w:pPr>
        <w:spacing w:after="0" w:line="59"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if and when approved, will be subject to The Drug Price Competition and Patent Term Restoration Act of 1984, which is also referred to as the Hatch-Waxman Act, in the United States, which can increase the risk of litigation with generic companies trying to sell our products and may cause us to lose patent protection.</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our clinical candidates are pharmaceutical molecules that will be reviewed by the Center for Drug Evaluation and Research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the Hatch-Waxman Act, we will list patents that cover our drug products or their respective methods of use in the FDA’s compendium of “Approved Drug Products with Therapeutic Equivalence Evaluation,” sometimes referred to as the Orange Book.</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generic drug manufacturer, the U.S. Federal Trade Commission or another entity may challenge the listing. If one of our product candidates is approved and a patent covering that product candidate is not listed in the Orange Book, with respect to any unlisted patent, a generic drug manufacturer would not have to provide advance notice to us of any ANDA filed with the FDA to obtain permission to sell a generic version of that product candidate.</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Currently, in the United States, the FDA may grant five years of data exclusivity for new chemical entities, or NCEs, which are drugs that contain no active portion that has been approved by the FDA in any other new drug application, or NDA. We expect that all of our products will qualify as NCEs; however, the FDA will not conduct an assessment for NCE status until it is reviewing a marketing application for that drug. A generic company can submit an ANDA to the FDA four years after approval of any of our drug products designated as an NCE.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If a lawsuit is brought, the FDA is prevented from issuing a final approval of an ANDA for the generic drug until 30 months from our receipt of the generic manufacturer's certification notice, or such shorter or longer time as the presiding court might order based on certain behaviors of the parties,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prior to the expiration of our patent or otherwise in a manner that adversely affects the strength, validity or enforceability of our patents.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Times New Roman" w:cs="Times New Roman" w:eastAsia="Times New Roman" w:hAnsi="Times New Roman"/>
          <w:sz w:val="14"/>
          <w:szCs w:val="14"/>
          <w:i w:val="1"/>
          <w:iCs w:val="1"/>
          <w:color w:val="auto"/>
        </w:rPr>
        <w:t>FTC v. Actavis, Inc.</w:t>
      </w:r>
      <w:r>
        <w:rPr>
          <w:rFonts w:ascii="Times New Roman" w:cs="Times New Roman" w:eastAsia="Times New Roman" w:hAnsi="Times New Roman"/>
          <w:sz w:val="14"/>
          <w:szCs w:val="14"/>
          <w:color w:val="auto"/>
        </w:rPr>
        <w:t xml:space="preserve"> rejected both the pharmaceutical industry’s and FTC’s arguments with regard to so-called reverse payments. Instead, the Supreme Court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Times New Roman" w:cs="Times New Roman" w:eastAsia="Times New Roman" w:hAnsi="Times New Roman"/>
          <w:sz w:val="14"/>
          <w:szCs w:val="14"/>
          <w:i w:val="1"/>
          <w:iCs w:val="1"/>
          <w:color w:val="auto"/>
        </w:rPr>
        <w:t>Actavis</w:t>
      </w:r>
      <w:r>
        <w:rPr>
          <w:rFonts w:ascii="Times New Roman" w:cs="Times New Roman" w:eastAsia="Times New Roman" w:hAnsi="Times New Roman"/>
          <w:sz w:val="14"/>
          <w:szCs w:val="14"/>
          <w:color w:val="auto"/>
        </w:rPr>
        <w:t>), as well as the lack of any other convincing 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 of delay by us during these periods. There is also a limit on the patent term extension to a term that is no greater than fourteen years from the date of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In addition, the regulatory review period of an FDA-approved product may not serve as the basis for a patent term extension if the active ingredient of such product was subject to regulatory review and approval in an earlier product approved by the FDA.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Weakening patent laws and enforcement by courts in the United States and foreign countries may impact our ability to protect our markets.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that may be subject to contractual confidentiality and non-use obligations.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patent offices in foreign countries in several stages over the lifetime of a patent application and any resulting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only have limited geographical protection with respect to certain of our patents and we may not be able to protect our intellectual property rights throughout the world.</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Filing, prosecuting, maintaining,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maintaining,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European Union. These products may compete with our product candidates, and our or our licensors’ patents or other intellectual property rights may not be effective or sufficient to prevent them from competing.</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matters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Receiving regulatory approval from the FDA and foreign regulatory authorities is lengthy, time-consuming and inherently unpredictable and, if we are ultimately unable to obtain marketing approval for our product candidates, our business will be substantially harmed.</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amount of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standards,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candidates could fail to receive or retain marketing approval for many reasons, including the following:</w:t>
      </w:r>
    </w:p>
    <w:p>
      <w:pPr>
        <w:spacing w:after="0" w:line="94" w:lineRule="exact"/>
        <w:rPr>
          <w:sz w:val="20"/>
          <w:szCs w:val="20"/>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foreign regulatory authority, each referred to here as a health authority, may disagree with the design or implementation of our clinical trials;</w:t>
      </w:r>
    </w:p>
    <w:p>
      <w:pPr>
        <w:spacing w:after="0" w:line="200" w:lineRule="exact"/>
        <w:rPr>
          <w:rFonts w:ascii="Times New Roman" w:cs="Times New Roman" w:eastAsia="Times New Roman" w:hAnsi="Times New Roman"/>
          <w:sz w:val="14"/>
          <w:szCs w:val="14"/>
          <w:color w:val="auto"/>
        </w:rPr>
      </w:pPr>
    </w:p>
    <w:p>
      <w:pPr>
        <w:spacing w:after="0" w:line="28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line="287" w:lineRule="auto"/>
        <w:tabs>
          <w:tab w:leader="none" w:pos="6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health authority that a product candidate is safe and effective for its proposed indication, or that it is of sufficient strength, identity, or quality in accordance with the health authority's standards;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may not meet the level of statistical significance required by the health authority for approval;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authority may disagree with our interpretation of data from preclinical studies or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collected from clinical trials of our product candidates may not be sufficient valid or of sufficient quality to support the submission of an NDA to the FDA or other submission to a foreign regulatory authority or to obtain marketing approval in the United States or any other country or jurisdiction;</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authority may find deficiencies with or fail to approve the manufacturing processes or facilities of third-party manufacturers with which we contract for clinical and commercial supplies; and</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standards, policies, or regulations of a health authority may significantly change in a manner rendering our clinical data insufficient for approval.</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lengthy drug development process, as well as the unpredictability of future clinical trial results, may result in our failing to obtain regulatory approval to allow us to market any of our product candidates, which would significantly harm our business, results of operations, and prospects. The FDA and other health authorities have substantial discretion in the approval process and determining when or whether regulatory approval will be obtained for any of our product candidates, including in the context of accelerated approvals. Even if we believe the data collected from clinical trials of our product candidates are promising, that data may not be sufficient to support approval by the FDA or any other health authority.</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order to market any products in any particular jurisdiction, we must establish and comply with numerous and varying regulatory requirements on a country-by-country basis regarding safety and efficacy.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may be required to conduct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post-approval studies in special populations that are difficult to conduct or complete. We will also be subject to continued compliance with cGMP and GCP requirements for any clinical trials that we conduct post-approval.</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56" w:lineRule="exact"/>
        <w:rPr>
          <w:sz w:val="20"/>
          <w:szCs w:val="20"/>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or mandatory product recalls;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revocation of license approvals;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seek Breakthrough Therapy designation for some or all of our current and future product candidates, including CFT7455 and CFT1946.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although Breakthrough Therapy designation is designed to expedite the development and review of drugs that receive such designation,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our lead product candidates and some or all of our future product candidates for the treatment of various cancers, there can be no assurance that we will receive Breakthrough Therapy designations.</w:t>
      </w:r>
    </w:p>
    <w:p>
      <w:pPr>
        <w:spacing w:after="0" w:line="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Fast Track designation by the FDA, even if granted for one or all of our lead product candidates, or any of our other current or future product candidates, may not lead to a faster development or regulatory review or approval process, and does not increase the likelihood that our product candidates will receive marketing approval.</w:t>
      </w:r>
    </w:p>
    <w:p>
      <w:pPr>
        <w:spacing w:after="0" w:line="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At various times, we may seek Fast Track designation for one or more of our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one or all of our lead product candidates and/or certain of our future product candidates, but there is no assurance that the FDA will grant this status to any of our proposed product candidates and we might only be successful in receiving a Fast Track designation from the FDA for a product candidate after applying on more than one occasion.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and even though Fast Track designation is designed to expedite the development and review of drugs that receive such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obtained Orphan Drug Designation for CFT7455, and if we decide to seek Orphan Drug Designation for any other current or future product candidates, we may be unsuccessful or may be unable to maintain the benefits associated with Orphan Drug Designation, including the potential for supplemental market exclusivity.</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August 2021, the FDA granted Orphan Drug Designation to CFT7455 for the treatment of MM. We may seek Orphan Drug Designation for one or more of our other current or future product candidates. Regulatory authorities in some jurisdictions, including the United States and the European Union,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Although Orphan Drug Designation is intended to incent drug development for rare diseases or conditions, Orphan Drug Designation does not convey any advantage in, or shorten the duration of, the regulatory review and approval process. In addition, while receipt of Orphan Drug Designation may result in a waiver of any obligation by FDA to conduct studies in pediatric populations, such waiver may not apply to oncology drugs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indication or disease. Further, the FDA can waive orphan drug exclusivity if we are unable to manufacture sufficient supply of our product.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also seek Orphan Drug Designations for our other lead candidates and/or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even if we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FDCA and its orphan drug regulations, in a way that limits or blocks our ability to obtain an Orphan Drug Designation or orphan drug exclusivity, if our product candidates are approved, for our targeted indications.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seek approval of our product candidates,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plan to seek accelerated approval of our lead product candidates and may seek approval of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Under the Food and Drug Omnibus Reform Act, commonly referred to as FDORA, the FDA is permitted to require, as appropriate, that a post-approval confirmatory study or studies be underway prior to approval or within a specified time period after the date of approval for a product that is granted accelerated approval. FDORA also requires sponsors to send updates to the FDA every 180 days on the status of these studies, including progress towards enrollment targets, and the FDA must promptly post this information publicly. FDORA also gives the FDA increased authority to withdraw accelerated approval on an expedited basis if the sponsor fails to conduct such activities in a timely manner, send the necessary updates to the FDA, or if such post-approval studies fail to verify the drug's predicted clinical benefit; and to take action, such as issuing fines, against companies that fail to conduct with due diligence any post-approval confirmatory study or submit timely reports to the agency on their progress. In addition, the FDA generally requires pre-approval of promotional materials for products receiving accelerated approval, which could adversely impact the timing of the commercial launch of the product. Thus, even if we seek to utilize the accelerated approval pathway for any of our product candidates, we may not be able to obtain accelerated approval, and even if we do, that product may not experience a faster development or regulatory review or approval process. In addition, receiving accelerated approval does not assure the product’s accelerated approval will eventually be converted to a traditional approval.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may identify in a written request that pediatric information would be beneficial for a product candidate for which we obtained approval and request that we conduct pediatric studies.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elect not to perform these studies or, if we opted to conduct these studies, we may not be able to complete them or the data generated from these studies may not be acceptable to the FDA.</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Section 505(A) of the Food, Drug, and Cosmetic Act, or the FDC Act, provides incentives to drug manufacturers who conduct studies of drugs in children. Referred to as the “pediatric exclusivity provision,” this law provides an additional six months of non-patent exclusivity to pharmaceutical manufacturers that conduct acceptable pediatric studies of new and currently-marketed drug products for which pediatric data would be beneficial pursuant to a written request by the FDA. As a result, if we received a written request for pediatric studies from the FDA, conducted pediatric clinical studies and submitted reports that were accepted by the FDA within the statutory time limits, we could receive an additional six-months of regulatory exclusivity beyond all other types of patent and non-patent exclusivity then in effect for all our approved drug products that contain the active moiety for which pediatric exclusivity was granted. However, even if we received a written request for pediatric studies from the FDA for one or more of our drug products, we may determine not to or be unable to carry out pediatric studies that comply with Section 505(A) of the FDC Act, or we may carry out studies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are not accepted by the FDA for this purpose. If this situation were to arise, we would not receive this additional six-month regulatory exclusivity extension.</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healthcare providers, and third-party payors are or will be subject, directly or indirectly, to foreign,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 See the sections entitled “</w:t>
      </w:r>
      <w:r>
        <w:rPr>
          <w:rFonts w:ascii="Times New Roman" w:cs="Times New Roman" w:eastAsia="Times New Roman" w:hAnsi="Times New Roman"/>
          <w:sz w:val="14"/>
          <w:szCs w:val="14"/>
          <w:i w:val="1"/>
          <w:iCs w:val="1"/>
          <w:color w:val="auto"/>
        </w:rPr>
        <w:t>Business — Other Healthcare Laws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Business — Healthcare Reform</w:t>
      </w:r>
      <w:r>
        <w:rPr>
          <w:rFonts w:ascii="Times New Roman" w:cs="Times New Roman" w:eastAsia="Times New Roman" w:hAnsi="Times New Roman"/>
          <w:sz w:val="14"/>
          <w:szCs w:val="14"/>
          <w:color w:val="auto"/>
        </w:rPr>
        <w:t>” in our 2022 Annual Report.</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pay for and establish reimbursement levels. See the section entitled “</w:t>
      </w:r>
      <w:r>
        <w:rPr>
          <w:rFonts w:ascii="Times New Roman" w:cs="Times New Roman" w:eastAsia="Times New Roman" w:hAnsi="Times New Roman"/>
          <w:sz w:val="14"/>
          <w:szCs w:val="14"/>
          <w:i w:val="1"/>
          <w:iCs w:val="1"/>
          <w:color w:val="auto"/>
        </w:rPr>
        <w:t>Coverage and Reimbursement</w:t>
      </w:r>
      <w:r>
        <w:rPr>
          <w:rFonts w:ascii="Times New Roman" w:cs="Times New Roman" w:eastAsia="Times New Roman" w:hAnsi="Times New Roman"/>
          <w:sz w:val="14"/>
          <w:szCs w:val="14"/>
          <w:color w:val="auto"/>
        </w:rPr>
        <w:t>” in our 2022 Annual Report.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 &amp; Medicaid Services, or CMS, an agency within the United States Department of Health and Human Services, or HHS. CMS will decide whether and to what extent our products will be covered and reimbursed under Medicare and private payors tend to follow CMS to a substantial degree. Factors considered by payors in determining reimbursement are based on whether the product is:</w:t>
      </w:r>
    </w:p>
    <w:p>
      <w:pPr>
        <w:spacing w:after="0" w:line="62" w:lineRule="exact"/>
        <w:rPr>
          <w:sz w:val="20"/>
          <w:szCs w:val="20"/>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be sure that coverage and reimbursement will be available for or accurately estimate the potential revenue from our product candidates or assure that coverage and reimbursement will be available for any product that we may develop.</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Lastly, in some foreign countries, the proposed pricing for a drug must be approved before it may be lawfully marketed. The requirements governing drug pricing vary widely from country to country. For example, countries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reimbursement and pricing arrangements for any of our product candidates. Historically, products launched in the EU do not follow price structures of the United States and generally prices in the EU tend to be significantly lower than prices in the United States.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See the section entitled “</w:t>
      </w:r>
      <w:r>
        <w:rPr>
          <w:rFonts w:ascii="Times New Roman" w:cs="Times New Roman" w:eastAsia="Times New Roman" w:hAnsi="Times New Roman"/>
          <w:sz w:val="14"/>
          <w:szCs w:val="14"/>
          <w:i w:val="1"/>
          <w:iCs w:val="1"/>
          <w:color w:val="auto"/>
        </w:rPr>
        <w:t>Business — Government Regulation - Healthcare Reform</w:t>
      </w:r>
      <w:r>
        <w:rPr>
          <w:rFonts w:ascii="Times New Roman" w:cs="Times New Roman" w:eastAsia="Times New Roman" w:hAnsi="Times New Roman"/>
          <w:sz w:val="14"/>
          <w:szCs w:val="14"/>
          <w:color w:val="auto"/>
        </w:rPr>
        <w:t>” in our 202 Annual Report.</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This could result in reduced demand for any product candidate we develop or could result in additional pricing pressures.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predict the likelihood, nature or extent of government regulation that may arise from future legislation or administrative action in the United States or any other jurisdiction. The continuing efforts of the government, insurance companies, managed care organizations and other payors of healthcare services to contain or reduce costs of healthcare and/or impose price controls may adversely affect:</w:t>
      </w:r>
    </w:p>
    <w:p>
      <w:pPr>
        <w:spacing w:after="0" w:line="51" w:lineRule="exact"/>
        <w:rPr>
          <w:sz w:val="20"/>
          <w:szCs w:val="20"/>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our product candidates, if we obtain regulatory approval;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approved products;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taxes that we are required to pay;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face potential liability under applicable privacy laws, in the United States as well as other jurisdictions, if we obtain identifiable patient health information from clinical trials sponsored by us.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Depending on the facts and circumstances, we could be subject to civil, criminal, and administrative penalties if we obtain, use, or disclose individually identifiable health information maintained by a HIPAA-covered entity in a manner that is not authorized or permitted by HIPAA. In addition, we may be subject to state laws requiring notification of affected individuals and state regulators in the event of a breach of personal information, which is a broader class of information than the health information protected by HIPAA.</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laws or self-regulatory standards could result in negative publicity, diversion of management time and effort and proceedings against us by governmental entities or others.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United States, the California Consumer Privacy Act of 2018, or the CCPA,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Additionally, the CCPA was amended by the California Privacy Rights Act, or CPRA, which became effective on January 1, 2023. The amendments introduced by the CPRA significantly modified the CCPA, including by imposing additional obligations on covered businesses, expanding consumers’ rights and imposing new obligations with respect to certain sensitive personal information. The CPRA also created a new state agency that is vested with authority to implement and enforce the CCPA. The effects of the CCPA, as amended,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Furthermore, numerous states have passed broad consumer privacy laws that are similar in many respects to the CCPA and with many other states proposing similar laws, it is quite possible that other states will follow suit and also pass comprehensive privacy-focused legislation. If enacted, this type of legislation may add additional complexity, further variation in requirements, restrictions and potential legal risk, require additional investment of resources in compliance programs, impact data collection strategies and the availability of previously useful data and could result in increased compliance costs and/or changes in business practices and policies. The existence of comprehensive privacy laws in different states within the United States will make our compliance obligations more complex and costly and may increase the likelihood that we may be subject to enforcement actions or otherwise incur liability for noncompliance. Further, in addition to comprehensive laws at the state level, some states have been proposing or passing laws that target particular aspects of privacy. For example, the state of Washington has passed a wide-ranging law that protects the privacy of medical and health-related information that is not covered by HIPAA and a small number of states have passed laws specifically focused on biometric information.</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increasing number and complexity of privacy and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5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Outside of the United States, we also face the challenge of stringent privacy and data protection laws. For example, legislators in the European Economic Area, or EEA, adopted the European Union, or EU, General Data Protection Regulation, or EU GDPR, and the EU GDPR, as transposed into the laws of the United Kingdom, the UK GDPR, collectively referred to as the GDPR. The GDPR imposes more stringent data protection compliance requirements on controllers and processors of personal data of subjects located in the EEA and UK, including special protections for "special category data," which includes health, biometric, and genetic information and provides for significant penalties for noncompliance. Further, the GDPR provides a broad right for EEA Member States to create supplemental national laws, as laws relating to the processing of health, genetic, and biometric data, which could further limit our ability to use and share such data or could cause our costs to increase, and harm our business and financial condition. The GDPR includes compliance obligations that may be applicable to our business, which could cause us to change our business practices, and increases financial penalties for noncompliance (including possible fines of up to the greater of €20 million (£17.5 million under the UK GDPR) and 4% of our global annual turnover for the preceding financial year for the most serious violations, as well as the right to compensation for financial or non-financial damages claimed by any individuals under Article 82 of the GDPR). In addition to such fines, we may be subject to litigation and/or adverse publicity, which could have a material adverse effect on our reputation and business.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 we may be required to put in place additional mechanisms to ensure compliance with the GDPR, including GDPR requirements as implemented by individual countries.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GDPR requires us to inform data subjects of how we process their personal data and how they can exercise their rights, ensure we have a valid legal basis to process personal data (if this is consent, the requirements for obtaining consent carries a higher threshold), and appoint a data protection officer where sensitive personal data (i.e., health data) is processed on a large scale. In addition, the GDPR introduces mandatory data breach notification requirements throughout the EEA and UK, requires us to maintain records of our processing activities and to document data protection impact assessments where there is high risk processing, imposes additional obligations on us when we are contracting with service providers, requires appropriate technical and organizational measures be put in place to safeguard personal data and requires us to adopt appropriate privacy governance including policies, procedures, training and data audit. We are taking steps to comply with the GDPR as appropriate and as and when applicable to us, but this is an ongoing compliance process. Compliance with the GDPR will be a rigorous and time-intensive process that may increase our cost of doing business or require us to change our business practices. If our efforts to comply with GDPR or other applicable EEA and UK laws and regulations are not successful, or are perceived to be unsuccessful, it could adversely affect our business in the EEA and/or the UK.</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Significantly, 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w:t>
      </w:r>
      <w:r>
        <w:rPr>
          <w:rFonts w:ascii="Times New Roman" w:cs="Times New Roman" w:eastAsia="Times New Roman" w:hAnsi="Times New Roman"/>
          <w:sz w:val="14"/>
          <w:szCs w:val="14"/>
          <w:color w:val="231F20"/>
        </w:rPr>
        <w:t>The international transfer obligations under the EEA and UK data protection regimes will require significant effort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cost, and may result in us needing to make strategic considerations around where EEA and UK personal data is located and which service providers we can utilize for the processing of EEA and UK personal data. </w:t>
      </w:r>
      <w:r>
        <w:rPr>
          <w:rFonts w:ascii="Times New Roman" w:cs="Times New Roman" w:eastAsia="Times New Roman" w:hAnsi="Times New Roman"/>
          <w:sz w:val="14"/>
          <w:szCs w:val="14"/>
          <w:color w:val="000000"/>
        </w:rPr>
        <w:t>Any inability to transfer personal data from the EEA to the United States in compliance with data protection laws may impede our ability to conduct trials and may adversely affect our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business and financial position.</w:t>
      </w:r>
    </w:p>
    <w:p>
      <w:pPr>
        <w:spacing w:after="0" w:line="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Further, the UK government has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In addition, EEA Member States have adopted national laws to implement the GDPR that may partially deviate from the GDPR. Further, the competent authorities in the EEA Member States may interpret GDPR obligations slightly differently from country to country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Outside of the United States and Europe, many jurisdictions in which we have CROs or otherwise do business are also considering and/or have enacted comprehensive data protection legislation. We may, however, incur liabilities, expenses, costs and other operational losses under the GDPR and applicable EEA Member States and the UK privacy laws in connection with any measures we take to comply with them.</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be subject to the supervision of local data protection authorities in those jurisdictions where we are processing personal data in the EEA and UK, including where our business activities involve monitoring the behavior of individuals in the EEA or UK (for example, when undertaking clinical trials). We depend on a number of third parties in relation to the provision of our services, a number of which process personal data of EEA and/or UK individuals on our behalf. With each such provider we enter or intend to enter into contractual arrangements under which they are contractually obligated to only process personal data according to our instructions, and conduct or intend to conduct diligence to ensure that they have sufficient technical and organizational security measures in place.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we are subject to state and foreign equivalents of each of the healthcare laws described above, among others, some of which may be broader in scope and may apply regardless of the payor.</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United States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employee matters, managing growth, and operational matters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Chief Scientific Officer, Chief Medical Officer, Chief Financial Officer, Chief Legal Officer, Chief People Officer, and Chief Business Officer. The loss of the services of any of our executive officers, other key employees, and other scientific and medical advisors, and an inability to find suitable replacements could result in delays in product development, and harm our business.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encourage valuable employees to remain at our company, in addition to salary and cash incentives, we have provided stock options and other equity awards that vest over time or based on the achievement of milestones. The value to our employees of equity awards that vest over time may be significantly affected by movements in our stock price that are beyond our control and may, at any time, be insufficient to counteract more lucrative offers from other companies. The same may be true in respect of equity awards that vest based on the achievement of milestones.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of any of our collaborators, vendors, contractors, or consultants, may fail or suffer security breaches, which could result in a material disruption of our product development programs and could harm our reputation or subject us to liability, and adversely affect our business and financial results.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internal computer systems and those of any collaborators, vendors,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actual or perceived security breach of our platform, systems, and networks could damage our reputation and brand, expose us to a risk of litigation and possible liability, and require us to expend significant capital and other resources to respond to and alleviate problems caused by the security breach. Our ability to maintain adequate cyber-crime and liability insurance may be reduced. Some jurisdictions have enacted laws requiring companies to notify individuals of data security breaches involving certain types of personal data and our agreements with certain partners require us to notify them in the event of a security incident. These types of mandatory disclosures are costly, could lead to negative publicity, and may cause our partners to lose confidence in the effectiveness of our data security measures. Any of these events could harm our reputation or subject us to liability, and materially and adversely affect our business and financial results. Although we maintain cyber liability insurance, we cannot be certain that its coverage will be adequate for liabilities actually incurred or that insurance will continue to be available to us on economically reasonable terms, or at all.</w:t>
      </w:r>
    </w:p>
    <w:p>
      <w:pPr>
        <w:spacing w:after="0" w:line="22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exposed to the risk that our employees, independent contractors, vendors, principal investigators, CROs, CMOs, and consultants may engage in fraudulent conduct or other illegal activity.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Misconduct by these parties could include, among other things:</w:t>
      </w:r>
    </w:p>
    <w:p>
      <w:pPr>
        <w:spacing w:after="0" w:line="79" w:lineRule="exact"/>
        <w:rPr>
          <w:sz w:val="20"/>
          <w:szCs w:val="20"/>
          <w:color w:val="auto"/>
        </w:rPr>
      </w:pPr>
    </w:p>
    <w:p>
      <w:pPr>
        <w:ind w:left="640" w:hanging="317"/>
        <w:spacing w:after="0" w:line="263" w:lineRule="auto"/>
        <w:tabs>
          <w:tab w:leader="none" w:pos="63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 reckless, or negligent conduct or disclosure of unauthorized activities that violate study and trial protocols or the regulations of the FDA or similar foreign regulatory authorities;</w:t>
      </w:r>
    </w:p>
    <w:p>
      <w:pPr>
        <w:spacing w:after="0" w:line="247"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violations of healthcare fraud and abuse laws and regulations in the United States and abroad;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violations of U.S. federal securities laws relating to trading in our common stock;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to report financial information or data accurately.</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and/or curtailment of our operations, any of which could adversely affect our business prospects, financial condition, and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to determine to raise additional capital in the future, you would suffer dilution of your investment.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Currently, our common stock is listed on The Nasdaq Global Select Market. However, there many not be enough liquidity in such market to enable you to sell your shares of our common stock.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Currently, our common stock is listed on The Nasdaq Global Select Market. If an active trading market for our shares is not sustained, you may not be able to sell your shares quickly or at the market price. We cannot predict the extent to which investor interest in us will lead to sustaining an active, liquid trading market.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or cease publishing research or reports about our business, or if they issue an adverse or misleading opinion regarding our stock, our stock price, and trading volume could decline.</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trading market for our common stock is and will continue to be influenced by the research and reports that industry or securities analysts publish about us, our business or the targeted protein degradation space. We do not have control over these analysts. There can be no assurance that existing analysts will continue to provide research coverage or that new analysts will begin to provide coverage. Although we have obtained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 and fluctuate substantially, which could result in substantial losses for purchasers of our common stock.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trading price of shares of our common stock has been and may continue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w:t>
      </w:r>
    </w:p>
    <w:p>
      <w:pPr>
        <w:spacing w:after="0" w:line="56" w:lineRule="exact"/>
        <w:rPr>
          <w:sz w:val="20"/>
          <w:szCs w:val="20"/>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success of competitive products or technologies or changes in standard of care regimens;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preclinical studies and clinical trials of our product candidates or those of our competitors;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progress of our clinical development activities and the timing of our release of data from our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product candidates or clinical development programs and the value of the cash, cash equivalents, and marketable securities we hold;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technologies or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public health crises, pandemics and epidemics, such as the recent COVID-19 pandemic;</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any of the foregoing factors were viewed as likely to have a negative impact on our business, prospects or operations or if our operating results fall below the expectations of investors or securities analysts, the price of our common stock could decline substantially. In the past, following periods of volatility in the market price of a company’s securities,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capital we have raised and may not use our capital effectively.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has broad discretion in the application of the net proceeds from our prior financings, including our initial and follow-on public offerings,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financing activities in a manner that does not produce income or that loses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principal stockholders will have the ability to control or significantly influence matters submitted to stockholders for approval.</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executive officers and directors, combined with our stockholders who have reported through filings made with the Securities and Exchange Commission that they own more than 5% of our outstanding common stock, in the aggregate, beneficially own a significant percentage of our shares. As a result, our executive officers and directors, combined with our greater than 5% stockholders, have the ability to control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58" w:lineRule="exact"/>
        <w:rPr>
          <w:sz w:val="20"/>
          <w:szCs w:val="20"/>
          <w:color w:val="auto"/>
        </w:rPr>
      </w:pPr>
    </w:p>
    <w:p>
      <w:pPr>
        <w:ind w:left="640" w:hanging="317"/>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defer, or prevent a change in control;</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entrench our management and the board of directors; or</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impede a merger, consolidation, takeover, or other business combination involving us that other stockholders may desire.</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39" w:lineRule="exact"/>
        <w:rPr>
          <w:sz w:val="20"/>
          <w:szCs w:val="20"/>
          <w:color w:val="auto"/>
        </w:rPr>
      </w:pPr>
    </w:p>
    <w:p>
      <w:pPr>
        <w:ind w:left="640" w:hanging="317"/>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board of directors divided into three classes serving staggered three-year terms, the result of which is that not all members of the board will be elected at one time;</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 the result of which is that all stockholder actions will have to be taken at a meeting of our stockholders;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only by the board of directors acting pursuant to a resolution approved by the affirmative vote of a majority of the directors then in office;</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for election to our board of directors;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continue to incur additional costs as a result of operating as a public company and our management will be required to devote substantial time to compliance initiatives and corporate governance practices.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public company, we will continue to incur significant legal, accounting, and other expenses that we would not have to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and insurance costs and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continually evaluate these rules and regulations and cannot always predict or estimate the amount of additional costs we may incur or the timing of these costs.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Section 404 of Sarbanes-Oxley, or Section 404, we are required to furnish a report by our management on our internal control over financial reporting. However, as a "smaller reporting company," we will not be required to include an attestation report on internal control over financial reporting issued by our independent registered public accounting firm until we are no longer a smaller reporting company. As of the end of our fiscal year ended December 31, 2023, we qualified as a “non-accelerated filer” as defined in the Securities Exchange Act of 1934, as amended, or the Exchange Act and as a "smaller reporting company." Our compliance with Section 404 necessitates that we incur substantial accounting expense and expend significant management efforts.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condensed consolidated financial statements.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We refer to this provision in our amended and restated by-laws as the Delaware Forum Provision. The Delaware Forum Provision will not apply to any causes of action arising under the Securities Act of 1933, as amended, the Securities Act, or the Exchange Act of 1934, as amended, or the Exchange Act.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amended and restated by-laws further provide that unless we consent in writing to the selection of an alternative forum, the U.S. District Court for the District of Massachusetts shall be the sole and exclusive forum for resolving any complaint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asserting a cause of action arising under the Securities Act, as our headquarters are located in Watertown, Massachusetts. We refer to this provision in our amended and restated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and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Unstable market conditions and downturn in economic and market conditions may have serious adverse consequences on our business, financial condition and stock price.</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significant volatility associated with the COVID-19 pandemic and recent geopolitical tensions, including the conflicts between Russia and Ukraine and Israel and Hamas, have caused significant instability and disruptions in the capital and credit markets. Global economic conditions continue to be volatile and uncertain in the United States and abroad. Our operations could be adversely affected by economic and political changes in the markets, including higher inflation rates, increasing interest rates, supply chain disruptions, recessions, trade restrictions, tariff increases or potential new tariffs, and economic embargoes imposed by the United States. 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 or not available at all.</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Failure to secure any necessary financing in a timely manner and on favorable terms could have an adverse effect on our growth strategy, financial performance, and stock price and could require us to delay, modify,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While none of these bank closures presented a material exposure to the Company, if any of our lenders or counterparties to any such instruments were to be placed into receivership, we may be unable to access the funds held by those institutions. In addition, if any of our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uncertainty remains over liquidity concerns in the broader financial services industry. Similar impacts have occurred in the past, such as during the 2008-2010 financial crisis.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Inflation and rapid increases in interest rates have led to a decline in the trading value of previously issued government securities with interest rates below current market interest rates. Although the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periodically assess our banking and other relationships as we believe necessary or appropriate, including to ensure that we have appropriate diversification in these relationships. Nonetheless,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 Risk Management and Strategy</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implemented and maintain an ongoing cybersecurity risk management program, under the oversight of the audit committee of the board of directors, that is focused on identifying, assessing and mitigating cyber risk. We engage with multiple third-party vendors who provide a variety of services ranging from ongoing security advisory services to security monitoring and response management. In addition, we also have a process to assess and review the cybersecurity practices of third-party vendors and service providers, including through the use of vendor questionnaires and contractual security requirements, as appropriate. In addition to these efforts, we have implemented an ongoing enterprise risk management program that includes processes designed to identify, assess, and address cybersecurity risks. Our cybersecurity efforts are informed by industry standards and include periodic, targeted risk assessments supported by cybersecurity technologies, including third-party security solutions and monitoring tools, designed to monitor, identify, and address cybersecurity risks.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as a public company, we are subject to various regulatory requirements around our internal controls, including our controls around our information technology systems and their impact on our financial statements or systems. We have engaged a third party vendor to advise us on our compliance with these requirements, including around our controls related to cybersecurity, and strategies to mitigate related risk. If we were to identify any control deficiencies that represent cybersecurity risks, those would be reported to the Chief Financial Officer and the audit committee, together with plans for corrective action, as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 Related to Cybersecurity Risks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cyber risk management program and related operations and processes are managed by our Director of Information Technology, in consultation with the legal and human resources teams. Currently, the Director of Information Technology role is held by an individual who has over 17 years of cybersecurity, information technology, and systems engineering experience. The Director of Information Technology reports to the Chief People Officer.</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Director of Information Technology meets with the Chief People Officer periodically to monitor and review the outcomes of our cybersecurity risk management processes and to discuss and address matters related to cybersecurity risk management strategy. The Director of Information Technology, working with the Chief Legal Officer and Chief People Officer, provides periodic reports to the audit committee, which is responsible for reviewing and overseeing the Company’s risk management processes, including cybersecurity risks. The Chief Financial Officer, Chief People Officer and Chief Legal Officer and/or other senior members of the legal team, participate in audit committee meetings, which are generally led by the Chief Financial Officer, as well as meetings of the full board of directors.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enterprise risk management process is overseen by our Chief Legal Officer and Chief Financial Officer. In collecting information on enterprise risk, cyber security is specifically included as a risk category, and the results of our enterprise risk assessment processes, including risks related to cybersecurity, are also discussed with the audit committee and among senior management on a periodic basis.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lease approximately 111,611 square feet of office and laboratory space in Watertown, Massachusetts under a lease that expires in 2032. We sublease approximately 31,039 square feet of our office and laboratory space in Watertown, Massachusetts, under a sublease arrangement that expires in 2025. We believe that our facilities are sufficient to meet our current needs for the foreseeable future and that suitable additional space will be available as and when needed.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currently a party to any material legal proceedings. From time to time, we may be subject to various legal proceedings and claims that arise in the ordinary course of our business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Regardless of the outcome, litigation can have a material adverse effect on us because of defense and settlement costs, diversion of management resources, and other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common stock has been publicly traded on the Nasdaq Global Select Market under the symbol “CCCC” since October 2, 2020. Prior to that time, there was no public market for our common stock.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15, 2023, there were approximately 60 holders of record of our common stock. This number does not include beneficial owners whose shares are held by nominees in street name.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Information about our equity compensation plans is incorporated herein by reference to Item 12, </w:t>
      </w:r>
      <w:r>
        <w:rPr>
          <w:rFonts w:ascii="Times New Roman" w:cs="Times New Roman" w:eastAsia="Times New Roman" w:hAnsi="Times New Roman"/>
          <w:sz w:val="14"/>
          <w:szCs w:val="14"/>
          <w:i w:val="1"/>
          <w:iCs w:val="1"/>
          <w:color w:val="auto"/>
        </w:rPr>
        <w:t>Security Ownership of Certain Beneficial Owners and Management and Related Stockholder Matters</w:t>
      </w:r>
      <w:r>
        <w:rPr>
          <w:rFonts w:ascii="Times New Roman" w:cs="Times New Roman" w:eastAsia="Times New Roman" w:hAnsi="Times New Roman"/>
          <w:sz w:val="14"/>
          <w:szCs w:val="14"/>
          <w:color w:val="auto"/>
        </w:rPr>
        <w:t>, of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Neither we nor any affiliated purchaser or anyone acting on our behalf or on behalf of an affiliated purchaser made any purchases of shares of our common stock during the year ended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a clinical-stage biopharmaceutical company dedicated to delivering on the promise of TPD science to create a new generation of small-molecule medicines that transform patients’ lives. By leveraging our proprietary TORPEDO platform, we have the capability to efficiently design and optimize small molecule protein degraders that are highly active against their desired targets by harnessing the body’s natural process for destroying unwanted proteins. We believe our novel oral product candidates have the potential to overcome drug resistance often seen with inhibitors, target currently “undruggable” targets and improve patient outcomes.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preclinical and clinical pipeline includes MonoDAC and BiDAC degraders that have the potential to target disease causing proteins for various cancers and other indications in areas of unmet patient need. Our wholly owned pipeline is focused on oncology and our partnership strategy allows us to explore other indications.</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Our most advanced product candidate, CFT7455, is an orally bioavailable MonoDAC degrader of protein targets called IKZF1 and IKZF3, currently in clinical development for multiple myeloma, or MM, and non-Hodgkin lymphoma, or NHL. There is a strong mechanistic rationale and well-defined biology to target IKZF1 and IKZF3 and targeting them with a novel degrader has the potential to address a significant unmet need. In our preclinical studies, this product candidate has demonstrated potent and selective protein degradation with favorable pharmacological properties. We initiated a first-in-human Phase 1/2 clinical trial for this product candidate in June 2021. In August 2021, the United States Food and Drug Administration, or FDA, granted orphan drug designation to CFT7455 for the treatment of MM. In December 2023, we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presented positive clinical data from the dose escalation portion of the CFT7455 Phase 1/2 trial as a monotherapy and in combination with dexamethasone in MM. We continue to progress the ongoing Phase 1/2 clinical trial in MM and NHL.</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next most advanced product candidate, CFT1946, is an orally bioavailable BiDAC degrader designed to be potent and selective against BRAF V600X mutant proteins to treat melanoma, non-small cell lung cancer, or NSCLC, colorectal cancer, or CRC, and other malignancies that harbor this mutation. In preclinical studies, CFT1946 is more efficacious than the standard of care therapies in CRC and NSCLC BRAF V600X xenograft models and in a melanoma patient-derived xenograft, or PDX, BRAF inhibitor resistance model. Additionally, CFT1946 is active in a preclinical metastatic melanoma central-nervous system, or CNS, model. In January 2023, we initiated a first-in-human Phase 1/2 clinical trial of CFT1946 for the treatment of BRAF V600X mutant solid tumors including NSCLC, CRC and melanoma. In January 2024, we shared PK and PD data from the first two dose escalation cohorts of the ongoing Phase 1/2 trial demonstrating dose proportional exposure and oral bioavailability, which are associated with deep BRAF degradation. We continue to progress the ongoing Phase 1/2 clinical trial in BRAF V600X cancers, including melanoma, NSCLC, and CRC.</w:t>
      </w:r>
    </w:p>
    <w:p>
      <w:pPr>
        <w:spacing w:after="0" w:line="2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Additionally, we are developing CFT8919, an orally bioavailable, allosteric, mutant-selective BiDAC degrader of epidermal growth factor receptor, or EGFR, with an L858R mutation in NSCLC. In preclinical studies, CFT8919 demonstrated equipotent anti-proliferation activity against EGFR mutations resistant to EGFR inhibition, including L858R-C797S, L858R-T790M, and L858R-T790M-C797S compared to L858R single mutation in Ba/F3 cell models in vitro. In May 2023, we entered into a license and collaboration agreement with Betta Pharma to collaborate on the development and commercialization of CFT8919 in mainland China, Hong Kong SAR, Macau SAR and Taiwan, with us retaining rights to develop and commercialize CFT8919 in the rest of the world. Additionally in June 2023, the FDA cleared the investigational new drug, or IND, application for CFT8919 and in December 2023, Betta Pharma received clinical trial application, or CTA, clearance for CFT8919 from China's National Medical Product Administration.</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Beyond these initial product candidates, we are further diversifying our pipeline by developing new degraders against both clinically validated and currently undruggable targets for our own proprietary pipeline and for the pipeline we are developing in collaboration with Merck, Biogen and Roche. We have engineered degraders that have successfully achieved blood-brain barrier penetration in preclinical studies, which is a key step in developing medicines with the potential to treat brain metastases in oncology, as well as in therapeutic areas such neurodegenerative diseases. We also believe there are many therapeutic areas and indications where leveraging our TORPEDO platform to develop novel degraders may be advantageous.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9, 2024, we announced 2024 business priorities to execute against our strategic plan. As a result of these revised priorities, we restructured our operations and reduced our workforce by approximately 30%. Additionally, we announced the sale of 13,686,743 shares of our common stock at an average purchase price of $5.42 through the company's at-the-market (or ATM) facility, resulting in net proceeds of $71.8 million.</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4, 2024, we announced the closing of the transaction contemplated under the previously announced stock purchase agreement with a wholly-owned subsidiary of Betta Pharma. At the closing, we sold an affiliate of Betta Pharma 5,567,928 shares of our common stock at a purchase price of $4.49 per share, for an aggregate investment of $25 million. The purchase price represented a 25% premium over the 60-trading-day volume weighted average through the date that was two business days prior to the entry into the stock purchase agreement on May 29, 2023.</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12, 2023, we presented positive clinical data from the dose escalation portion of our Phase 1/2 trial of CFT7455 as a monotherapy and in combination with dexamethasone in MM. We continue to progress the ongoing Phase 1/2 clinical trial in MM and NHL.</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12, 2023, we announced that we entered into an exclusive license and collaboration agreement with Merck to develop degrader-antibody conjugates, or DACs, an emerging modality designed to selectively target and neutralize disease-causing proteins in cancer cells.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20, 2023, we announced the appointment of Owen Hughes to our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1, 2023, we announced a portfolio prioritization decision not to advance CFT8634 beyond the Phase 1 dose escalation portion of the clinical trial.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Operating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3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collaboration agreements with Merck, Betta Pharma, Roche, Biogen, and Calico Life Sciences LLC, or Calico, please see Note 8, </w:t>
      </w:r>
      <w:r>
        <w:rPr>
          <w:rFonts w:ascii="Times New Roman" w:cs="Times New Roman" w:eastAsia="Times New Roman" w:hAnsi="Times New Roman"/>
          <w:sz w:val="14"/>
          <w:szCs w:val="14"/>
          <w:i w:val="1"/>
          <w:iCs w:val="1"/>
          <w:color w:val="auto"/>
        </w:rPr>
        <w:t>Collaboration and license agreements</w:t>
      </w:r>
      <w:r>
        <w:rPr>
          <w:rFonts w:ascii="Times New Roman" w:cs="Times New Roman" w:eastAsia="Times New Roman" w:hAnsi="Times New Roman"/>
          <w:sz w:val="14"/>
          <w:szCs w:val="14"/>
          <w:color w:val="auto"/>
        </w:rPr>
        <w:t>, to the consolidated financial statements in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consist primarily of costs incurred for our research activities, including our discovery efforts, and the development of our product candidates, and include:</w:t>
      </w:r>
    </w:p>
    <w:p>
      <w:pPr>
        <w:spacing w:after="0" w:line="94" w:lineRule="exact"/>
        <w:rPr>
          <w:sz w:val="20"/>
          <w:szCs w:val="20"/>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benefits, and other related costs, including stock-based compensation expense, for personnel engaged in research and development functions;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agreements with third parties, including contract research organizations and other third parties that conduct research, preclinical, and clinical activities on our behalf as well as third parties that manufacture our product candidates for use in our preclinical and clinical trials;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outside consultants, including their fees, and related travel expenses;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laboratory supplies and acquiring materials for preclinical studies and clinical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wind down activities for CFT8634;</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facility-related expenses, which include direct depreciation costs of equipment and allocated expenses for rent and maintenance of facilities and other operating costs;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licensing fees.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56" w:lineRule="exact"/>
        <w:rPr>
          <w:sz w:val="20"/>
          <w:szCs w:val="20"/>
          <w:color w:val="auto"/>
        </w:rPr>
      </w:pPr>
    </w:p>
    <w:p>
      <w:pPr>
        <w:ind w:right="1520"/>
        <w:spacing w:after="0" w:line="379" w:lineRule="auto"/>
        <w:rPr>
          <w:sz w:val="20"/>
          <w:szCs w:val="20"/>
          <w:color w:val="auto"/>
        </w:rPr>
      </w:pPr>
      <w:r>
        <w:rPr>
          <w:rFonts w:ascii="Times New Roman" w:cs="Times New Roman" w:eastAsia="Times New Roman" w:hAnsi="Times New Roman"/>
          <w:sz w:val="14"/>
          <w:szCs w:val="14"/>
          <w:color w:val="auto"/>
        </w:rPr>
        <w:t xml:space="preserve">We expect that our research and development expenses will continue to increase substantially in connection with our planned preclinical and clinical development activities. </w:t>
      </w:r>
      <w:r>
        <w:rPr>
          <w:rFonts w:ascii="Times New Roman" w:cs="Times New Roman" w:eastAsia="Times New Roman" w:hAnsi="Times New Roman"/>
          <w:sz w:val="14"/>
          <w:szCs w:val="14"/>
          <w:b w:val="1"/>
          <w:bCs w:val="1"/>
          <w:i w:val="1"/>
          <w:iCs w:val="1"/>
          <w:color w:val="auto"/>
        </w:rPr>
        <w:t>General and administrative expenses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our general and administrative expenses will continue to increase in the future to support increased research and development activities. These increases will likely include higher costs related to the hiring of additional personnel; fees to outside consultants, lawyers, and accountants; and investor and public relations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primarily consists of the following:</w:t>
      </w:r>
    </w:p>
    <w:p>
      <w:pPr>
        <w:spacing w:after="0" w:line="94" w:lineRule="exact"/>
        <w:rPr>
          <w:sz w:val="20"/>
          <w:szCs w:val="20"/>
          <w:color w:val="auto"/>
        </w:rPr>
      </w:pPr>
    </w:p>
    <w:p>
      <w:pPr>
        <w:ind w:left="640" w:hanging="31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and amortization of our long-term debt;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debt;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and other income earned on our cash, cash equivalents, and marketable securities and accretion of discount on marketable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years ended December 31, 2023 and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from our collaboration and license agreements consisted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collaboration agreements: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19,214</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w:t>
            </w: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Calico Agreement</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6,943</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from collaboration agreements</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$10.3 million decrease in revenue in the year ended December 31, 2023 as compared to the year ended December 31, 2022 is primarily driven by:</w:t>
      </w:r>
    </w:p>
    <w:p>
      <w:pPr>
        <w:spacing w:after="0" w:line="94" w:lineRule="exact"/>
        <w:rPr>
          <w:sz w:val="20"/>
          <w:szCs w:val="20"/>
          <w:color w:val="auto"/>
        </w:rPr>
      </w:pPr>
    </w:p>
    <w:p>
      <w:pPr>
        <w:ind w:left="640" w:hanging="317"/>
        <w:spacing w:after="0" w:line="287" w:lineRule="auto"/>
        <w:tabs>
          <w:tab w:leader="none" w:pos="63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$8.6 million decrease in revenue recognized under the Biogen Agreement primarily as a result of the research term of the Biogen Agreement ending in June 2023, with additional research activities being performed on the nominated targets for a period of time period following the end of the research term, all as contemplated by the Biogen Agreement; and</w:t>
      </w:r>
    </w:p>
    <w:p>
      <w:pPr>
        <w:spacing w:after="0" w:line="39" w:lineRule="exact"/>
        <w:rPr>
          <w:rFonts w:ascii="Times New Roman" w:cs="Times New Roman" w:eastAsia="Times New Roman" w:hAnsi="Times New Roman"/>
          <w:sz w:val="14"/>
          <w:szCs w:val="14"/>
          <w:color w:val="auto"/>
        </w:rPr>
      </w:pPr>
    </w:p>
    <w:p>
      <w:pPr>
        <w:ind w:right="160" w:firstLine="323"/>
        <w:spacing w:after="0" w:line="378" w:lineRule="auto"/>
        <w:tabs>
          <w:tab w:leader="none" w:pos="63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$5.9 million decrease in revenue recognized under the Calico Agreement, as a result of the performance obligation and transaction price becoming fully satisfied as of March 31, 2023. These were partially offset by a $4.1 million increase in revenue recognized under the Roche Agreement, resulting from our 2023 completion of research activities for a nominated target.</w:t>
      </w: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expenses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42,706</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41,068</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Preclinical and development expenses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42,033</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Clinical expenses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10,643</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Facilities and supplies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13,978</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Intellectual property and other expenses</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117,706</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117,841</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$0.1 million decrease in research and development expense in the year ended December 31, 2023 from the year ended December 31, 2022 is primarily driven by a $13.5 million decrease in preclinical and development costs related to additional programs progressing to clinical stages.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were partially offset by:</w:t>
      </w:r>
    </w:p>
    <w:p>
      <w:pPr>
        <w:spacing w:after="0" w:line="94" w:lineRule="exact"/>
        <w:rPr>
          <w:sz w:val="20"/>
          <w:szCs w:val="20"/>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$8.6 million increase in clinical expenses as a result of the ongoing Phase 1/2 clinical trials of CFT7455 and CFT1946, as well as the Phase 1 clinical trial of CFT8634;</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 million increase in intellectual property and other corporate expenses;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$1.7 million increase in personnel expenses representing salary and benefit costs, resulting from an increase in headcount to support our clinical programs;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$1.6 million increase in professional fees.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expenses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30,244</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30,546</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Facilities and supplies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expenses</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42,081</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42,789</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$0.7 million decrease in general and administrative expense in the year ended December 31, 2023 as compared to the year ended December 31, 2022 is primarily driven by a $1.2 million decrease in professional fees and a $0.6 million decrease in personnel and facilities costs, partially offset by a $1.1 million increase in other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other income (expense)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and amortization of long-term debt—related party</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 on extinguishment of long term debt</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$6.5 million increase in other income (expense) for the year ended December 31, 2023 as compared to the year ended December 31, 2022 was driven by a $6.2 million increase in interest and other income resulting from higher interest earned on our investments during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income tax expense was $1.3 million, compared to no income tax expense in the year ended December 31, 2022. This was primarily the result of the $1.0 million withholding tax paid to the Chinese tax authority related to the upfront payment received under the Betta License Agreement and the $0.2 million tax withholding accrued related to the Betta milestone payment received in January (see Note 8 and Note 12).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inception, we have incurred significant operating losses. We expect to incur significant expenses and operating losses for the foreseeable future as we continue development of our programs. We do not currently have any approved products and have never generated any revenue from product sales. To date, we have financed our operations primarily through the sale of preferred stock, public offerings of our common stock, and payments from collaboration partners. As of December 31, 2023, we had cash, cash equivalents and marketable securities of approximately $281.7 million.</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2021, we filed an automatically effective registration statement on Form S-3, or the Registration Statement, with the SEC which registers the offering, issuance, and sale of an unspecified amount of common stock, preferred stock, debt securities, warrants, and/or units of any combination thereof. We simultaneously entered into an equity distribution agreement with Cowen and Company, LLC, as sales agent, to provide for the issuance and sale by us of up to $200.0 million of common stock from time to time in “at-the-market” offerings under the Registration Statement and related prospectus filed with the Registration Statement, or the ATM Program. The Company has sold a total of 13,686,743 shares of its common stock at an average price of $5.42 per share for proceeds, net of commissions and fees, of $71.8 million. For the year ended December 31, 2023, 11,186,142 shares of common stock, for net proceeds of $57.7 million, settled under the ATM Program. In January 2024, 2,500,601 shares were settled for net proceeds of $14.1 million. (see Note 10).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execution of the Betta Pharma License Agreement, the Company, Betta Pharma, and an affiliate of Betta Pharma, (Betta Investment (Hong Kong) Limited, or Betta Investment), entered into a stock purchase agreement dated May 29, 2023, or the Betta Stock Purchase Agreement pursuant to which Betta Investment agreed to purchase 5,567,928 shares of the Company's common stock, or the Shares, for an aggregate purchase price of approximately $25.0 million, or $4.49 per share, which represented a 25% premium over the 60-trading-day volume weighted average closing price as of two trading days prior to the effective date of the Betta Stock Purchase Agreement. The Betta Stock Purchase Agreement has certain restrictions customary to agreements of this nature. Closing under the Betta Stock Purchase Agreement occurred in January 2024 (see Note 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sources and uses of cash for the period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used in operating activities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(106,838)</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(105,939)</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58,422</w:t>
            </w: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operating activities for the year ended December 31, 2023 was driven primarily by:</w:t>
      </w:r>
    </w:p>
    <w:p>
      <w:pPr>
        <w:spacing w:after="0" w:line="94" w:lineRule="exact"/>
        <w:rPr>
          <w:sz w:val="20"/>
          <w:szCs w:val="20"/>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net loss of $132.5 million;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$10.3 million increase in accounts receivable; and</w:t>
      </w:r>
    </w:p>
    <w:p>
      <w:pPr>
        <w:spacing w:after="0" w:line="93" w:lineRule="exact"/>
        <w:rPr>
          <w:rFonts w:ascii="Times New Roman" w:cs="Times New Roman" w:eastAsia="Times New Roman" w:hAnsi="Times New Roman"/>
          <w:sz w:val="14"/>
          <w:szCs w:val="14"/>
          <w:color w:val="auto"/>
        </w:rPr>
      </w:pPr>
    </w:p>
    <w:p>
      <w:pPr>
        <w:ind w:right="7580" w:firstLine="323"/>
        <w:spacing w:after="0" w:line="379" w:lineRule="auto"/>
        <w:tabs>
          <w:tab w:leader="none" w:pos="63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$4.7 million decrease in the operating lease liability. These amounts were partially offset by:</w:t>
      </w: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$35.3 million of non-cash expense related to stock compensation expense, depreciation and amortization, and reduction in carrying amount of our right-of-use asset;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$2.7 million decrease in prepaid expenses and current and long term assets;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$3.8 million increase in deferred revenue due to our new collaboration agreements;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$1.3 million increase in accrued expenses and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operating activities for the year ended December 31, 2022 was driven primarily by:</w:t>
      </w:r>
    </w:p>
    <w:p>
      <w:pPr>
        <w:spacing w:after="0" w:line="94" w:lineRule="exact"/>
        <w:rPr>
          <w:sz w:val="20"/>
          <w:szCs w:val="20"/>
          <w:color w:val="auto"/>
        </w:rPr>
      </w:pPr>
    </w:p>
    <w:p>
      <w:pPr>
        <w:ind w:left="640" w:hanging="317"/>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net loss of $128.2 million;</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$22.7 million decrease in deferred revenue due to the recognition of revenue under our collaboration agreements;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$3.3 million decrease in accounts payable.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amounts were partially offset by:</w:t>
      </w:r>
    </w:p>
    <w:p>
      <w:pPr>
        <w:spacing w:after="0" w:line="94" w:lineRule="exact"/>
        <w:rPr>
          <w:sz w:val="20"/>
          <w:szCs w:val="20"/>
          <w:color w:val="auto"/>
        </w:rPr>
      </w:pPr>
    </w:p>
    <w:p>
      <w:pPr>
        <w:ind w:left="640" w:hanging="317"/>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$37.6 million of non-cash expense related to stock compensation expense, depreciation, and reduction in carrying amount of our right-of-use asset;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$5.1 million increase in accrued expenses and other liabilities; and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$4.2 million decrease in accounts receivable.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$158.3 million of net cash provided by investing activities for the year ended December 31, 2023 was attributable to $160.1 million for the proceeds from maturities of marketable securities, net of purchases, and was offset by $1.7 million for the purchases of property and equipment.</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$58.4 million of net cash provided by investing activities for the year ended December 31, 2022 was attributable to $63.9 million for the proceeds from marketable securities, net of purchases, and was offset by $5.5 million for the purchases of property and equipment.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$45.5 million of net cash provided by financing activities for the year ended December 31, 2023 is primarily driven by proceeds from our at-the-market offering of $57.7 million, offset by the prepayment of the remaining principal balance on the Term Loan with Perceptive Credit Holdings III, LP, an affiliate of Perceptive Advisors LLC, of $12.5 million.</w:t>
      </w:r>
    </w:p>
    <w:p>
      <w:pPr>
        <w:spacing w:after="0" w:line="39" w:lineRule="exact"/>
        <w:rPr>
          <w:sz w:val="20"/>
          <w:szCs w:val="20"/>
          <w:color w:val="auto"/>
        </w:rPr>
      </w:pPr>
    </w:p>
    <w:p>
      <w:pPr>
        <w:ind w:right="1120"/>
        <w:spacing w:after="0" w:line="379" w:lineRule="auto"/>
        <w:rPr>
          <w:sz w:val="20"/>
          <w:szCs w:val="20"/>
          <w:color w:val="auto"/>
        </w:rPr>
      </w:pPr>
      <w:r>
        <w:rPr>
          <w:rFonts w:ascii="Times New Roman" w:cs="Times New Roman" w:eastAsia="Times New Roman" w:hAnsi="Times New Roman"/>
          <w:sz w:val="14"/>
          <w:szCs w:val="14"/>
          <w:color w:val="auto"/>
        </w:rPr>
        <w:t xml:space="preserve">The $1.1 million of net cash provided by financing activities for the year ended December 31, 2022 is primarily driven by $0.8 million of proceeds from exercises of stock options. </w:t>
      </w:r>
      <w:r>
        <w:rPr>
          <w:rFonts w:ascii="Times New Roman" w:cs="Times New Roman" w:eastAsia="Times New Roman" w:hAnsi="Times New Roman"/>
          <w:sz w:val="14"/>
          <w:szCs w:val="14"/>
          <w:b w:val="1"/>
          <w:bCs w:val="1"/>
          <w:i w:val="1"/>
          <w:iCs w:val="1"/>
          <w:color w:val="auto"/>
        </w:rPr>
        <w:t>Funding requirements</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Since our inception, we have incurred significant operating losses and we expect to continue to incur significant expenses and increasing operating losses for the foreseeable future as we advance the preclinical and clinical development of our product candidates. In addition, we expect to continue to incur costs associated with operating as a public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we anticipate that our expenses will increase in the future, if and as we:</w:t>
      </w:r>
    </w:p>
    <w:p>
      <w:pPr>
        <w:spacing w:after="0" w:line="94" w:lineRule="exact"/>
        <w:rPr>
          <w:sz w:val="20"/>
          <w:szCs w:val="20"/>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ongoing first-in-human Phase 1/2 trials;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additional product candidates into preclinical and clinical development;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invest in our proprietary TORPEDO platform;</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expand, maintain, and protect our intellectual property portfolio;</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staffing needs to meet the changing needs of the business as we advance additional product candidates or continue to develop existing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any product candidates that successfully complete clinical trials; and</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 a sales, marketing, and distribution infrastructure and scale up external manufacturing capabilities to commercialize any products for which we may obtain marketing approval.</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w:t>
      </w:r>
    </w:p>
    <w:p>
      <w:pPr>
        <w:spacing w:after="0" w:line="39" w:lineRule="exact"/>
        <w:rPr>
          <w:sz w:val="20"/>
          <w:szCs w:val="20"/>
          <w:color w:val="auto"/>
        </w:rPr>
      </w:pPr>
    </w:p>
    <w:p>
      <w:pPr>
        <w:ind w:left="640" w:hanging="317"/>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ongoing and planned first-in-human Phase 1/2 trials for our lead product candidates and any future clinical development of those lead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costs, and results of preclinical and clinical development for our other product candidates and development programs;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development requirements of other product candidates that we pursue;</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success of our existing and any future collaborations with third party partners, including whether or not we receive additional research support or milestone payments from our collaboration partners upon the achievement of milestones;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product candidates;</w:t>
      </w:r>
    </w:p>
    <w:p>
      <w:pPr>
        <w:spacing w:after="0" w:line="93" w:lineRule="exact"/>
        <w:rPr>
          <w:rFonts w:ascii="Times New Roman" w:cs="Times New Roman" w:eastAsia="Times New Roman" w:hAnsi="Times New Roman"/>
          <w:sz w:val="14"/>
          <w:szCs w:val="14"/>
          <w:color w:val="auto"/>
        </w:rPr>
      </w:pPr>
    </w:p>
    <w:p>
      <w:pPr>
        <w:ind w:left="640" w:hanging="317"/>
        <w:spacing w:after="0" w:line="263" w:lineRule="auto"/>
        <w:tabs>
          <w:tab w:leader="none" w:pos="63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w:t>
      </w:r>
    </w:p>
    <w:p>
      <w:pPr>
        <w:spacing w:after="0" w:line="247"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product manufacturing, marketing, sales and distribution, for any of our product candidates for which we receive marketing approval;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40" w:hanging="317"/>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of the anticipated expenditures described above, we will need to obtain substantial additional financing to support our continuing operations and pursue our long-term business plan. Until such time, if ever, that we can generate substantial revenue from product sales, we expect to finance our cash needs through a combination of equity offerings, debt offerings, collaborations, strategic alliances and marketing, distribution or licensing arrangements. Although we may receive potential future milestone and royalty payments under our collaborations with Roche, Biogen, Calico, Betta Pharma, and Merck we do not have any committed external source of funds as of December 31, 2023.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raise additional capital through the sale of equity securities, each investor’s ownership interest will be diluted, and the terms of these securities may include liquidation or other preferences that adversely affect 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our significant contractual obligations as of December 31, 2023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11"/>
                <w:szCs w:val="11"/>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Less than</w:t>
            </w:r>
          </w:p>
        </w:tc>
        <w:tc>
          <w:tcPr>
            <w:tcW w:w="340" w:type="dxa"/>
            <w:vAlign w:val="bottom"/>
          </w:tcPr>
          <w:p>
            <w:pPr>
              <w:spacing w:after="0"/>
              <w:rPr>
                <w:sz w:val="11"/>
                <w:szCs w:val="1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1 to 3</w:t>
            </w:r>
          </w:p>
        </w:tc>
        <w:tc>
          <w:tcPr>
            <w:tcW w:w="360" w:type="dxa"/>
            <w:vAlign w:val="bottom"/>
          </w:tcPr>
          <w:p>
            <w:pPr>
              <w:spacing w:after="0"/>
              <w:rPr>
                <w:sz w:val="11"/>
                <w:szCs w:val="1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4 to 5</w:t>
            </w:r>
          </w:p>
        </w:tc>
        <w:tc>
          <w:tcPr>
            <w:tcW w:w="280" w:type="dxa"/>
            <w:vAlign w:val="bottom"/>
          </w:tcPr>
          <w:p>
            <w:pPr>
              <w:spacing w:after="0"/>
              <w:rPr>
                <w:sz w:val="11"/>
                <w:szCs w:val="11"/>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34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36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80" w:type="dxa"/>
            <w:vAlign w:val="bottom"/>
          </w:tcPr>
          <w:p>
            <w:pPr>
              <w:spacing w:after="0"/>
              <w:rPr>
                <w:sz w:val="13"/>
                <w:szCs w:val="13"/>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22"/>
        </w:trPr>
        <w:tc>
          <w:tcPr>
            <w:tcW w:w="3540" w:type="dxa"/>
            <w:vAlign w:val="bottom"/>
            <w:tcBorders>
              <w:top w:val="single" w:sz="8" w:color="CCEEFF"/>
            </w:tcBorders>
            <w:shd w:val="clear" w:color="auto" w:fill="CCEEFF"/>
          </w:tcPr>
          <w:p>
            <w:pPr>
              <w:ind w:left="220"/>
              <w:spacing w:after="0" w:line="123" w:lineRule="exact"/>
              <w:rPr>
                <w:sz w:val="20"/>
                <w:szCs w:val="20"/>
                <w:color w:val="auto"/>
              </w:rPr>
            </w:pPr>
            <w:r>
              <w:rPr>
                <w:rFonts w:ascii="Times New Roman" w:cs="Times New Roman" w:eastAsia="Times New Roman" w:hAnsi="Times New Roman"/>
                <w:sz w:val="14"/>
                <w:szCs w:val="14"/>
                <w:color w:val="auto"/>
              </w:rPr>
              <w:t>Operating lease commitments</w:t>
            </w:r>
          </w:p>
        </w:tc>
        <w:tc>
          <w:tcPr>
            <w:tcW w:w="3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(see Note 6)</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89,046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third-party CROs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We have not included milestone or royalty payments or other contractual payment obligations in the table above if the timing and amount of such obligations are unknown or uncertain.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While our significant accounting policies are described in more detail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our consolidated financial statements in this Annual Report on Form 10-K, we believe that the following accounting policies are those most critical to the judgments and estimates used in the preparation of our consolidated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from contracts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account for our revenue in accordance with Accounting Standards Codification, or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or ASC 606.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at inception of the agreement or upon material modification of the agreement: (i) identify the contract(s) with a customer; (ii) identify the performance obligations in the contract; (iii) determine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transaction price, including variable consideration, if any; (iv) allocate the transaction price to the performance obligations in the contract; and (v) recognize revenue when (or as) the entity satisfies a performance obligation.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consider the pattern of satisfaction of the performance obligations under step (v) above to be a critical accounting estimate. More specifically, the determination of the level of achievement of research and development service performance obligations, whose pattern of satisfaction is measured using costs incurred to date as compared to total costs incurred and expected to be incurred in the future is driven by a critical accounting estimate.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estimating the costs expected to be incurred in the future, management uses its most recent budget and long-range plan, adjusted for any pertinent information. While this is our best estimate as of the reporting period, costs expected to be incurred in the future require management judgment as the scope and timing of research and development activities may change significantly over time. We may adjust the scope of our research and development activities based on several factors, such as additional work needed to support advancement of product candidate or change in the number of patients in trials. Further, research and development services may no longer be within the scope of a collaboration agreement, as has been the case with certain of our programs. The timing of when research and development costs are expected to be incurred may change as a result of external factors, such as delays caused by manufacturing or supply chain, or difficulty in enrolling patients; or internal factors, such as prioritization of programs. Our estimate of the scope and timing of research and development services performed relative to the actual scope and timing may have a significant impact on revenue recognition.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and accrued research and development expenses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part of preparing our consolidated financial statements, we are required to estimate our accrued research and development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We make estimates of the accrued expenses as of each balance sheet date in our consolidated financial statements based on facts and circumstances known to us at that time. In addition, there may be instances in which payments made to our vendors will exceed the level of services provided and result in a prepayment of the expense, in which case such amounts are reflected as prepaid expenses and other current assets. In accruing service fees, we estimate the time period over which services will be performed and the level of effort to be expended in each period. If the actual timing of the performance of services or the level of effort varies from our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could have a significant impact on reported amounts.</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 (incremental borrowing rate)</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account for leases in accordance with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or ASC 842. Under ASC 842, at inception or upon modification of a lease arrangement, we may be required to remeasure our lease liabilities and the corresponding right-of-use assets. The lease liability is measured by calculating the present value of lease payments under the lease arrangement using the incremental borrowing rate. Incremental borrowing rate is the rate of interest that we would have to pay to borrow, on a collateralized basis, an amount equal to the lease payments over a similar term equal to the lease term in a similar economic environment.</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the incremental borrowing rates implicit in our leases are not readily determinable, we use the estimated incremental borrowing rates based on the information available at commencement date in determining the discount rate used to calculate the present value of lease payments. As we have no recent external borrowings, the incremental borrowing rates are determined using information on indicative borrowing rates that would be available to us based on the value and borrowing term provided by financial institutions, adjusted for company and market specific factors. This determination requires management judgement, including when determining peer groups, our own risk profile, and when adjusting for company and market specific factors.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do not expect our estimates of the incremental borrowing rates to generate material differences within a reasonable range of sensitivities, judgement is involved in selecting an appropriate rate, and the rate selected for our leases will have an impact on the value of the lease liability and corresponding right-of-use asset in the consolidated balance sheets.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account for all stock-based awards granted to employees and non-employees as stock-based compensation expense at fair value. Our stock-based payments include stock options, restricted stock units,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consolidated statements of operations and comprehensive loss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 pricing model. The Black-Scholes option pricing model includes various assumptions, including the expected term of the award, the expected volatility and the expected risk-free interest rate over the expected term of the award, expected dividend payments, and the fair value of the common stock underlying the stock-based award.</w:t>
      </w:r>
    </w:p>
    <w:p>
      <w:pPr>
        <w:spacing w:after="0" w:line="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consider the expected volatility to be a critical accounting estimate. As we do not have sufficient trading history, we use the average historical volatility of a representative group of publicly traded biopharmaceutical companies, including our own, to calculate the expected volatility for use in the Black-Scholes option pricing model. This assumption reflects our best estimate, but it involves inherent uncertainties based on market conditions generally outside our control. As a result, if a different volatility had been used, stock-based compensation cost could have been materially impacted.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information on new accounting standards, 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our consolidated financial statements in this Annual Report on Form 10-K.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These risks primarily include interest rate sensitivities. Our interest-earning assets consist of cash, cash equivalents, and marketable securities. Our interest income is sensitive to changes in the general level of interest rates, primarily United States interest rates. As of December 31, 2023, we had marketable securities of $155.1 million. Our marketable securities are short-term in nature with a weighted-average maturity date of 0.6 years. As such, while these interest-earning instruments carry a degree of interest rate risk, historical fluctuations in interest income have not been significant for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4"/>
          <w:szCs w:val="14"/>
          <w:i w:val="1"/>
          <w:iCs w:val="1"/>
          <w:color w:val="auto"/>
        </w:rPr>
        <w:t>Exhibits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of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the evaluation of our disclosure controls and procedures as of December 31, 2023, our principal executive officer and principal financial officer concluded that our disclosure controls and procedures as of such date are effective at the reasonable assurance level.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Annual Report on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United States GAAP. Our internal control over financial reporting includes those policies and procedures that:</w:t>
      </w:r>
    </w:p>
    <w:p>
      <w:pPr>
        <w:spacing w:after="0" w:line="56" w:lineRule="exact"/>
        <w:rPr>
          <w:sz w:val="20"/>
          <w:szCs w:val="20"/>
          <w:color w:val="auto"/>
        </w:rPr>
      </w:pPr>
    </w:p>
    <w:p>
      <w:pPr>
        <w:ind w:left="640" w:hanging="317"/>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our transactions and dispositions of our assets;</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United States GAAP, and that our receipts and expenditures are being made only in accordance with authorizations of our management and directors; and</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our financial statements.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December 31, 2023. In making this assessment, management used the criteria set forth by the Committee of Sponsoring Organizations of the Treadway Commission, or COSO, in its 2013 Internal Control – Integrated Framework. Based on our assessment, our management has concluded that, as of December 31, 2023, our internal control over financial reporting is effective based on those criteria.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year ended December 31, 2023 that have materially affected, or are reasonably likely to materially affect, our internal control over financial reporting.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Inherent Limitations on Effectiveness of Controls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 See “Risk Factors—</w:t>
      </w:r>
      <w:r>
        <w:rPr>
          <w:rFonts w:ascii="Times New Roman" w:cs="Times New Roman" w:eastAsia="Times New Roman" w:hAnsi="Times New Roman"/>
          <w:sz w:val="14"/>
          <w:szCs w:val="14"/>
          <w:i w:val="1"/>
          <w:iCs w:val="1"/>
          <w:color w:val="auto"/>
        </w:rPr>
        <w:t>We will continue to incur additional costs as a result of operating as a public company and our management will be required to devote substantial time to new compliance initiatives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corporate governance practices.</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10 will be included in our definitive proxy statement to be filed with the Securities and Exchange Commission, or SEC, with respect to our 2024 Annual Meeting of Stockholders within 120 days after the end of the year covered by this Annual Report on Form 10-K and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11 will be included in our definitive proxy statement to be filed with the SEC within 120 days after the end of the year covered by this Annual Report on Form 10-K with respect to our 2024 Annual Meeting of Stockholders and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12 will be included in our definitive proxy statement to be filed with the SEC within 120 days after the end of the year covered by this Annual Report on Form 10-Kwith respect to our 2024 Annual Meeting of Stockholders and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information required by this Item 13 will be included in our definitive proxy statement to be filed with the SEC within 120 days after the end of the year covered by this Annual Report on Form 10-K with respect to our 2024 Annual Meeting of Stockholders and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14 will be included in our definitive proxy statement to be filed with the SEC within 120 days after the end of the year covered by this Annual Report on Form 10-K with respect to our 2024 Annual Meeting of Stockholders and is incorporated herein by reference.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 list of the financial statements included herein, see </w:t>
      </w:r>
      <w:r>
        <w:rPr>
          <w:rFonts w:ascii="Times New Roman" w:cs="Times New Roman" w:eastAsia="Times New Roman" w:hAnsi="Times New Roman"/>
          <w:sz w:val="14"/>
          <w:szCs w:val="14"/>
          <w:i w:val="1"/>
          <w:iCs w:val="1"/>
          <w:color w:val="auto"/>
        </w:rPr>
        <w:t>Index to the Consolidated Financial Statements</w:t>
      </w:r>
      <w:r>
        <w:rPr>
          <w:rFonts w:ascii="Times New Roman" w:cs="Times New Roman" w:eastAsia="Times New Roman" w:hAnsi="Times New Roman"/>
          <w:sz w:val="14"/>
          <w:szCs w:val="14"/>
          <w:color w:val="auto"/>
        </w:rPr>
        <w:t xml:space="preserve"> on page F-1 of this Annual Report on Form 10-K, incorporated into this Item by reference.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 schedules have been omitted because they are either not required or not applicable or the information is included in the consolidated financial statements or the notes thereto.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3. 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1"/>
            <w:vMerge w:val="restart"/>
          </w:tcPr>
          <w:p>
            <w:pPr>
              <w:jc w:val="right"/>
              <w:ind w:right="190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7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gridSpan w:val="21"/>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11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4700" w:type="dxa"/>
            <w:vAlign w:val="bottom"/>
            <w:gridSpan w:val="24"/>
          </w:tcPr>
          <w:p>
            <w:pPr>
              <w:spacing w:after="0" w:line="143"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Fifth Amended and Restated Certificate of Incorporation of the Registrant,</w:t>
              </w:r>
            </w:hyperlink>
          </w:p>
        </w:tc>
        <w:tc>
          <w:tcPr>
            <w:tcW w:w="78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001–39567</w:t>
            </w: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10/06/2020</w:t>
            </w: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4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current in effect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372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of Second Amended and Restated Bylaws of the Registrant</w:t>
              </w:r>
            </w:hyperlink>
          </w:p>
        </w:tc>
        <w:tc>
          <w:tcPr>
            <w:tcW w:w="980" w:type="dxa"/>
            <w:vAlign w:val="bottom"/>
            <w:gridSpan w:val="11"/>
          </w:tcPr>
          <w:p>
            <w:pPr>
              <w:spacing w:after="0"/>
              <w:rPr>
                <w:sz w:val="21"/>
                <w:szCs w:val="21"/>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Amended and Restated Investors’ Rights Agreement among the Registrant, its</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warrant holder and certain of its stockholders, dated June 5, 2020</w:t>
              </w:r>
            </w:hyperlink>
          </w:p>
        </w:tc>
        <w:tc>
          <w:tcPr>
            <w:tcW w:w="74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Specimen Common Stock Certificate</w:t>
              </w:r>
            </w:hyperlink>
          </w:p>
        </w:tc>
        <w:tc>
          <w:tcPr>
            <w:tcW w:w="7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09/28/2020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Description of Securities Registered Pursuant to Section 12 of the Securities</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03/11/2021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32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Exchange Act of 1934, as amended</w:t>
              </w:r>
            </w:hyperlink>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2015 Stock Option and Grant Plan, as amended and forms of award agreements</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5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thereunder</w:t>
              </w:r>
            </w:hyperlink>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2020 Stock Option and Incentive Plan and forms of award agreements</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02/23/2023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98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thereunder</w:t>
              </w:r>
            </w:hyperlink>
          </w:p>
        </w:tc>
        <w:tc>
          <w:tcPr>
            <w:tcW w:w="2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2020 Employee Stock Purchase Plan</w:t>
              </w:r>
            </w:hyperlink>
          </w:p>
        </w:tc>
        <w:tc>
          <w:tcPr>
            <w:tcW w:w="7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09/28/2020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54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Senior Executive Cash Incentive Bonus Plan</w:t>
              </w:r>
            </w:hyperlink>
          </w:p>
        </w:tc>
        <w:tc>
          <w:tcPr>
            <w:tcW w:w="2160" w:type="dxa"/>
            <w:vAlign w:val="bottom"/>
            <w:gridSpan w:val="15"/>
          </w:tcPr>
          <w:p>
            <w:pPr>
              <w:spacing w:after="0"/>
              <w:rPr>
                <w:sz w:val="20"/>
                <w:szCs w:val="20"/>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26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Director Indemnification Agreement</w:t>
              </w:r>
            </w:hyperlink>
          </w:p>
        </w:tc>
        <w:tc>
          <w:tcPr>
            <w:tcW w:w="2100" w:type="dxa"/>
            <w:vAlign w:val="bottom"/>
            <w:gridSpan w:val="14"/>
          </w:tcPr>
          <w:p>
            <w:pPr>
              <w:spacing w:after="0"/>
              <w:rPr>
                <w:sz w:val="20"/>
                <w:szCs w:val="20"/>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52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of Officer Indemnification Agreement</w:t>
              </w:r>
            </w:hyperlink>
          </w:p>
        </w:tc>
        <w:tc>
          <w:tcPr>
            <w:tcW w:w="2180" w:type="dxa"/>
            <w:vAlign w:val="bottom"/>
            <w:gridSpan w:val="16"/>
          </w:tcPr>
          <w:p>
            <w:pPr>
              <w:spacing w:after="0"/>
              <w:rPr>
                <w:sz w:val="20"/>
                <w:szCs w:val="20"/>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50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Executive Employment Agreement</w:t>
              </w:r>
            </w:hyperlink>
          </w:p>
        </w:tc>
        <w:tc>
          <w:tcPr>
            <w:tcW w:w="2200" w:type="dxa"/>
            <w:vAlign w:val="bottom"/>
            <w:gridSpan w:val="17"/>
          </w:tcPr>
          <w:p>
            <w:pPr>
              <w:spacing w:after="0"/>
              <w:rPr>
                <w:sz w:val="20"/>
                <w:szCs w:val="20"/>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Employment Agreement between the Registrant and Andrew Hirsch, dated</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6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September 6, 2020</w:t>
              </w:r>
            </w:hyperlink>
          </w:p>
        </w:tc>
        <w:tc>
          <w:tcPr>
            <w:tcW w:w="2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Collaboration Research and License Agreement between the Registrant and</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8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Biogen MA, Inc., dated December 28, 2018</w:t>
              </w:r>
            </w:hyperlink>
          </w:p>
        </w:tc>
        <w:tc>
          <w:tcPr>
            <w:tcW w:w="18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Amendment No. 1 to Collaborative Research and License Agreement between</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03/11/2021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4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the Registrant and Biogen MA, Inc., dated February 25, 2020</w:t>
              </w:r>
            </w:hyperlink>
          </w:p>
        </w:tc>
        <w:tc>
          <w:tcPr>
            <w:tcW w:w="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gridSpan w:val="11"/>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4700" w:type="dxa"/>
            <w:vAlign w:val="bottom"/>
            <w:gridSpan w:val="2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Amended and Restated License Agreement among the Registrant, F. Hoffmann-</w:t>
              </w:r>
            </w:hyperlink>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5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La Roche Ltd and Hoffmann-La Roche Inc., dated December 20, 2018</w:t>
              </w:r>
            </w:hyperlink>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7"/>
        </w:trPr>
        <w:tc>
          <w:tcPr>
            <w:tcW w:w="1160" w:type="dxa"/>
            <w:vAlign w:val="bottom"/>
          </w:tcPr>
          <w:p>
            <w:pPr>
              <w:spacing w:after="0"/>
              <w:rPr>
                <w:sz w:val="24"/>
                <w:szCs w:val="24"/>
                <w:color w:val="auto"/>
              </w:rPr>
            </w:pPr>
          </w:p>
        </w:tc>
        <w:tc>
          <w:tcPr>
            <w:tcW w:w="4000" w:type="dxa"/>
            <w:vAlign w:val="bottom"/>
            <w:tcBorders>
              <w:top w:val="single" w:sz="8" w:color="0000FF"/>
            </w:tcBorders>
            <w:gridSpan w:val="15"/>
          </w:tcPr>
          <w:p>
            <w:pPr>
              <w:spacing w:after="0"/>
              <w:rPr>
                <w:sz w:val="24"/>
                <w:szCs w:val="24"/>
                <w:color w:val="auto"/>
              </w:rPr>
            </w:pPr>
          </w:p>
        </w:tc>
        <w:tc>
          <w:tcPr>
            <w:tcW w:w="7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92</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20" w:type="dxa"/>
            <w:vAlign w:val="bottom"/>
            <w:gridSpan w:val="2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76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Form</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4"/>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11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10.12†</w:t>
            </w:r>
          </w:p>
        </w:tc>
        <w:tc>
          <w:tcPr>
            <w:tcW w:w="4700" w:type="dxa"/>
            <w:vAlign w:val="bottom"/>
            <w:gridSpan w:val="28"/>
          </w:tcPr>
          <w:p>
            <w:pPr>
              <w:spacing w:after="0" w:line="143"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First Amendment to the Amended and Restated License Agreement among the</w:t>
              </w:r>
            </w:hyperlink>
          </w:p>
        </w:tc>
        <w:tc>
          <w:tcPr>
            <w:tcW w:w="760" w:type="dxa"/>
            <w:vAlign w:val="bottom"/>
          </w:tcPr>
          <w:p>
            <w:pPr>
              <w:jc w:val="center"/>
              <w:ind w:right="91"/>
              <w:spacing w:after="0" w:line="143" w:lineRule="exact"/>
              <w:rPr>
                <w:sz w:val="20"/>
                <w:szCs w:val="20"/>
                <w:color w:val="auto"/>
              </w:rPr>
            </w:pPr>
            <w:r>
              <w:rPr>
                <w:rFonts w:ascii="Times New Roman" w:cs="Times New Roman" w:eastAsia="Times New Roman" w:hAnsi="Times New Roman"/>
                <w:sz w:val="14"/>
                <w:szCs w:val="14"/>
                <w:color w:val="auto"/>
                <w:w w:val="97"/>
              </w:rPr>
              <w:t>10-K</w:t>
            </w: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03/11/2021</w:t>
            </w: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10.13</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4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Registrant, F. Hoffmann-La Roche Ltd and Hoffmann-La Roche Inc., dated</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November 12, 2020</w:t>
              </w:r>
            </w:hyperlink>
          </w:p>
        </w:tc>
        <w:tc>
          <w:tcPr>
            <w:tcW w:w="314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Collaboration and License Agreement between the Registrant and Calico Life</w:t>
              </w:r>
            </w:hyperlink>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1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Sciences LLC, dated March 13, 2017</w:t>
              </w:r>
            </w:hyperlink>
          </w:p>
        </w:tc>
        <w:tc>
          <w:tcPr>
            <w:tcW w:w="230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Lease by 480 Arsenal Group LLC to the Registrant, dated July 5, 2017, as</w:t>
              </w:r>
            </w:hyperlink>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333–248719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09/10/2020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amended</w:t>
              </w:r>
            </w:hyperlink>
          </w:p>
        </w:tc>
        <w:tc>
          <w:tcPr>
            <w:tcW w:w="3680" w:type="dxa"/>
            <w:vAlign w:val="bottom"/>
            <w:tcBorders>
              <w:top w:val="single" w:sz="8" w:color="0000FF"/>
            </w:tcBorders>
            <w:gridSpan w:val="15"/>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Third Amendment to Lease, dated November 24, 2021, by and between C4</w:t>
              </w:r>
            </w:hyperlink>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11/30/2021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26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Therapeutics, Inc. and Columbia Massachusetts Arsenal Office Properties,</w:t>
              </w:r>
            </w:hyperlink>
          </w:p>
        </w:tc>
        <w:tc>
          <w:tcPr>
            <w:tcW w:w="280" w:type="dxa"/>
            <w:vAlign w:val="bottom"/>
            <w:tcBorders>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LLC</w:t>
              </w:r>
            </w:hyperlink>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4700" w:type="dxa"/>
            <w:vAlign w:val="bottom"/>
            <w:gridSpan w:val="28"/>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License and Collaboration Agreement, dated May 29, 2023, by and between C4</w:t>
              </w:r>
            </w:hyperlink>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1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Therapeutics, Inc. and Betta Pharmaceuticals Co., Ltd.</w:t>
              </w:r>
            </w:hyperlink>
          </w:p>
        </w:tc>
        <w:tc>
          <w:tcPr>
            <w:tcW w:w="142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382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Stock Purchase Agreement, dated May 29, 2023, by and among C4</w:t>
              </w:r>
            </w:hyperlink>
          </w:p>
        </w:tc>
        <w:tc>
          <w:tcPr>
            <w:tcW w:w="880" w:type="dxa"/>
            <w:vAlign w:val="bottom"/>
            <w:gridSpan w:val="18"/>
          </w:tcPr>
          <w:p>
            <w:pPr>
              <w:spacing w:after="0"/>
              <w:rPr>
                <w:sz w:val="21"/>
                <w:szCs w:val="21"/>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700" w:type="dxa"/>
            <w:vAlign w:val="bottom"/>
            <w:gridSpan w:val="28"/>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Therapeutics, Inc., Betta Pharmaceuticals Co., Ltd. and Betta Investment (Hong</w:t>
              </w:r>
            </w:hyperlink>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54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Kong) Limited.</w:t>
              </w:r>
            </w:hyperlink>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License and Collaboration Agreement, dated December 11, 2023, by and</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640" w:type="dxa"/>
            <w:vAlign w:val="bottom"/>
            <w:tcBorders>
              <w:top w:val="single" w:sz="8" w:color="0000FF"/>
              <w:bottom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between C4 Therapeutics, Inc. and Merck Sharp &amp; Dohme LLC</w:t>
            </w:r>
          </w:p>
        </w:tc>
        <w:tc>
          <w:tcPr>
            <w:tcW w:w="50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Form of Non-Qualified Stock Option Agreement Inducement Award</w:t>
            </w: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2200" w:type="dxa"/>
            <w:vAlign w:val="bottom"/>
            <w:tcBorders>
              <w:top w:val="single" w:sz="8" w:color="0000FF"/>
            </w:tcBorders>
            <w:gridSpan w:val="7"/>
          </w:tcPr>
          <w:p>
            <w:pPr>
              <w:spacing w:after="0"/>
              <w:rPr>
                <w:sz w:val="21"/>
                <w:szCs w:val="21"/>
                <w:color w:val="auto"/>
              </w:rPr>
            </w:pPr>
          </w:p>
        </w:tc>
        <w:tc>
          <w:tcPr>
            <w:tcW w:w="820" w:type="dxa"/>
            <w:vAlign w:val="bottom"/>
            <w:gridSpan w:val="17"/>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4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c>
          <w:tcPr>
            <w:tcW w:w="540" w:type="dxa"/>
            <w:vAlign w:val="bottom"/>
            <w:gridSpan w:val="14"/>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320" w:type="dxa"/>
            <w:vAlign w:val="bottom"/>
            <w:tcBorders>
              <w:top w:val="single" w:sz="8" w:color="0000FF"/>
            </w:tcBorders>
            <w:gridSpan w:val="20"/>
          </w:tcPr>
          <w:p>
            <w:pPr>
              <w:spacing w:after="0" w:line="118" w:lineRule="exact"/>
              <w:rPr>
                <w:sz w:val="20"/>
                <w:szCs w:val="20"/>
                <w:color w:val="auto"/>
              </w:rPr>
            </w:pPr>
            <w:r>
              <w:rPr>
                <w:rFonts w:ascii="Times New Roman" w:cs="Times New Roman" w:eastAsia="Times New Roman" w:hAnsi="Times New Roman"/>
                <w:sz w:val="13"/>
                <w:szCs w:val="13"/>
                <w:color w:val="0000FF"/>
              </w:rPr>
              <w:t>15d-14(a) under the Securities Exchange Act of 1934, as Adopted Pursuant</w:t>
            </w:r>
          </w:p>
        </w:tc>
        <w:tc>
          <w:tcPr>
            <w:tcW w:w="380" w:type="dxa"/>
            <w:vAlign w:val="bottom"/>
            <w:gridSpan w:val="8"/>
          </w:tcPr>
          <w:p>
            <w:pPr>
              <w:jc w:val="right"/>
              <w:ind w:right="280"/>
              <w:spacing w:after="0" w:line="118" w:lineRule="exact"/>
              <w:rPr>
                <w:sz w:val="20"/>
                <w:szCs w:val="20"/>
                <w:color w:val="auto"/>
              </w:rPr>
            </w:pPr>
            <w:r>
              <w:rPr>
                <w:rFonts w:ascii="Times New Roman" w:cs="Times New Roman" w:eastAsia="Times New Roman" w:hAnsi="Times New Roman"/>
                <w:sz w:val="13"/>
                <w:szCs w:val="13"/>
                <w:color w:val="0000FF"/>
                <w:w w:val="78"/>
              </w:rPr>
              <w:t>to</w:t>
            </w: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440" w:type="dxa"/>
            <w:vAlign w:val="bottom"/>
            <w:tcBorders>
              <w:top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60" w:type="dxa"/>
            <w:vAlign w:val="bottom"/>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300" w:type="dxa"/>
            <w:vAlign w:val="bottom"/>
            <w:tcBorders>
              <w:top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15d-14(a) under the Securities Exchange Act of 1934, as Adopted Pursuant</w:t>
            </w:r>
          </w:p>
        </w:tc>
        <w:tc>
          <w:tcPr>
            <w:tcW w:w="400" w:type="dxa"/>
            <w:vAlign w:val="bottom"/>
            <w:gridSpan w:val="9"/>
          </w:tcPr>
          <w:p>
            <w:pPr>
              <w:jc w:val="right"/>
              <w:ind w:right="280"/>
              <w:spacing w:after="0" w:line="118" w:lineRule="exact"/>
              <w:rPr>
                <w:sz w:val="20"/>
                <w:szCs w:val="20"/>
                <w:color w:val="auto"/>
              </w:rPr>
            </w:pPr>
            <w:r>
              <w:rPr>
                <w:rFonts w:ascii="Times New Roman" w:cs="Times New Roman" w:eastAsia="Times New Roman" w:hAnsi="Times New Roman"/>
                <w:sz w:val="13"/>
                <w:szCs w:val="13"/>
                <w:color w:val="0000FF"/>
                <w:w w:val="98"/>
              </w:rPr>
              <w:t>to</w:t>
            </w: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440" w:type="dxa"/>
            <w:vAlign w:val="bottom"/>
            <w:tcBorders>
              <w:top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60" w:type="dxa"/>
            <w:vAlign w:val="bottom"/>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tcPr>
          <w:p>
            <w:pPr>
              <w:spacing w:after="0"/>
              <w:rPr>
                <w:sz w:val="10"/>
                <w:szCs w:val="10"/>
                <w:color w:val="auto"/>
              </w:rPr>
            </w:pPr>
          </w:p>
        </w:tc>
        <w:tc>
          <w:tcPr>
            <w:tcW w:w="4400" w:type="dxa"/>
            <w:vAlign w:val="bottom"/>
            <w:tcBorders>
              <w:bottom w:val="single" w:sz="8" w:color="0000FF"/>
            </w:tcBorders>
            <w:gridSpan w:val="21"/>
          </w:tcPr>
          <w:p>
            <w:pPr>
              <w:spacing w:after="0" w:line="118" w:lineRule="exact"/>
              <w:rPr>
                <w:sz w:val="20"/>
                <w:szCs w:val="20"/>
                <w:color w:val="auto"/>
              </w:rPr>
            </w:pPr>
            <w:r>
              <w:rPr>
                <w:rFonts w:ascii="Times New Roman" w:cs="Times New Roman" w:eastAsia="Times New Roman" w:hAnsi="Times New Roman"/>
                <w:sz w:val="13"/>
                <w:szCs w:val="13"/>
                <w:color w:val="0000FF"/>
              </w:rPr>
              <w:t>1350, as Adopted Pursuant to Section 906 of the Sarbanes-Oxley Act of 2002</w:t>
            </w:r>
          </w:p>
        </w:tc>
        <w:tc>
          <w:tcPr>
            <w:tcW w:w="300" w:type="dxa"/>
            <w:vAlign w:val="bottom"/>
            <w:gridSpan w:val="7"/>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4040" w:type="dxa"/>
            <w:vAlign w:val="bottom"/>
            <w:tcBorders>
              <w:top w:val="single" w:sz="8" w:color="0000FF"/>
              <w:bottom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as Adopted Pursuant to Section 906 of the Sarbanes-Oxley Act of 2002</w:t>
            </w:r>
          </w:p>
        </w:tc>
        <w:tc>
          <w:tcPr>
            <w:tcW w:w="460" w:type="dxa"/>
            <w:vAlign w:val="bottom"/>
            <w:tcBorders>
              <w:top w:val="single" w:sz="8" w:color="0000FF"/>
            </w:tcBorders>
            <w:gridSpan w:val="13"/>
          </w:tcPr>
          <w:p>
            <w:pPr>
              <w:spacing w:after="0"/>
              <w:rPr>
                <w:sz w:val="10"/>
                <w:szCs w:val="10"/>
                <w:color w:val="auto"/>
              </w:rPr>
            </w:pPr>
          </w:p>
        </w:tc>
        <w:tc>
          <w:tcPr>
            <w:tcW w:w="20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Executive Compensation Clawback Policy</w:t>
            </w:r>
          </w:p>
        </w:tc>
        <w:tc>
          <w:tcPr>
            <w:tcW w:w="2280" w:type="dxa"/>
            <w:vAlign w:val="bottom"/>
            <w:gridSpan w:val="22"/>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6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5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470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711"/>
        </w:trPr>
        <w:tc>
          <w:tcPr>
            <w:tcW w:w="1160" w:type="dxa"/>
            <w:vAlign w:val="bottom"/>
          </w:tcPr>
          <w:p>
            <w:pPr>
              <w:spacing w:after="0"/>
              <w:rPr>
                <w:sz w:val="24"/>
                <w:szCs w:val="24"/>
                <w:color w:val="auto"/>
              </w:rPr>
            </w:pPr>
          </w:p>
        </w:tc>
        <w:tc>
          <w:tcPr>
            <w:tcW w:w="4700" w:type="dxa"/>
            <w:vAlign w:val="bottom"/>
            <w:gridSpan w:val="28"/>
          </w:tcPr>
          <w:p>
            <w:pPr>
              <w:ind w:left="4420"/>
              <w:spacing w:after="0"/>
              <w:rPr>
                <w:sz w:val="20"/>
                <w:szCs w:val="20"/>
                <w:color w:val="auto"/>
              </w:rPr>
            </w:pPr>
            <w:r>
              <w:rPr>
                <w:rFonts w:ascii="Times New Roman" w:cs="Times New Roman" w:eastAsia="Times New Roman" w:hAnsi="Times New Roman"/>
                <w:sz w:val="14"/>
                <w:szCs w:val="14"/>
                <w:color w:val="auto"/>
              </w:rPr>
              <w:t>93</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560" w:type="dxa"/>
            <w:vAlign w:val="bottom"/>
            <w:vMerge w:val="restart"/>
          </w:tcPr>
          <w:p>
            <w:pPr>
              <w:ind w:left="192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1160" w:type="dxa"/>
            <w:vAlign w:val="bottom"/>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26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File</w:t>
            </w:r>
          </w:p>
        </w:tc>
        <w:tc>
          <w:tcPr>
            <w:tcW w:w="1200" w:type="dxa"/>
            <w:vAlign w:val="bottom"/>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108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56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0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8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5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6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7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160" w:right="5860" w:hanging="1141"/>
        <w:spacing w:after="0" w:line="271" w:lineRule="auto"/>
        <w:tabs>
          <w:tab w:leader="none" w:pos="1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document and contained in Exhibit 101)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25" w:lineRule="exact"/>
        <w:rPr>
          <w:sz w:val="20"/>
          <w:szCs w:val="20"/>
          <w:color w:val="auto"/>
        </w:rPr>
      </w:pPr>
    </w:p>
    <w:p>
      <w:pPr>
        <w:ind w:left="360" w:hanging="341"/>
        <w:spacing w:after="0"/>
        <w:tabs>
          <w:tab w:leader="none" w:pos="3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3" w:lineRule="exact"/>
        <w:rPr>
          <w:sz w:val="20"/>
          <w:szCs w:val="20"/>
          <w:color w:val="auto"/>
        </w:rPr>
      </w:pPr>
    </w:p>
    <w:p>
      <w:pPr>
        <w:ind w:left="360" w:hanging="341"/>
        <w:spacing w:after="0"/>
        <w:tabs>
          <w:tab w:leader="none" w:pos="3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will be omitted in accordance with the rules of the Securities and Exchange Commission.</w:t>
      </w:r>
    </w:p>
    <w:p>
      <w:pPr>
        <w:spacing w:after="0" w:line="19" w:lineRule="exact"/>
        <w:rPr>
          <w:sz w:val="20"/>
          <w:szCs w:val="20"/>
          <w:color w:val="auto"/>
        </w:rPr>
      </w:pPr>
    </w:p>
    <w:p>
      <w:pPr>
        <w:ind w:left="360" w:right="180" w:hanging="341"/>
        <w:spacing w:after="0" w:line="226" w:lineRule="auto"/>
        <w:tabs>
          <w:tab w:leader="none" w:pos="3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32.1 and 32.2 are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stated in such filing.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C4 Therapeutics, Inc.</w:t>
      </w:r>
    </w:p>
    <w:p>
      <w:pPr>
        <w:spacing w:after="0" w:line="253" w:lineRule="exact"/>
        <w:rPr>
          <w:sz w:val="20"/>
          <w:szCs w:val="20"/>
          <w:color w:val="auto"/>
        </w:rPr>
      </w:pPr>
    </w:p>
    <w:p>
      <w:pPr>
        <w:ind w:left="20"/>
        <w:spacing w:after="0"/>
        <w:tabs>
          <w:tab w:leader="none" w:pos="5360" w:val="left"/>
          <w:tab w:leader="none" w:pos="8000" w:val="left"/>
        </w:tabs>
        <w:rPr>
          <w:sz w:val="20"/>
          <w:szCs w:val="20"/>
          <w:color w:val="auto"/>
        </w:rPr>
      </w:pPr>
      <w:r>
        <w:rPr>
          <w:rFonts w:ascii="Times New Roman" w:cs="Times New Roman" w:eastAsia="Times New Roman" w:hAnsi="Times New Roman"/>
          <w:sz w:val="14"/>
          <w:szCs w:val="14"/>
          <w:color w:val="auto"/>
        </w:rPr>
        <w:t>Date: February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21590</wp:posOffset>
            </wp:positionV>
            <wp:extent cx="339534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2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Andrew J. Hirsch</w:t>
      </w:r>
    </w:p>
    <w:p>
      <w:pPr>
        <w:spacing w:after="0" w:line="4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below by the following persons on behalf of the Registrant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3"/>
                <w:szCs w:val="13"/>
                <w:color w:val="auto"/>
              </w:rPr>
            </w:pPr>
          </w:p>
        </w:tc>
        <w:tc>
          <w:tcPr>
            <w:tcW w:w="57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 w:type="dxa"/>
            <w:vAlign w:val="bottom"/>
          </w:tcPr>
          <w:p>
            <w:pPr>
              <w:spacing w:after="0"/>
              <w:rPr>
                <w:sz w:val="13"/>
                <w:szCs w:val="13"/>
                <w:color w:val="auto"/>
              </w:rPr>
            </w:pPr>
          </w:p>
        </w:tc>
        <w:tc>
          <w:tcPr>
            <w:tcW w:w="1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28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Andrew J. Hirsch</w:t>
            </w:r>
          </w:p>
        </w:tc>
        <w:tc>
          <w:tcPr>
            <w:tcW w:w="80" w:type="dxa"/>
            <w:vAlign w:val="bottom"/>
          </w:tcPr>
          <w:p>
            <w:pPr>
              <w:spacing w:after="0"/>
              <w:rPr>
                <w:sz w:val="24"/>
                <w:szCs w:val="2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Andrew J. Hirsch</w:t>
            </w:r>
          </w:p>
        </w:tc>
        <w:tc>
          <w:tcPr>
            <w:tcW w:w="80" w:type="dxa"/>
            <w:vAlign w:val="bottom"/>
          </w:tcPr>
          <w:p>
            <w:pPr>
              <w:spacing w:after="0"/>
              <w:rPr>
                <w:sz w:val="14"/>
                <w:szCs w:val="1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Kendra R. Adams</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Kendra R. Adams</w:t>
            </w:r>
          </w:p>
        </w:tc>
        <w:tc>
          <w:tcPr>
            <w:tcW w:w="80" w:type="dxa"/>
            <w:vAlign w:val="bottom"/>
          </w:tcPr>
          <w:p>
            <w:pPr>
              <w:spacing w:after="0"/>
              <w:rPr>
                <w:sz w:val="14"/>
                <w:szCs w:val="1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Mossler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 Mossler</w:t>
            </w:r>
          </w:p>
        </w:tc>
        <w:tc>
          <w:tcPr>
            <w:tcW w:w="80" w:type="dxa"/>
            <w:vAlign w:val="bottom"/>
          </w:tcPr>
          <w:p>
            <w:pPr>
              <w:spacing w:after="0"/>
              <w:rPr>
                <w:sz w:val="14"/>
                <w:szCs w:val="14"/>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Bruce Downey</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and 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Bruce Downey</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Kenneth C. Anderson, M.D.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Kenneth C. Anderson, M.D.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Laura Bessen, M.D.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Laura Bessen, M.D.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Glenn Dubin</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Glenn Dubin</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Donna Grogan, M.D.</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Donna Grogan, M.D.</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Owen Hughes</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Owen Hughes</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Utpal Koppikar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6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Utpal Koppikar</w:t>
            </w: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Malcolm Salter</w:t>
            </w:r>
          </w:p>
        </w:tc>
        <w:tc>
          <w:tcPr>
            <w:tcW w:w="80" w:type="dxa"/>
            <w:vAlign w:val="bottom"/>
          </w:tcPr>
          <w:p>
            <w:pPr>
              <w:spacing w:after="0"/>
              <w:rPr>
                <w:sz w:val="16"/>
                <w:szCs w:val="16"/>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2024</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Malcolm Salter</w:t>
            </w:r>
          </w:p>
        </w:tc>
        <w:tc>
          <w:tcPr>
            <w:tcW w:w="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705"/>
        </w:trPr>
        <w:tc>
          <w:tcPr>
            <w:tcW w:w="3400" w:type="dxa"/>
            <w:vAlign w:val="bottom"/>
          </w:tcPr>
          <w:p>
            <w:pPr>
              <w:spacing w:after="0"/>
              <w:rPr>
                <w:sz w:val="24"/>
                <w:szCs w:val="24"/>
                <w:color w:val="auto"/>
              </w:rPr>
            </w:pPr>
          </w:p>
        </w:tc>
        <w:tc>
          <w:tcPr>
            <w:tcW w:w="5860" w:type="dxa"/>
            <w:vAlign w:val="bottom"/>
            <w:gridSpan w:val="2"/>
          </w:tcPr>
          <w:p>
            <w:pPr>
              <w:jc w:val="right"/>
              <w:ind w:right="347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6"/>
        </w:trPr>
        <w:tc>
          <w:tcPr>
            <w:tcW w:w="3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7540" w:type="dxa"/>
            <w:vAlign w:val="bottom"/>
          </w:tcPr>
          <w:p>
            <w:pPr>
              <w:spacing w:after="0"/>
              <w:rPr>
                <w:sz w:val="13"/>
                <w:szCs w:val="13"/>
                <w:color w:val="auto"/>
              </w:rPr>
            </w:pPr>
          </w:p>
        </w:tc>
      </w:tr>
      <w:tr>
        <w:trPr>
          <w:trHeight w:val="818"/>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r>
      <w:tr>
        <w:trPr>
          <w:trHeight w:val="255"/>
        </w:trPr>
        <w:tc>
          <w:tcPr>
            <w:tcW w:w="20" w:type="dxa"/>
            <w:vAlign w:val="bottom"/>
          </w:tcPr>
          <w:p>
            <w:pPr>
              <w:spacing w:after="0"/>
              <w:rPr>
                <w:sz w:val="22"/>
                <w:szCs w:val="22"/>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400" w:type="dxa"/>
            <w:vAlign w:val="bottom"/>
            <w:gridSpan w:val="2"/>
          </w:tcPr>
          <w:p>
            <w:pPr>
              <w:spacing w:after="0"/>
              <w:rPr>
                <w:sz w:val="22"/>
                <w:szCs w:val="22"/>
                <w:color w:val="auto"/>
              </w:rPr>
            </w:pP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F-2</w:t>
            </w:r>
          </w:p>
        </w:tc>
      </w:tr>
      <w:tr>
        <w:trPr>
          <w:trHeight w:val="288"/>
        </w:trPr>
        <w:tc>
          <w:tcPr>
            <w:tcW w:w="2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F-3</w:t>
            </w:r>
          </w:p>
        </w:tc>
      </w:tr>
      <w:tr>
        <w:trPr>
          <w:trHeight w:val="20"/>
        </w:trPr>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w:t>
            </w:r>
          </w:p>
        </w:tc>
        <w:tc>
          <w:tcPr>
            <w:tcW w:w="40" w:type="dxa"/>
            <w:vAlign w:val="bottom"/>
          </w:tcPr>
          <w:p>
            <w:pPr>
              <w:spacing w:after="0"/>
              <w:rPr>
                <w:sz w:val="24"/>
                <w:szCs w:val="24"/>
                <w:color w:val="auto"/>
              </w:rPr>
            </w:pP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F-4</w:t>
            </w:r>
          </w:p>
        </w:tc>
      </w:tr>
      <w:tr>
        <w:trPr>
          <w:trHeight w:val="288"/>
        </w:trPr>
        <w:tc>
          <w:tcPr>
            <w:tcW w:w="2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F-5</w:t>
            </w:r>
          </w:p>
        </w:tc>
      </w:tr>
      <w:tr>
        <w:trPr>
          <w:trHeight w:val="288"/>
        </w:trPr>
        <w:tc>
          <w:tcPr>
            <w:tcW w:w="20" w:type="dxa"/>
            <w:vAlign w:val="bottom"/>
          </w:tcPr>
          <w:p>
            <w:pPr>
              <w:spacing w:after="0"/>
              <w:rPr>
                <w:sz w:val="24"/>
                <w:szCs w:val="24"/>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24"/>
                <w:szCs w:val="24"/>
                <w:color w:val="auto"/>
              </w:rPr>
            </w:pPr>
          </w:p>
        </w:tc>
        <w:tc>
          <w:tcPr>
            <w:tcW w:w="940" w:type="dxa"/>
            <w:vAlign w:val="bottom"/>
            <w:gridSpan w:val="3"/>
          </w:tcPr>
          <w:p>
            <w:pPr>
              <w:spacing w:after="0"/>
              <w:rPr>
                <w:sz w:val="24"/>
                <w:szCs w:val="24"/>
                <w:color w:val="auto"/>
              </w:rPr>
            </w:pP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F-6</w:t>
            </w:r>
          </w:p>
        </w:tc>
      </w:tr>
      <w:tr>
        <w:trPr>
          <w:trHeight w:val="288"/>
        </w:trPr>
        <w:tc>
          <w:tcPr>
            <w:tcW w:w="2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540" w:type="dxa"/>
            <w:vAlign w:val="bottom"/>
          </w:tcPr>
          <w:p>
            <w:pPr>
              <w:ind w:left="7340"/>
              <w:spacing w:after="0"/>
              <w:rPr>
                <w:sz w:val="20"/>
                <w:szCs w:val="20"/>
                <w:color w:val="auto"/>
              </w:rPr>
            </w:pPr>
            <w:r>
              <w:rPr>
                <w:rFonts w:ascii="Times New Roman" w:cs="Times New Roman" w:eastAsia="Times New Roman" w:hAnsi="Times New Roman"/>
                <w:sz w:val="14"/>
                <w:szCs w:val="14"/>
                <w:color w:val="auto"/>
                <w:w w:val="92"/>
              </w:rPr>
              <w:t>F-8</w:t>
            </w:r>
          </w:p>
        </w:tc>
      </w:tr>
      <w:tr>
        <w:trPr>
          <w:trHeight w:val="722"/>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F-1</w:t>
            </w:r>
          </w:p>
        </w:tc>
      </w:tr>
      <w:tr>
        <w:trPr>
          <w:trHeight w:val="87"/>
        </w:trPr>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C4 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9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C4 Therapeutics, Inc. and subsidiary (the Company) as of December 31, 2023 and 2022,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U.S. generally accepted accounting principles.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9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34"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26035</wp:posOffset>
            </wp:positionV>
            <wp:extent cx="19405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4" w:lineRule="exact"/>
        <w:rPr>
          <w:sz w:val="20"/>
          <w:szCs w:val="20"/>
          <w:color w:val="auto"/>
        </w:rPr>
      </w:pPr>
    </w:p>
    <w:p>
      <w:pPr>
        <w:jc w:val="both"/>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ectPr>
          <w:pgSz w:w="11900" w:h="16838" w:orient="portrait"/>
          <w:cols w:equalWidth="0" w:num="1">
            <w:col w:w="11280"/>
          </w:cols>
          <w:pgMar w:left="300" w:top="123"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6" w:lineRule="exact"/>
        <w:rPr>
          <w:sz w:val="20"/>
          <w:szCs w:val="20"/>
          <w:color w:val="auto"/>
        </w:rPr>
      </w:pPr>
    </w:p>
    <w:p>
      <w:pPr>
        <w:ind w:left="220"/>
        <w:spacing w:after="0"/>
        <w:tabs>
          <w:tab w:leader="none" w:pos="822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Marketable securities,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Restricted cash</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7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822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61530" cy="128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0" w:lineRule="exact"/>
        <w:rPr>
          <w:sz w:val="20"/>
          <w:szCs w:val="20"/>
          <w:color w:val="auto"/>
        </w:rPr>
      </w:pPr>
    </w:p>
    <w:p>
      <w:pPr>
        <w:ind w:left="220"/>
        <w:spacing w:after="0"/>
        <w:tabs>
          <w:tab w:leader="none" w:pos="822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Deferred revenue, current</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Operating lease liability,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Long-term debt, net of debt discount—related party, current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revenue, net of current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liability, net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debt, net of debt discount—related party, net of current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6 and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229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10" w:lineRule="exact"/>
        <w:rPr>
          <w:sz w:val="20"/>
          <w:szCs w:val="20"/>
          <w:color w:val="auto"/>
        </w:rPr>
      </w:pPr>
    </w:p>
    <w:p>
      <w:pPr>
        <w:ind w:left="220" w:right="300"/>
        <w:spacing w:after="0" w:line="268" w:lineRule="auto"/>
        <w:rPr>
          <w:sz w:val="20"/>
          <w:szCs w:val="20"/>
          <w:color w:val="auto"/>
        </w:rPr>
      </w:pPr>
      <w:r>
        <w:rPr>
          <w:rFonts w:ascii="Times New Roman" w:cs="Times New Roman" w:eastAsia="Times New Roman" w:hAnsi="Times New Roman"/>
          <w:sz w:val="14"/>
          <w:szCs w:val="14"/>
          <w:color w:val="auto"/>
        </w:rPr>
        <w:t>Preferred stock, par value of $0.0001 per share; 10,000,000 shares authorized, and no shares issued or outstanding as of December 31, 2023 and 2022, respectively</w:t>
      </w:r>
    </w:p>
    <w:p>
      <w:pPr>
        <w:spacing w:after="0" w:line="1" w:lineRule="exact"/>
        <w:rPr>
          <w:sz w:val="20"/>
          <w:szCs w:val="20"/>
          <w:color w:val="auto"/>
        </w:rPr>
      </w:pPr>
    </w:p>
    <w:p>
      <w:pPr>
        <w:ind w:left="220" w:right="880"/>
        <w:spacing w:after="0" w:line="271" w:lineRule="auto"/>
        <w:rPr>
          <w:sz w:val="20"/>
          <w:szCs w:val="20"/>
          <w:color w:val="auto"/>
        </w:rPr>
      </w:pPr>
      <w:r>
        <w:rPr>
          <w:rFonts w:ascii="Times New Roman" w:cs="Times New Roman" w:eastAsia="Times New Roman" w:hAnsi="Times New Roman"/>
          <w:sz w:val="14"/>
          <w:szCs w:val="14"/>
          <w:color w:val="auto"/>
        </w:rPr>
        <w:t>Common stock, par value of $0.0001 per share; 150,000,000 shares authorized, and 60,467,188 and 48,966,216 shares issued and outstanding as of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126,590</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29,754</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127,091</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246,399</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11,799</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r>
      <w:tr>
        <w:trPr>
          <w:trHeight w:val="20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5,709</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9,931</w:t>
            </w:r>
          </w:p>
        </w:tc>
      </w:tr>
      <w:tr>
        <w:trPr>
          <w:trHeight w:val="18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271,189</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287,557</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28,008</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60,962</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7,132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63,956</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70,116</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3,443</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r>
      <w:tr>
        <w:trPr>
          <w:trHeight w:val="207"/>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2,723</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w:t>
            </w:r>
          </w:p>
        </w:tc>
      </w:tr>
      <w:tr>
        <w:trPr>
          <w:trHeight w:val="19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376,451</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430,840</w:t>
            </w:r>
          </w:p>
        </w:tc>
      </w:tr>
      <w:tr>
        <w:trPr>
          <w:trHeight w:val="20"/>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8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1,446</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20,630</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19,769</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15,471</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16,618</w:t>
            </w:r>
          </w:p>
        </w:tc>
      </w:tr>
      <w:tr>
        <w:trPr>
          <w:trHeight w:val="20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5,219</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-895350</wp:posOffset>
            </wp:positionV>
            <wp:extent cx="9429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—2,287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21590</wp:posOffset>
            </wp:positionV>
            <wp:extent cx="19405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42,766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44,546</w:t>
            </w:r>
          </w:p>
        </w:tc>
      </w:tr>
      <w:tr>
        <w:trPr>
          <w:trHeight w:val="202"/>
        </w:trPr>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21,814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16,895</w:t>
            </w:r>
          </w:p>
        </w:tc>
      </w:tr>
      <w:tr>
        <w:trPr>
          <w:trHeight w:val="202"/>
        </w:trPr>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65,757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70,970</w:t>
            </w:r>
          </w:p>
        </w:tc>
      </w:tr>
    </w:tbl>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—9,195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21590</wp:posOffset>
            </wp:positionV>
            <wp:extent cx="194056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1"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4"/>
          <w:szCs w:val="14"/>
          <w:color w:val="auto"/>
        </w:rPr>
        <w:t>130,337</w:t>
      </w:r>
      <w:r>
        <w:rPr>
          <w:sz w:val="20"/>
          <w:szCs w:val="20"/>
          <w:color w:val="auto"/>
        </w:rPr>
        <w:tab/>
      </w:r>
      <w:r>
        <w:rPr>
          <w:rFonts w:ascii="Times New Roman" w:cs="Times New Roman" w:eastAsia="Times New Roman" w:hAnsi="Times New Roman"/>
          <w:sz w:val="14"/>
          <w:szCs w:val="14"/>
          <w:color w:val="auto"/>
        </w:rPr>
        <w:t>141,606</w:t>
      </w:r>
    </w:p>
    <w:p>
      <w:pPr>
        <w:spacing w:after="0" w:line="200" w:lineRule="exact"/>
        <w:rPr>
          <w:sz w:val="20"/>
          <w:szCs w:val="20"/>
          <w:color w:val="auto"/>
        </w:rPr>
      </w:pPr>
    </w:p>
    <w:p>
      <w:pPr>
        <w:spacing w:after="0" w:line="382" w:lineRule="exact"/>
        <w:rPr>
          <w:sz w:val="20"/>
          <w:szCs w:val="20"/>
          <w:color w:val="auto"/>
        </w:rPr>
      </w:pPr>
    </w:p>
    <w:p>
      <w:pPr>
        <w:ind w:left="380"/>
        <w:spacing w:after="0"/>
        <w:tabs>
          <w:tab w:leader="none" w:pos="19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ind w:left="440"/>
        <w:spacing w:after="0"/>
        <w:tabs>
          <w:tab w:leader="none" w:pos="2000" w:val="left"/>
        </w:tabs>
        <w:rPr>
          <w:sz w:val="20"/>
          <w:szCs w:val="20"/>
          <w:color w:val="auto"/>
        </w:rPr>
      </w:pP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4"/>
          <w:szCs w:val="14"/>
          <w:color w:val="auto"/>
        </w:rPr>
        <w:t>5</w:t>
      </w:r>
    </w:p>
    <w:p>
      <w:pPr>
        <w:spacing w:after="0" w:line="41"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4"/>
          <w:szCs w:val="14"/>
          <w:color w:val="auto"/>
        </w:rPr>
        <w:t>774,618</w:t>
      </w:r>
      <w:r>
        <w:rPr>
          <w:sz w:val="20"/>
          <w:szCs w:val="20"/>
          <w:color w:val="auto"/>
        </w:rPr>
        <w:tab/>
      </w:r>
      <w:r>
        <w:rPr>
          <w:rFonts w:ascii="Times New Roman" w:cs="Times New Roman" w:eastAsia="Times New Roman" w:hAnsi="Times New Roman"/>
          <w:sz w:val="14"/>
          <w:szCs w:val="14"/>
          <w:color w:val="auto"/>
        </w:rPr>
        <w:t>689,256</w:t>
      </w:r>
    </w:p>
    <w:p>
      <w:pPr>
        <w:spacing w:after="0" w:line="41" w:lineRule="exact"/>
        <w:rPr>
          <w:sz w:val="20"/>
          <w:szCs w:val="20"/>
          <w:color w:val="auto"/>
        </w:rPr>
      </w:pPr>
    </w:p>
    <w:p>
      <w:pPr>
        <w:ind w:left="1700" w:hanging="1455"/>
        <w:spacing w:after="0"/>
        <w:tabs>
          <w:tab w:leader="none" w:pos="17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(4,137)</w:t>
      </w:r>
    </w:p>
    <w:p>
      <w:pPr>
        <w:spacing w:after="0" w:line="4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(528,383)(395,890)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21590</wp:posOffset>
            </wp:positionV>
            <wp:extent cx="194056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8420" w:space="720"/>
            <w:col w:w="214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246,114</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289,234</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376,451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78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collaboration agreements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31,096</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117,841</w:t>
            </w:r>
          </w:p>
        </w:tc>
      </w:tr>
      <w:tr>
        <w:trPr>
          <w:trHeight w:val="18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42,081</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42,789</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159,787</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160,630</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(129,534)</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and amortization of long-term debt—related party</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w:t>
            </w: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3,575</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(131,213)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(128,175)</w:t>
            </w: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(128,175)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Weighted-average number of shares - basic and diluted</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49,640,505</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48,861,665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3"/>
        </w:trPr>
        <w:tc>
          <w:tcPr>
            <w:tcW w:w="7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marketable securities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(128,483)</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(131,537)</w:t>
            </w: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3"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4340" w:type="dxa"/>
            <w:vAlign w:val="bottom"/>
          </w:tcPr>
          <w:p>
            <w:pPr>
              <w:spacing w:after="0"/>
              <w:rPr>
                <w:sz w:val="9"/>
                <w:szCs w:val="9"/>
                <w:color w:val="auto"/>
              </w:rPr>
            </w:pPr>
          </w:p>
        </w:tc>
        <w:tc>
          <w:tcPr>
            <w:tcW w:w="2000" w:type="dxa"/>
            <w:vAlign w:val="bottom"/>
            <w:gridSpan w:val="3"/>
            <w:vMerge w:val="restart"/>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340" w:type="dxa"/>
            <w:vAlign w:val="bottom"/>
          </w:tcPr>
          <w:p>
            <w:pPr>
              <w:spacing w:after="0"/>
              <w:rPr>
                <w:sz w:val="8"/>
                <w:szCs w:val="8"/>
                <w:color w:val="auto"/>
              </w:rPr>
            </w:pPr>
          </w:p>
        </w:tc>
        <w:tc>
          <w:tcPr>
            <w:tcW w:w="200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04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8"/>
                <w:szCs w:val="8"/>
                <w:color w:val="auto"/>
              </w:rPr>
            </w:pPr>
          </w:p>
        </w:tc>
        <w:tc>
          <w:tcPr>
            <w:tcW w:w="100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8"/>
                <w:szCs w:val="8"/>
                <w:color w:val="auto"/>
              </w:rPr>
            </w:pPr>
          </w:p>
        </w:tc>
        <w:tc>
          <w:tcPr>
            <w:tcW w:w="940" w:type="dxa"/>
            <w:vAlign w:val="bottom"/>
          </w:tcPr>
          <w:p>
            <w:pPr>
              <w:jc w:val="center"/>
              <w:ind w:right="91"/>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48,688,875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658,091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(267,715)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389,606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Exercise of stock options and release of stock units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40" w:type="dxa"/>
            <w:vAlign w:val="bottom"/>
            <w:vMerge w:val="continue"/>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235,450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777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the 2020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29,858</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(128,175)</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48,966,216</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689,256</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(395,890)</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289,234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340" w:type="dxa"/>
            <w:vAlign w:val="bottom"/>
            <w:shd w:val="clear" w:color="auto" w:fill="CCEEFF"/>
          </w:tcPr>
          <w:p>
            <w:pPr>
              <w:ind w:left="240"/>
              <w:spacing w:after="0" w:line="100" w:lineRule="exact"/>
              <w:rPr>
                <w:sz w:val="20"/>
                <w:szCs w:val="20"/>
                <w:color w:val="auto"/>
              </w:rPr>
            </w:pPr>
            <w:r>
              <w:rPr>
                <w:rFonts w:ascii="Times New Roman" w:cs="Times New Roman" w:eastAsia="Times New Roman" w:hAnsi="Times New Roman"/>
                <w:sz w:val="11"/>
                <w:szCs w:val="11"/>
                <w:color w:val="auto"/>
              </w:rPr>
              <w:t>Issuance of common stock pursuant to the at-the-market equity</w:t>
            </w: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program,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11,186,142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57,673</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 and release of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38"/>
        </w:trPr>
        <w:tc>
          <w:tcPr>
            <w:tcW w:w="4340" w:type="dxa"/>
            <w:vAlign w:val="bottom"/>
            <w:shd w:val="clear" w:color="auto" w:fill="CCEEFF"/>
          </w:tcPr>
          <w:p>
            <w:pPr>
              <w:ind w:left="240"/>
              <w:spacing w:after="0" w:line="138"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 net of</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shares repurchased for tax withholding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117,745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the 2020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133,784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0" w:type="dxa"/>
            <w:vAlign w:val="bottom"/>
          </w:tcPr>
          <w:p>
            <w:pPr>
              <w:spacing w:after="0"/>
              <w:rPr>
                <w:sz w:val="1"/>
                <w:szCs w:val="1"/>
                <w:color w:val="auto"/>
              </w:rPr>
            </w:pPr>
          </w:p>
        </w:tc>
      </w:tr>
      <w:tr>
        <w:trPr>
          <w:trHeight w:val="180"/>
        </w:trPr>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50,205</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60,467,188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774,618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(528,383)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246,114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(128,175)</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30,016</w:t>
            </w:r>
          </w:p>
        </w:tc>
      </w:tr>
      <w:tr>
        <w:trPr>
          <w:trHeight w:val="180"/>
        </w:trPr>
        <w:tc>
          <w:tcPr>
            <w:tcW w:w="8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Reduction in carrying amount of right-of-use asset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w:t>
            </w:r>
          </w:p>
        </w:tc>
      </w:tr>
      <w:tr>
        <w:trPr>
          <w:trHeight w:val="180"/>
        </w:trPr>
        <w:tc>
          <w:tcPr>
            <w:tcW w:w="8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Accretion of (premium) discount on marketable securities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debt discount—related party</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and long-term assets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180"/>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w:t>
            </w:r>
          </w:p>
        </w:tc>
      </w:tr>
      <w:tr>
        <w:trPr>
          <w:trHeight w:val="180"/>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8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(22,654)</w:t>
            </w:r>
          </w:p>
        </w:tc>
      </w:tr>
      <w:tr>
        <w:trPr>
          <w:trHeight w:val="171"/>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(106,838)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(105,939)</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provided by investing activities:</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289,955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283,445</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(219,527)</w:t>
            </w:r>
          </w:p>
        </w:tc>
      </w:tr>
      <w:tr>
        <w:trPr>
          <w:trHeight w:val="180"/>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158,349</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58,422</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common stock pursuant to the at-the-market equity program, net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57,673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long-term debt − related party</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exercises of stock options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r>
      <w:tr>
        <w:trPr>
          <w:trHeight w:val="180"/>
        </w:trPr>
        <w:tc>
          <w:tcPr>
            <w:tcW w:w="8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for repurchase of common stock for tax withholding</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71"/>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192"/>
        </w:trPr>
        <w:tc>
          <w:tcPr>
            <w:tcW w:w="8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(46,370)</w:t>
            </w: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79,403</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130,033</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8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130,033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33,033</w:t>
            </w:r>
          </w:p>
        </w:tc>
      </w:tr>
      <w:tr>
        <w:trPr>
          <w:trHeight w:val="180"/>
        </w:trPr>
        <w:tc>
          <w:tcPr>
            <w:tcW w:w="8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Less: restricted cash</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w:t>
            </w:r>
          </w:p>
        </w:tc>
      </w:tr>
      <w:tr>
        <w:trPr>
          <w:trHeight w:val="196"/>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the year</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126,590</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 Continued</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78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 in accounts receivable</w:t>
            </w:r>
          </w:p>
        </w:tc>
        <w:tc>
          <w:tcPr>
            <w:tcW w:w="8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8"/>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 - related party</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20" w:type="dxa"/>
            <w:vAlign w:val="bottom"/>
          </w:tcPr>
          <w:p>
            <w:pPr>
              <w:ind w:left="220"/>
              <w:spacing w:after="0" w:line="143" w:lineRule="exact"/>
              <w:rPr>
                <w:sz w:val="20"/>
                <w:szCs w:val="20"/>
                <w:color w:val="auto"/>
              </w:rPr>
            </w:pPr>
            <w:r>
              <w:rPr>
                <w:rFonts w:ascii="Times New Roman" w:cs="Times New Roman" w:eastAsia="Times New Roman" w:hAnsi="Times New Roman"/>
                <w:sz w:val="14"/>
                <w:szCs w:val="14"/>
                <w:color w:val="auto"/>
              </w:rPr>
              <w:t>Cash paid for income taxes</w:t>
            </w:r>
          </w:p>
        </w:tc>
        <w:tc>
          <w:tcPr>
            <w:tcW w:w="880" w:type="dxa"/>
            <w:vAlign w:val="bottom"/>
            <w:tcBorders>
              <w:bottom w:val="single" w:sz="8" w:color="auto"/>
            </w:tcBorders>
          </w:tcPr>
          <w:p>
            <w:pPr>
              <w:jc w:val="right"/>
              <w:ind w:right="7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4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3"/>
        </w:trPr>
        <w:tc>
          <w:tcPr>
            <w:tcW w:w="7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investing and financing activities: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5"/>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expenditures in accounts payable and accrued expenses</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143"/>
        </w:trPr>
        <w:tc>
          <w:tcPr>
            <w:tcW w:w="7820" w:type="dxa"/>
            <w:vAlign w:val="bottom"/>
          </w:tcPr>
          <w:p>
            <w:pPr>
              <w:ind w:left="220"/>
              <w:spacing w:after="0" w:line="143" w:lineRule="exact"/>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880" w:type="dxa"/>
            <w:vAlign w:val="bottom"/>
            <w:tcBorders>
              <w:top w:val="single" w:sz="8" w:color="auto"/>
              <w:bottom w:val="single" w:sz="8" w:color="auto"/>
            </w:tcBorders>
          </w:tcPr>
          <w:p>
            <w:pPr>
              <w:jc w:val="right"/>
              <w:ind w:right="7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4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44,067</w:t>
            </w:r>
          </w:p>
        </w:tc>
      </w:tr>
      <w:tr>
        <w:trPr>
          <w:trHeight w:val="20"/>
        </w:trPr>
        <w:tc>
          <w:tcPr>
            <w:tcW w:w="7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3"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the business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C4 Therapeutics, Inc., or, together with its subsidiary, the Company, is a clinical-stage biopharmaceutical company dedicated to delivering on the promise of Targeted Protein Degradation, or TPD, science to create a new generation of small-molecule medicines that transform patients’ lives. By leveraging its proprietary TORPEDO platform, the Company has the capability to efficiently design and optimize small molecule protein degraders that are highly active against their desired targets by harnessing the body’s natural process for destroying unwanted proteins. The Company believes its novel oral product candidates have the potential to overcome drug resistance often seen with inhibitors, target currently “undruggable” targets and improve patient outcomes. The Company was incorporated in Delaware on October 7, 2015 and has its principal office in Watertown, Massachusetts.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its inception, the Company’s primary activities have been focused on performing research and development activities, building the Company’s intellectual property, recruiting personnel, and raising capital to support these activities. To date, the Company has funded its operations primarily with proceeds received from the sales of redeemable convertible preferred stock, public offerings of the Company’s common stock, through its collaboration agreements, and debt financing.</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incurred recurring losses since its inception, including net losses of $132.5 million and $128.2 million for the years ended December 31, 2023 and 2022, respectively. In addition, as of December 31, 2023, the Company had an accumulated deficit of $528.4 million. To date, the Company has not generated any revenue from product sales as none of its product candidates has been approved for commercialization. The Company expects to continue to generate operating losses for the foreseeable future.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expects that its cash, cash equivalents, and marketable securities of $281.7 million as of December 31, 2023 will be sufficient to fund its operations for at least the next twelve months from the date of issuance of these consolidated financial statements. Accordingly, the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is subject to risks common to other life science companies in the early development stage including, but not limited to, uncertainty of ability to raise additional financing, product development and commercialization, development by its competitors of new technological innovations, dependence on key personnel, market acceptance of products, lack of marketing and sales history, product liability, protection of proprietary technology and intellectual property, and compliance with the Food and Drug Administration, or the FDA, and other government regulations. If the Company does not successfully advance its programs into and through human clinical trials and commercialize any of its product candidates either directly or through collaborations with other companies, the Company may be unable to produce product revenue or achieve profitability. There can be no assurance that the Company’s research and development efforts will be successful, adequate protection for the Company’s intellectual property will be obtained, any products developed will obtain necessary government regulatory approval, or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prepared the accompanying consolidated financial statements in conformity with generally accepted accounting principles in the United States of America, or U.S. GAAP. Any reference in these notes to applicable guidance is meant to refer to the authoritative U.S. GAAP as found in the Accounting Standards Codification, or ASC, and Accounting Standards Update, or ASU, of the Financial Accounting Standards Board, or FASB.</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financial statements include the accounts of C4 Therapeutics, Inc. and its wholly owned subsidiary, C4T Securities Corporation, a Massachusetts securities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significant intercompany balances and transactions have been eliminated in consolidation.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consolidated financial statements if these results differ from historical experience or other assumptions do not turn out to be substantially accurate, even if such assumptions are reasonable when made. Areas where management uses subjective judgement include, but are not limited to, amounts and timing of revenues recognized under the Company’s research and development collaboration arrangements, prepaid and accrued research and development expense, estimates of the useful lives of long-lived assets, assessments of the impairment of long-lived assets, measurement of right-of-use assets and lease liabilities, incremental borrowing rate used in the measurement of lease liability, and valuation and recognition of share-based compensation expense. The Company assesses estimates on an ongoing basis, and bases its estimates on historical experience, known trends and various other assumptions that are believed to be reasonable, the results of which form the basis for making judgements about the carrying values of assets and liabilities. Actual results could materially differ from those estimates.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 consolidated basis for the purpose of allocating resources. All of the Company’s long-lived assets are held in the United States.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 maturity of three months or less when purchased to be cash equivalents. The Company’s cash equivalents are measured at fair value on a recurring basis.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Restricted cash consists of cash placed in a separate restricted bank account as required under the terms of the Company’s lease agreements for its Watertown, Massachusetts facilities, as further described within Note 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classifies marketable securities with a remaining maturity of greater than three months at the date of purchase as available-for-sale. Marketable securities with a remaining maturity date greater than one year are classified as non-current assets.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significant concentration of credit risk consist primarily of cash, cash equivalents, marketable securities, and restricted cash.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Additionally,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or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56" w:lineRule="exact"/>
        <w:rPr>
          <w:sz w:val="20"/>
          <w:szCs w:val="20"/>
          <w:color w:val="auto"/>
        </w:rPr>
      </w:pPr>
    </w:p>
    <w:p>
      <w:pPr>
        <w:ind w:left="640" w:hanging="317"/>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1—Observable inputs that reflect quoted market prices in active markets for identical assets or liabilities in active markets.</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Level 1 inputs that are either directly or indirectly observable in the marketplace.</w:t>
      </w:r>
    </w:p>
    <w:p>
      <w:pPr>
        <w:spacing w:after="0" w:line="93"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which are supported by little or no market activity, and may be developed using estimates of assumptions developed by the Company, which reflect those that a market participant may use.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The Company evaluates transfers between levels at the end of each reporting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Expenditures for repairs and maintenance are expensed as incurred. When assets are retired or disposed of, the assets and related accumulated depreciation are derecognized from the accounts, and any resulting gain or loss is included in the determination of net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on equipment is calculated using the straight-line method over the estimated useful lives of the assets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80" w:type="dxa"/>
            <w:vAlign w:val="bottom"/>
            <w:tcBorders>
              <w:bottom w:val="single" w:sz="8" w:color="CFF0FC"/>
            </w:tcBorders>
          </w:tcPr>
          <w:p>
            <w:pPr>
              <w:spacing w:after="0"/>
              <w:rPr>
                <w:sz w:val="13"/>
                <w:szCs w:val="13"/>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202"/>
        </w:trPr>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 years</w:t>
            </w:r>
          </w:p>
        </w:tc>
      </w:tr>
      <w:tr>
        <w:trPr>
          <w:trHeight w:val="19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207"/>
        </w:trPr>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 equipment, furniture and fixtures</w:t>
            </w:r>
          </w:p>
        </w:tc>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 years</w:t>
            </w:r>
          </w:p>
        </w:tc>
      </w:tr>
      <w:tr>
        <w:trPr>
          <w:trHeight w:val="191"/>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Lesser of useful life or remaining lease term</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The Company accounts for leases in accordance with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or ASC 842. At the inception of an arrangement, the Company determines whether the arrangement is or contains a lease based on specific facts and circumstances present, the existence of an identified asset(s), if any, and the Company’s control over the use of the identified asset(s), if applicable. As provided by ASC 842, the Company elected to combine lease and non-lease components as a single component for all leases. Operating lease liabilities and their corresponding right-of-use assets are recorded based on the present value of future lease payments over the expected lease term. Certain adjustments to the right-of-use asset may be required for items such as incentives received. The Company typically only includes an initial lease term in its assessment of a lease arrangement; options to renew a lease are not included in the assessment unless there is reasonable certainty that the Company will renew. The interest rate implicit in lease contracts is typically not readily determinable. As such, in calculating the lease liability, the Company utilizes its incremental borrowing rate, which is the rate incurred to borrow on a collateralized basis over a similar term an amount equal to the lease payments in a similar economic environment. Lease expense is recognized over the expected lease term on a straight-line basis.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recognizes revenue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or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enters into collaboration and licensing agreements with strategic partners, which are within the scope of ASC 606, under which it may exclusively license rights to research, develop, manufacture, and commercialize its product candidates to third parties. The terms of these arrangements typically include payment to the Company of one or more of the following: (1) non-refundable, upfront license fees; (2) reimbursement of certain costs; (3) customer option fees for additional goods or services; (4) development milestone payments; (5) regulatory and commercial milestone payments; and (6) royalties on net sales of licensed products.</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w:t>
      </w:r>
    </w:p>
    <w:p>
      <w:pPr>
        <w:spacing w:after="0" w:line="1" w:lineRule="exact"/>
        <w:rPr>
          <w:sz w:val="20"/>
          <w:szCs w:val="20"/>
          <w:color w:val="auto"/>
        </w:rPr>
      </w:pPr>
    </w:p>
    <w:p>
      <w:pPr>
        <w:jc w:val="both"/>
        <w:ind w:firstLine="5"/>
        <w:spacing w:after="0" w:line="255" w:lineRule="auto"/>
        <w:tabs>
          <w:tab w:leader="none" w:pos="25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Upfront license fees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manufacturing, and commercialization capabilities of the customer; the retention of any key rights by the Company;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exercises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options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an option is not exercised and the target is terminated, the Company will accelerate and recognize all remaining revenue related to the material right performance obligation.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services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promises under the Company’s collaboration agreements may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from and payments to the customer that are the result of a collaborative relationship with the customer, instead of a customer relationship, such as co-development activities, are recorded as a reduction to research and development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Milestone payments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further discussion of accounting for collaboration revenues, see </w:t>
      </w:r>
      <w:r>
        <w:rPr>
          <w:rFonts w:ascii="Times New Roman" w:cs="Times New Roman" w:eastAsia="Times New Roman" w:hAnsi="Times New Roman"/>
          <w:sz w:val="14"/>
          <w:szCs w:val="14"/>
          <w:i w:val="1"/>
          <w:iCs w:val="1"/>
          <w:color w:val="auto"/>
        </w:rPr>
        <w:t>Note 8. Collaboration and license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are expensed as incurred and consist of the costs associated with conducting preclinical studies and clinical trials, which primarily include salaries, stock-based compensation and other employee benefit expenses, lab related supplies and other operational costs related to the Company’s research and development activities, including allocated facility-related expenses and external costs of outside vendors engaged to conduct research and development activities.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Clinical trial costs are a significant component of the Company's research and development expenses. The Company historically has contracted with third parties that perform various clinical trial activities on behalf of the Company in the ongoing development of the Company's product candidates. As part of the process of preparing the consolidated financial statements, the Company is required to estimate their accrued research and development expenses. The Company makes estimates of the accrued expenses as of each balance sheet date in the consolidated financial statements based on facts and circumstances known at that time, and include reviewing open contracts and purchase orders, communicating with its personnel to identify services that have been performed on its behalf and estimating the level of service performed and the associated costs incurred for the services when the Company has not yet been invoiced or otherwise notified of the actual costs. If contracted amounts with third parties are modified (for instance, as a result of changes in the clinical trial protocol or scope of work to be performed), the Company will modify the related accruals accordingly on a prospective basis. Revisions in the scope of a contract are charged to expense in the period in which the facts that give rise to the revision become reasonably certain.</w:t>
      </w:r>
    </w:p>
    <w:p>
      <w:pPr>
        <w:spacing w:after="0" w:line="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there may be instances in which payments made to the Company’s vendors will exceed the level of services provided and result in a prepayment of the expense in which case such amounts are reflected as prepaid expenses and other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current assets. In accruing service fees, the Company estimates the time period over which services will be performed and the level of effort to be expended in each period. If the actual timing of the performance of services or the level of effort varies from the estimate, the Company adjusts the accrual or the amount of prepaid expenses accordingly. 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applies ASC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or ASC 718, to account for its stock-based payments. In accordance with the ASC 718, the Company determines whether an award should be classified and accounted for as a liability award or an equity award. All of the Company's grants of stock-based awards to employees were classified as equity awards and are recognized in the Company's financial statements based on the grant date fair value measured using the Black-Scholes option pricing model. The Black-Scholes option pricing model estimates the fair value of the equity award using the expected term, expected volatility, risk-free interest rate, dividend rate, and the fair value of the common stock underlying the stock-based award.</w:t>
      </w:r>
    </w:p>
    <w:p>
      <w:pPr>
        <w:spacing w:after="0" w:line="55" w:lineRule="exact"/>
        <w:rPr>
          <w:sz w:val="20"/>
          <w:szCs w:val="20"/>
          <w:color w:val="auto"/>
        </w:rPr>
      </w:pPr>
    </w:p>
    <w:p>
      <w:pPr>
        <w:ind w:left="640" w:hanging="317"/>
        <w:spacing w:after="0" w:line="287" w:lineRule="auto"/>
        <w:tabs>
          <w:tab w:leader="none" w:pos="63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estimates the expected term using the “simplified” method, whereby, the expected term equals the arithmetic average of the vesting term and the contractual term of the option.</w:t>
      </w:r>
    </w:p>
    <w:p>
      <w:pPr>
        <w:spacing w:after="0" w:line="39"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lack of sufficient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w:t>
      </w:r>
    </w:p>
    <w:p>
      <w:pPr>
        <w:spacing w:after="0" w:line="39"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rates for periods within the expected life of the option were based on the U.S. Treasury yield curve in effect during the period the options were granted.</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dividend yield is assumed to be zero as the Company has never paid dividends and currently has no plans to pay any dividends on its common stock.</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common stock underlying shared based awards is the quoted market price of the Company’s common stock on the date of the grant.</w:t>
      </w:r>
    </w:p>
    <w:p>
      <w:pPr>
        <w:spacing w:after="0" w:line="93"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recognizes forfeitures as they occur.</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the awards are recognized as stock-based compensation expense on a straight-line basis over the requisite service period of the awards, which is generally the vesting period. For awards subject to both performance and service-based vesting conditions, we recognize stock-based compensation expense over the remaining service period if the performance condition is considered probable of achievement using management’s best estimates. Stock-based compensation expense is classified in the consolidated statement of operations and comprehensive loss in the same manner in which the award recipients’ payroll costs are classified or in which the award recipients’ service payments are classified.</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change in any of the terms or conditions of an equity award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and other pertinent factors at the modification date. For vested awards, the Company recognizes incremental compensation cost in the period the modification occurs. For unvested awards, the Company recognizes the expense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Company recognizes is the cost of the original award.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expected future tax consequence of events that have been recognized in the consolidated financial statements or the Company’s tax returns. Under this method, deferred tax assets and liabilities are determined based on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evaluates its uncertain tax positions using the provisions of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or ASC 740, which prescribes a recognition threshold that a tax position is required to meet before being recognized in the consolidated financial statements by using a "more-likely-than-not" criteria for financial statement recognition and measurement of a tax position taken or expected to be taken in a tax return. The provision for income taxes includes the effects of any resulting tax reserves, or unrecognized tax benefits, which are considered appropriate as well as the related net interest and penalties.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Comprehensive loss is defined as the change in equity of a business enterprise during a period from transactions and other events and circumstances from non-owner sources. Comprehensive loss includes net loss as well as other changes in stockholders’ equity which includes certain changes in equity that are excluded from net loss. The Company’s only element of other comprehensive income is unrealized gains and losses on marketable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and diluted net loss per share are computed using the weighted-average number of shares of common stock outstanding for the period. The Company computes diluted (loss) earnings per share after giving consideration to the dilutive effect of stock options and unvested restricted stock that are outstanding during the period, except where such securities would be anti-dilutive.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each reporting period, the Company evaluates whether there are conditions or events that raise substantial doubt about the Company’s ability to continue as a going concern within one year after the date that the consolidated financial statements are issued. The Company is required to make certain additional disclosures if it concludes substantial doubt exists and it is not alleviated by the Company’s plans or when its plans alleviate substantial doubt about the Company’s ability to continue as a going concern. The Company’s evaluation entails analyzing prospective operating budgets and forecasts for expectations of the Company’s cash needs and comparing those needs to the current cash, cash equivalent, and marketable securities balances.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or ASU 2023-09. ASU 2023-09 requires a company's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2025. Adoption is either with a prospective method or a fully retrospective method of transition. Early adoption is permitted. The Company is currently evaluating the effect that adoption of ASU 2023-09 will have on its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Fair value measurements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measured at fair value on a recurring basis and indicates the level of the fair value hierarchy utilized to determine such fair values as of December 31, 2023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103,564</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103,564</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equivalents and marketable securities</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F-14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fair value of the Company’s financial assets by level within the fair value hierarchy at December 31, 2022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equivalents and marketable securities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336,865</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308,160</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classifies its money market funds, which are valued based on quoted market prices in active markets, with no valuation adjustment, as Level 1 assets within the fair value hierarchy.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Marketable securities consist of U.S. Treasury securities, U.S. government debt securities, and corporate debt securities, all of which are classified as available-for-sale pursuant to ASC 320, </w:t>
      </w:r>
      <w:r>
        <w:rPr>
          <w:rFonts w:ascii="Times New Roman" w:cs="Times New Roman" w:eastAsia="Times New Roman" w:hAnsi="Times New Roman"/>
          <w:sz w:val="14"/>
          <w:szCs w:val="14"/>
          <w:i w:val="1"/>
          <w:iCs w:val="1"/>
          <w:color w:val="auto"/>
        </w:rPr>
        <w:t>Investments – Debt and Equity Securities</w:t>
      </w:r>
      <w:r>
        <w:rPr>
          <w:rFonts w:ascii="Times New Roman" w:cs="Times New Roman" w:eastAsia="Times New Roman" w:hAnsi="Times New Roman"/>
          <w:sz w:val="14"/>
          <w:szCs w:val="14"/>
          <w:color w:val="auto"/>
        </w:rPr>
        <w:t>. Marketable securities are classified within Level 2 of the fair value hierarchy because pricing inputs are other than quoted prices in active markets,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either directly or indirectly observable as of the reporting date, and fair value is determined using models or other valuation methodologies on a recurring basis.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Marketable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Marketable securities at December 31, 2023 consisted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80" w:type="dxa"/>
            <w:vAlign w:val="bottom"/>
          </w:tcPr>
          <w:p>
            <w:pPr>
              <w:spacing w:after="0"/>
              <w:rPr>
                <w:sz w:val="11"/>
                <w:szCs w:val="11"/>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10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left="39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920" w:type="dxa"/>
            <w:vAlign w:val="bottom"/>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Cost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left="398"/>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30"/>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current: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100,903</w:t>
            </w:r>
          </w:p>
        </w:tc>
        <w:tc>
          <w:tcPr>
            <w:tcW w:w="80" w:type="dxa"/>
            <w:vAlign w:val="bottom"/>
          </w:tcPr>
          <w:p>
            <w:pPr>
              <w:spacing w:after="0"/>
              <w:rPr>
                <w:sz w:val="17"/>
                <w:szCs w:val="17"/>
                <w:color w:val="auto"/>
              </w:rPr>
            </w:pPr>
          </w:p>
        </w:tc>
        <w:tc>
          <w:tcPr>
            <w:tcW w:w="1100" w:type="dxa"/>
            <w:vAlign w:val="bottom"/>
          </w:tcPr>
          <w:p>
            <w:pPr>
              <w:jc w:val="right"/>
              <w:ind w:right="95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100,698</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0" w:type="dxa"/>
            <w:vAlign w:val="bottom"/>
          </w:tcPr>
          <w:p>
            <w:pPr>
              <w:spacing w:after="0"/>
              <w:rPr>
                <w:sz w:val="1"/>
                <w:szCs w:val="1"/>
                <w:color w:val="auto"/>
              </w:rPr>
            </w:pP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28,007</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current and non-current</w:t>
            </w: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155,226</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155,099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Marketable securities at December 31, 2022 consisted of the following (in thousands):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3"/>
                <w:szCs w:val="23"/>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10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vMerge w:val="restart"/>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38"/>
        </w:trPr>
        <w:tc>
          <w:tcPr>
            <w:tcW w:w="50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100" w:type="dxa"/>
            <w:vAlign w:val="bottom"/>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left="39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Cost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current:</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183,270</w:t>
            </w:r>
          </w:p>
        </w:tc>
        <w:tc>
          <w:tcPr>
            <w:tcW w:w="80" w:type="dxa"/>
            <w:vAlign w:val="bottom"/>
          </w:tcPr>
          <w:p>
            <w:pPr>
              <w:spacing w:after="0"/>
              <w:rPr>
                <w:sz w:val="17"/>
                <w:szCs w:val="17"/>
                <w:color w:val="auto"/>
              </w:rPr>
            </w:pPr>
          </w:p>
        </w:tc>
        <w:tc>
          <w:tcPr>
            <w:tcW w:w="1100" w:type="dxa"/>
            <w:vAlign w:val="bottom"/>
          </w:tcPr>
          <w:p>
            <w:pPr>
              <w:jc w:val="right"/>
              <w:ind w:right="95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181,204</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39,802</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25,650</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25,393</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53,592</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53,123</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0" w:type="dxa"/>
            <w:vAlign w:val="bottom"/>
          </w:tcPr>
          <w:p>
            <w:pPr>
              <w:spacing w:after="0"/>
              <w:rPr>
                <w:sz w:val="1"/>
                <w:szCs w:val="1"/>
                <w:color w:val="auto"/>
              </w:rPr>
            </w:pPr>
          </w:p>
        </w:tc>
      </w:tr>
      <w:tr>
        <w:trPr>
          <w:trHeight w:val="221"/>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current and non-current</w:t>
            </w: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307,361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Marketable securities classified as current have maturities of less than one year. Marketable securities classified as non-current are those that: (i) have a maturity of greater than one year, and (ii) we do not intend to liquidate within the next twelve months, although these funds are available for use and, therefore, are classified as available-for-sale. No available-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for-sale debt securities held as of December 31, 2023 or December 31, 2021 had remaining maturities greater than five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Marketable securities in unrealized loss positions as of December 31, 2023 consisted of the following (in thousands, except number of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Gross</w:t>
            </w:r>
          </w:p>
        </w:tc>
      </w:tr>
      <w:tr>
        <w:trPr>
          <w:trHeight w:val="147"/>
        </w:trPr>
        <w:tc>
          <w:tcPr>
            <w:tcW w:w="6660" w:type="dxa"/>
            <w:vAlign w:val="bottom"/>
          </w:tcPr>
          <w:p>
            <w:pPr>
              <w:spacing w:after="0"/>
              <w:rPr>
                <w:sz w:val="12"/>
                <w:szCs w:val="12"/>
                <w:color w:val="auto"/>
              </w:rPr>
            </w:pP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2"/>
                <w:szCs w:val="12"/>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Unrealized</w:t>
            </w:r>
          </w:p>
        </w:tc>
      </w:tr>
      <w:tr>
        <w:trPr>
          <w:trHeight w:val="155"/>
        </w:trPr>
        <w:tc>
          <w:tcPr>
            <w:tcW w:w="6660" w:type="dxa"/>
            <w:vAlign w:val="bottom"/>
          </w:tcPr>
          <w:p>
            <w:pPr>
              <w:spacing w:after="0"/>
              <w:rPr>
                <w:sz w:val="13"/>
                <w:szCs w:val="13"/>
                <w:color w:val="auto"/>
              </w:rPr>
            </w:pP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80" w:type="dxa"/>
            <w:vAlign w:val="bottom"/>
          </w:tcPr>
          <w:p>
            <w:pPr>
              <w:spacing w:after="0"/>
              <w:rPr>
                <w:sz w:val="13"/>
                <w:szCs w:val="13"/>
                <w:color w:val="auto"/>
              </w:rPr>
            </w:pPr>
          </w:p>
        </w:tc>
        <w:tc>
          <w:tcPr>
            <w:tcW w:w="120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Losses</w:t>
            </w:r>
          </w:p>
        </w:tc>
      </w:tr>
      <w:tr>
        <w:trPr>
          <w:trHeight w:val="186"/>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less than 12 months:</w:t>
            </w:r>
          </w:p>
        </w:tc>
        <w:tc>
          <w:tcPr>
            <w:tcW w:w="1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196"/>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07"/>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greater than 12 months: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in unrealized loss position</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Marketable securities in unrealized loss positions as of December 31, 2022 consisted of the following (in thousands, except number of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Gross</w:t>
            </w:r>
          </w:p>
        </w:tc>
      </w:tr>
      <w:tr>
        <w:trPr>
          <w:trHeight w:val="147"/>
        </w:trPr>
        <w:tc>
          <w:tcPr>
            <w:tcW w:w="6660" w:type="dxa"/>
            <w:vAlign w:val="bottom"/>
          </w:tcPr>
          <w:p>
            <w:pPr>
              <w:spacing w:after="0"/>
              <w:rPr>
                <w:sz w:val="12"/>
                <w:szCs w:val="12"/>
                <w:color w:val="auto"/>
              </w:rPr>
            </w:pPr>
          </w:p>
        </w:tc>
        <w:tc>
          <w:tcPr>
            <w:tcW w:w="112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2"/>
                <w:szCs w:val="12"/>
                <w:color w:val="auto"/>
              </w:rPr>
            </w:pPr>
          </w:p>
        </w:tc>
        <w:tc>
          <w:tcPr>
            <w:tcW w:w="1200" w:type="dxa"/>
            <w:vAlign w:val="bottom"/>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Unrealized</w:t>
            </w:r>
          </w:p>
        </w:tc>
      </w:tr>
      <w:tr>
        <w:trPr>
          <w:trHeight w:val="154"/>
        </w:trPr>
        <w:tc>
          <w:tcPr>
            <w:tcW w:w="6660" w:type="dxa"/>
            <w:vAlign w:val="bottom"/>
          </w:tcPr>
          <w:p>
            <w:pPr>
              <w:spacing w:after="0"/>
              <w:rPr>
                <w:sz w:val="13"/>
                <w:szCs w:val="13"/>
                <w:color w:val="auto"/>
              </w:rPr>
            </w:pPr>
          </w:p>
        </w:tc>
        <w:tc>
          <w:tcPr>
            <w:tcW w:w="112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80" w:type="dxa"/>
            <w:vAlign w:val="bottom"/>
          </w:tcPr>
          <w:p>
            <w:pPr>
              <w:spacing w:after="0"/>
              <w:rPr>
                <w:sz w:val="13"/>
                <w:szCs w:val="13"/>
                <w:color w:val="auto"/>
              </w:rPr>
            </w:pPr>
          </w:p>
        </w:tc>
        <w:tc>
          <w:tcPr>
            <w:tcW w:w="1200" w:type="dxa"/>
            <w:vAlign w:val="bottom"/>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Losses</w:t>
            </w:r>
          </w:p>
        </w:tc>
      </w:tr>
      <w:tr>
        <w:trPr>
          <w:trHeight w:val="187"/>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less than 12 months:</w:t>
            </w:r>
          </w:p>
        </w:tc>
        <w:tc>
          <w:tcPr>
            <w:tcW w:w="1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19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134,027</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r>
      <w:tr>
        <w:trPr>
          <w:trHeight w:val="207"/>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in continuous unrealized loss position for greater than 12 months: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r>
      <w:tr>
        <w:trPr>
          <w:trHeight w:val="207"/>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debt securities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202"/>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12"/>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in unrealized loss position</w:t>
            </w: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factors such as historical experience, market data, issuer-specific factors, and current economic conditions, the Company did not record an allowance for credit losses at December 31, 2023 and December 31, 2022, related to these securities.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Property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0" w:type="dxa"/>
            <w:vAlign w:val="bottom"/>
          </w:tcPr>
          <w:p>
            <w:pPr>
              <w:spacing w:after="0"/>
              <w:rPr>
                <w:sz w:val="1"/>
                <w:szCs w:val="1"/>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Laboratory equipment</w:t>
            </w:r>
          </w:p>
        </w:tc>
        <w:tc>
          <w:tcPr>
            <w:tcW w:w="88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w:t>
            </w:r>
          </w:p>
        </w:tc>
        <w:tc>
          <w:tcPr>
            <w:tcW w:w="80" w:type="dxa"/>
            <w:vAlign w:val="bottom"/>
          </w:tcPr>
          <w:p>
            <w:pPr>
              <w:spacing w:after="0"/>
              <w:rPr>
                <w:sz w:val="17"/>
                <w:szCs w:val="17"/>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Leasehold improvements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Furniture and fixtures</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Office equipment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Computer equipment</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8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8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(8,123)</w:t>
            </w:r>
          </w:p>
        </w:tc>
        <w:tc>
          <w:tcPr>
            <w:tcW w:w="0" w:type="dxa"/>
            <w:vAlign w:val="bottom"/>
          </w:tcPr>
          <w:p>
            <w:pPr>
              <w:spacing w:after="0"/>
              <w:rPr>
                <w:sz w:val="1"/>
                <w:szCs w:val="1"/>
                <w:color w:val="auto"/>
              </w:rPr>
            </w:pP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8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Depreciation expense related to property and equipment was as follows (in thousands):</w:t>
            </w: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8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2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8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July 2017, the Company entered into a lease of office and laboratory space for its headquarters in Watertown, Massachusetts, or the Watertown Lease. The Watertown Lease had a non-cancelable term of ten years with an option to extend for one additional five-year period and is subject to rent escalation throughout the term. Additionally, the Watertown Lease required the Company to provide collateral, which was recorded as restricted cash on the consolidated balance sheets. The Watertown Lease commenced in April 2018. The Watertown Lease was classified as an operating lease and, upon the commencement in April 2018, the Company recorded a lease liability of $15.1 million and a right-of-use asset of $16.7 million, which is inclusive of $1.5 million of construction costs funded by the Company. In initially calculating the lease liability and the right-of-use asset, the Company did not include the additional five-year period option as management did not believe there was reasonable certainty that the Company would exercise the option. In addition to rent, the Company is also responsible for paying its pro rata share of costs incurred for common area maintenance, real estate taxes and property insurance related to the leased space, which are accounted for as variable lease costs.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2021, the Company entered into an amendment to the Watertown Lease, or the Amended Lease. The Amended Lease serves to extend the lease term of the Company’s existing leased space, or the Existing Leased Space, and provides additional office and laboratory space, or the Newly Leased Space. The Amended Lease commenced in January 2022 and the Company’s obligation to pay rent on the Newly Leased Space commenced in March 2022, with the amount of this new rent obligation added to the Company’s continuing obligation to pay rent on the Existing Leased Space. The Amended Lease terminates in March 2032, which is 10 years from the rent commencement date for the Newly Leased Space. The Amended Lease is subject to fixed rate rent escalations, provides for up to $2.6 million in tenant improvements, and provides an option for the Company to extend the lease term of the Amended Lease for one additional five-year period. Upon executing the Amended Lease, the Company increased its collateral to $3.3 million, which is recorded as restricted cash on the accompanying consolidated balance sheets as of December 31, 2023 and 2022. In addition to rent, under the terms of the Amended Lease, the Company is also responsible for paying its pro rata share of costs incurred for common area maintenance, real estate taxes and property insurance related to the leased space, including both the Existing Leased Space and, as of January 2022, the Newly Leased Space, which amounts are accounted for as variable lease costs.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the amended lease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the Amended Lease extends the term of the Existing Leased Space and provides access to the Newly Leased Space, in accordance with the provisions of ASC 842, the Company accounted for the Amended Lease as two separate contracts: 1) modification of the existing lease agreement to extend the lease term of the Existing Leased Space, and 2) new lease agreement for the right-of-use of the Newly Leased Space.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the Company maintained control of the Existing Leased Space upon execution of the Amended Lease, the Company recorded an increase in right-of-use asset and lease liability of $20.1 million related to the new rental payments during the extended term and current incremental borrowing rate of the Existing Leased Space upon execution of the Amended Lease. The calculation of the lease liability and the right-of-use asset of the Existing Leased Space does not include the additional five-year period option as the Company does not believe there is reasonable certainty that the option will be exercised.</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noted above, the lease for the Newly Leased Space commenced in January 2022. As a result, the Company recorded a right-of-use asset of $44.4 million, and a corresponding lease liability of $44.1 million for the Newly Leased Space. The calculation of the lease liability and the right-of-use asset of the Newly Leased Space does not include the additional five-year period option provided under the Amended Lease as the Company does not believe there is reasonable certainty that the option will be exercised. As stated above, the Amended Lease provides for up to $2.6 million of tenant improvement allowance which was used in full in the year ended December 31, 2022.</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2022, the Company entered into a sublease agreement with a third party, or the Sublease, for a portion of the office and laboratory space in Suite 200 at 490 Arsenal Way, Watertown, Massachusetts. The term of the Sublease ends in June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elements of lease costs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cost: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10,031</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Sublease income</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9,432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lease term and incremental borrowing rate applied in arriving at the lease liability: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2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0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lease term</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8.1 years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years</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Incremental borrowing rate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lease payments under non-cancelable leases as of December 31, 2023 for each of the years ending December 31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Undiscounted lease payments:</w:t>
            </w:r>
          </w:p>
        </w:tc>
        <w:tc>
          <w:tcPr>
            <w:tcW w:w="5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6"/>
        </w:trPr>
        <w:tc>
          <w:tcPr>
            <w:tcW w:w="4320" w:type="dxa"/>
            <w:vAlign w:val="bottom"/>
          </w:tcPr>
          <w:p>
            <w:pPr>
              <w:jc w:val="right"/>
              <w:ind w:right="3749"/>
              <w:spacing w:after="0"/>
              <w:rPr>
                <w:sz w:val="20"/>
                <w:szCs w:val="20"/>
                <w:color w:val="auto"/>
              </w:rPr>
            </w:pPr>
            <w:r>
              <w:rPr>
                <w:rFonts w:ascii="Times New Roman" w:cs="Times New Roman" w:eastAsia="Times New Roman" w:hAnsi="Times New Roman"/>
                <w:sz w:val="14"/>
                <w:szCs w:val="14"/>
                <w:color w:val="auto"/>
              </w:rPr>
              <w:t>2024</w:t>
            </w:r>
          </w:p>
        </w:tc>
        <w:tc>
          <w:tcPr>
            <w:tcW w:w="6020" w:type="dxa"/>
            <w:vAlign w:val="bottom"/>
            <w:gridSpan w:val="2"/>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w:t>
            </w:r>
          </w:p>
        </w:tc>
      </w:tr>
      <w:tr>
        <w:trPr>
          <w:trHeight w:val="207"/>
        </w:trPr>
        <w:tc>
          <w:tcPr>
            <w:tcW w:w="4320" w:type="dxa"/>
            <w:vAlign w:val="bottom"/>
            <w:shd w:val="clear" w:color="auto" w:fill="CCEEFF"/>
          </w:tcPr>
          <w:p>
            <w:pPr>
              <w:jc w:val="right"/>
              <w:ind w:right="3749"/>
              <w:spacing w:after="0"/>
              <w:rPr>
                <w:sz w:val="20"/>
                <w:szCs w:val="20"/>
                <w:color w:val="auto"/>
              </w:rPr>
            </w:pPr>
            <w:r>
              <w:rPr>
                <w:rFonts w:ascii="Times New Roman" w:cs="Times New Roman" w:eastAsia="Times New Roman" w:hAnsi="Times New Roman"/>
                <w:sz w:val="14"/>
                <w:szCs w:val="14"/>
                <w:color w:val="auto"/>
              </w:rPr>
              <w:t>2025</w:t>
            </w:r>
          </w:p>
        </w:tc>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9,093</w:t>
            </w:r>
          </w:p>
        </w:tc>
      </w:tr>
      <w:tr>
        <w:trPr>
          <w:trHeight w:val="196"/>
        </w:trPr>
        <w:tc>
          <w:tcPr>
            <w:tcW w:w="4320" w:type="dxa"/>
            <w:vAlign w:val="bottom"/>
          </w:tcPr>
          <w:p>
            <w:pPr>
              <w:jc w:val="right"/>
              <w:ind w:right="3749"/>
              <w:spacing w:after="0"/>
              <w:rPr>
                <w:sz w:val="20"/>
                <w:szCs w:val="20"/>
                <w:color w:val="auto"/>
              </w:rPr>
            </w:pPr>
            <w:r>
              <w:rPr>
                <w:rFonts w:ascii="Times New Roman" w:cs="Times New Roman" w:eastAsia="Times New Roman" w:hAnsi="Times New Roman"/>
                <w:sz w:val="14"/>
                <w:szCs w:val="14"/>
                <w:color w:val="auto"/>
              </w:rPr>
              <w:t>2026</w:t>
            </w:r>
          </w:p>
        </w:tc>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9,366</w:t>
            </w:r>
          </w:p>
        </w:tc>
      </w:tr>
      <w:tr>
        <w:trPr>
          <w:trHeight w:val="207"/>
        </w:trPr>
        <w:tc>
          <w:tcPr>
            <w:tcW w:w="4320" w:type="dxa"/>
            <w:vAlign w:val="bottom"/>
            <w:shd w:val="clear" w:color="auto" w:fill="CCEEFF"/>
          </w:tcPr>
          <w:p>
            <w:pPr>
              <w:jc w:val="right"/>
              <w:ind w:right="3749"/>
              <w:spacing w:after="0"/>
              <w:rPr>
                <w:sz w:val="20"/>
                <w:szCs w:val="20"/>
                <w:color w:val="auto"/>
              </w:rPr>
            </w:pPr>
            <w:r>
              <w:rPr>
                <w:rFonts w:ascii="Times New Roman" w:cs="Times New Roman" w:eastAsia="Times New Roman" w:hAnsi="Times New Roman"/>
                <w:sz w:val="14"/>
                <w:szCs w:val="14"/>
                <w:color w:val="auto"/>
              </w:rPr>
              <w:t>2027</w:t>
            </w:r>
          </w:p>
        </w:tc>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9,646</w:t>
            </w:r>
          </w:p>
        </w:tc>
      </w:tr>
      <w:tr>
        <w:trPr>
          <w:trHeight w:val="196"/>
        </w:trPr>
        <w:tc>
          <w:tcPr>
            <w:tcW w:w="4320" w:type="dxa"/>
            <w:vAlign w:val="bottom"/>
          </w:tcPr>
          <w:p>
            <w:pPr>
              <w:jc w:val="right"/>
              <w:ind w:right="3749"/>
              <w:spacing w:after="0"/>
              <w:rPr>
                <w:sz w:val="20"/>
                <w:szCs w:val="20"/>
                <w:color w:val="auto"/>
              </w:rPr>
            </w:pPr>
            <w:r>
              <w:rPr>
                <w:rFonts w:ascii="Times New Roman" w:cs="Times New Roman" w:eastAsia="Times New Roman" w:hAnsi="Times New Roman"/>
                <w:sz w:val="14"/>
                <w:szCs w:val="14"/>
                <w:color w:val="auto"/>
              </w:rPr>
              <w:t>2028</w:t>
            </w:r>
          </w:p>
        </w:tc>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11,362</w:t>
            </w:r>
          </w:p>
        </w:tc>
      </w:tr>
      <w:tr>
        <w:trPr>
          <w:trHeight w:val="207"/>
        </w:trPr>
        <w:tc>
          <w:tcPr>
            <w:tcW w:w="4320" w:type="dxa"/>
            <w:vAlign w:val="bottom"/>
            <w:shd w:val="clear" w:color="auto" w:fill="CCEEFF"/>
          </w:tcPr>
          <w:p>
            <w:pPr>
              <w:jc w:val="right"/>
              <w:ind w:right="3489"/>
              <w:spacing w:after="0"/>
              <w:rPr>
                <w:sz w:val="20"/>
                <w:szCs w:val="20"/>
                <w:color w:val="auto"/>
              </w:rPr>
            </w:pPr>
            <w:r>
              <w:rPr>
                <w:rFonts w:ascii="Times New Roman" w:cs="Times New Roman" w:eastAsia="Times New Roman" w:hAnsi="Times New Roman"/>
                <w:sz w:val="14"/>
                <w:szCs w:val="14"/>
                <w:color w:val="auto"/>
              </w:rPr>
              <w:t>Thereafter</w:t>
            </w:r>
          </w:p>
        </w:tc>
        <w:tc>
          <w:tcPr>
            <w:tcW w:w="5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40,751</w:t>
            </w: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5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89,046</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5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(18,070)</w:t>
            </w: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liability as of December 31, 2023</w:t>
            </w:r>
          </w:p>
        </w:tc>
        <w:tc>
          <w:tcPr>
            <w:tcW w:w="5480" w:type="dxa"/>
            <w:vAlign w:val="bottom"/>
          </w:tcPr>
          <w:p>
            <w:pPr>
              <w:spacing w:after="0"/>
              <w:rPr>
                <w:sz w:val="16"/>
                <w:szCs w:val="16"/>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70,976</w:t>
            </w:r>
          </w:p>
        </w:tc>
      </w:tr>
      <w:tr>
        <w:trPr>
          <w:trHeight w:val="20"/>
        </w:trPr>
        <w:tc>
          <w:tcPr>
            <w:tcW w:w="4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8"/>
        </w:trPr>
        <w:tc>
          <w:tcPr>
            <w:tcW w:w="4320" w:type="dxa"/>
            <w:vAlign w:val="bottom"/>
          </w:tcPr>
          <w:p>
            <w:pPr>
              <w:spacing w:after="0"/>
              <w:rPr>
                <w:sz w:val="24"/>
                <w:szCs w:val="24"/>
                <w:color w:val="auto"/>
              </w:rPr>
            </w:pPr>
          </w:p>
        </w:tc>
        <w:tc>
          <w:tcPr>
            <w:tcW w:w="6020" w:type="dxa"/>
            <w:vAlign w:val="bottom"/>
            <w:gridSpan w:val="2"/>
          </w:tcPr>
          <w:p>
            <w:pPr>
              <w:jc w:val="right"/>
              <w:ind w:right="4489"/>
              <w:spacing w:after="0"/>
              <w:rPr>
                <w:sz w:val="20"/>
                <w:szCs w:val="20"/>
                <w:color w:val="auto"/>
              </w:rPr>
            </w:pPr>
            <w:r>
              <w:rPr>
                <w:rFonts w:ascii="Times New Roman" w:cs="Times New Roman" w:eastAsia="Times New Roman" w:hAnsi="Times New Roman"/>
                <w:sz w:val="14"/>
                <w:szCs w:val="14"/>
                <w:color w:val="auto"/>
              </w:rPr>
              <w:t>F-18</w:t>
            </w:r>
          </w:p>
        </w:tc>
        <w:tc>
          <w:tcPr>
            <w:tcW w:w="940" w:type="dxa"/>
            <w:vAlign w:val="bottom"/>
          </w:tcPr>
          <w:p>
            <w:pPr>
              <w:spacing w:after="0"/>
              <w:rPr>
                <w:sz w:val="24"/>
                <w:szCs w:val="24"/>
                <w:color w:val="auto"/>
              </w:rPr>
            </w:pPr>
          </w:p>
        </w:tc>
      </w:tr>
      <w:tr>
        <w:trPr>
          <w:trHeight w:val="87"/>
        </w:trPr>
        <w:tc>
          <w:tcPr>
            <w:tcW w:w="4320" w:type="dxa"/>
            <w:vAlign w:val="bottom"/>
            <w:tcBorders>
              <w:bottom w:val="single" w:sz="8" w:color="9A9A9A"/>
            </w:tcBorders>
          </w:tcPr>
          <w:p>
            <w:pPr>
              <w:spacing w:after="0"/>
              <w:rPr>
                <w:sz w:val="7"/>
                <w:szCs w:val="7"/>
                <w:color w:val="auto"/>
              </w:rPr>
            </w:pPr>
          </w:p>
        </w:tc>
        <w:tc>
          <w:tcPr>
            <w:tcW w:w="54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Accrued expenses and other current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11,243</w:t>
            </w: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w:t>
            </w: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3,114</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there were $3.1 million of costs related to wind down activities for CFT8634 included within the accrued research and development balance.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Collaboration and license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Merck License and Collaboration Agreement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11, 2023, the Company entered into an exclusive license and collaboration agreement with Merck, or the Merck Agreement, to develop degrader-antibody conjugates, or DACs, an emerging modality designed to selectively target and neutralize disease-causing proteins in cancer cells.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terms of the Merck Agreement, the Company received a $10.0 million upfront payment in January 2024. The Company and Merck will collaborate to develop DACs directed to an initial undisclosed oncology target that is exclusive to the collaboration. For DACs directed to this initial target, the Company is eligible to receive milestone payments totaling approximately $600 million, as well as tiered royalties on future sales. The agreement also provides Merck with the option to extend the collaboration to include three additional targets that would be exclusive to the collaboration, which could yield option exercise payments as well as potential milestones and royalties. If Merck exercises all of its options to extend the collaboration, the Company would be eligible to receive up to approximately $2.5 billion in potential payments across the entire collaboration.</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collaboration is managed by a joint research committee, or JRC, which is comprised of representatives from both Merck and the Company. Each party also has various termination rights under certain circumstances, including but not limited to regulatory safety stoppages, patent challenges, or a material breach by the other party, subject to certain conditions. Termination of the agreement is subject to the determination of the JRC.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Merck Agreement Accounting</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identified one performance obligation at the outset of the Merck Agreement, which consists of: (1) the exclusive license and (2) the research activities for the initial undisclosed oncology target and the joint research plan. The Company determined that the license and research activities were not distinct from one another, as the license has limited value without the performance of the research activities by the Company. Participation on the Merck JRC to oversee the research activities and the technology transfer associated with the Merck Agreement were determined to be quantitatively and qualitatively immaterial and therefore are excluded from performance obligations. The Company recognizes the transaction price allocated to this performance obligation as the research and development services are provided, using an input method, in proportion to costs incurred to date for each research development target as compared to total costs incurred and expected to be incurred in the future to satisfy the underlying obligation. The transfer of control occurs over this period and, in management’s judgment, is the best measure of progress towards satisfying the performance obligation.</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total transaction price of $10.0 million is allocated to the research and development services performance obligation and $10.0 million of the allocated transaction price remains unsatisfied.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Betta Pharma License and Collaboration Agreement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29, 2023, the Company entered into a license and collaboration agreement, or the Betta Pharma License Agreement, with Betta Pharma to collaborate on the development and commercialization of CFT8919 in Greater China,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comprised of mainland China, Hong Kong SAR, Macau SAR and Taiwan, with the Company retaining rights to CFT8919 in the rest of the world other than Greater China, or the C4T Territory.</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terms of the Betta Pharma License Agreement, the Company grants Betta Pharma an exclusive license under certain of the Company's intellectual property rights to develop, manufacture and commercialize CFT8919 for all uses in humans in Greater China. Betta Pharma is responsible for all development, regulatory approval, manufacturing and commercialization costs in Greater China except where Betta Pharma acts as the Company's agent in Greater China in connection with a global trial sponsored by the Company. As part of the collaboration, Betta Pharma made an upfront cash payment of $10.0 million to the Company and has agreed to make up to $357.0 million in aggregate milestone payments, plus tiered royalties on net sales of CFT8919 in Greater China. These payments are subject to a withholding tax by the State Taxing Authority of the People's Republic of China. Royalties payable from Betta Pharma to the Company range from low to mid double-digit percent, subject to certain reductions under certain circumstances as described in the Betta Pharma License Agreement. In addition, as part of the collaboration, the Company has agreed to make milestone payments to Betta Pharma of up to $40.0 million following the Company's receipt of approval of a New Drug Application for CFT8919 from the FDA, with the milestone amount based on the percentage of patients in contemplated clinical trials that were enrolled by Betta Pharma and the line of therapy of the approval. In addition, the Company has agreed to pay Betta Pharma tiered royalties on net sales of CFT8919 in the C4T Territory in the low single digit percent range, subject to reductions under certain circumstances as described in the Betta Pharma License Agreement.</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connection with the execution of the Betta Pharma License Agreement, the Company, Betta Pharma, and an affiliate of Betta Pharma, (Betta Investment (Hong Kong) Limited, or Betta Investment), entered into a stock purchase agreement dated May 29, 2023, or the Betta Stock Purchase Agreement, and together with the Betta Pharma License Agreement, or the Betta Agreements, pursuant to which Betta Investment agreed to purchase 5,567,928 shares of the Company's common stock, or the Shares, for an aggregate purchase price of approximately $25.0 million, or $4.49 per share, which represented a 25% premium over the 60-trading-day volume weighted average closing price as of two trading days prior to the effective date of the Betta Stock Purchase Agreement. The Betta Stock Purchase Agreement has certain restrictions customary to agreements of this nature. As the closing under the Betta Stock Purchase Agreement did not occur until January 4, 2024, no activity under the Betta Stock Purchase Agreement was recorded as of December 31, 2023.</w:t>
      </w:r>
    </w:p>
    <w:p>
      <w:pPr>
        <w:spacing w:after="0" w:line="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collaboration is managed by a joint steering committee, which is composed of representatives from both Betta Pharma and the Company. Following the completion of the dose escalation phase of the Phase 1 trial of CFT8919, Betta Pharma may terminate the Betta Pharma License Agreement for convenience upon at least 90 days’ prior written notice. Each party also has various termination rights under certain circumstances, including but not limited to regulatory safety stoppages, patent challenges, or a material breach by the other party, subject to certain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Betta Agreements accounting</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expects to recognize revenue under the Betta Agreements from one type of arrangement, the licensing agreement. The Betta Agreements will consist of the following activities: (1) license of intellectual property, (2) clinical manufacturing supply agreement, and (3) manufacturing technology transfer, and (4) commercial manufacturing supply agreement. As of December 31, 2023, the total transaction price is currently $12.0 million, consisting of the $10.0 million upfront cash consideration and a $2.0 million milestone achieved in December 2023 under the Betta Pharma License Agreement. Revenue recognition associated with the Betta Agreements is expected to commence upon the delivery of clinical supply under the clinical manufacturing supply agreement, which has not been executed as of December 31, 2023. The Company has collected a net amount of $9.0 million from the upfront payment from Betta Pharma, after making the related withholding tax payment of $1.0 million to the Chinese tax authorities (See Note 12). No revenue has been recognized as of December 31, 2023, in respect of the transaction price allocated to the Betta Agreements.</w:t>
      </w:r>
    </w:p>
    <w:p>
      <w:pPr>
        <w:spacing w:after="0" w:line="2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Collaboration and License Agreement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2016, the Company entered into a license agreement with Roche, which was amended in June 2016 and again in March 2017. The Company and Roche amended and restated that agreement (as so amended) in December 2018. This amended and restated agreement is referred to as the Roche Agreement. Under the Roche Agreement, the Company and Roche agreed to collaborate in the research, development, manufacture and commercialization of target-binding degrader medicines using the Company’s proprietary TORPEDO platform for the treatment of cancers and other indications. Under the Roche Agreement, the Company may elect to opt into certain co-development rights, in which case the Company will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receive an increased royalty rate on future product sales from products directed to that target. In addition, if the Company opts into certain co-detailing rights, it is also entitled to reimbursement of certain commercialization costs. Upon entry into the Roche Agreement, the Company received additional upfront consideration of $40.0 million.</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November 2020, the Company signed a further amendment, the effect of which was to provide that the parties would develop up to five potential targets, with Roche maintaining its option rights to license and commercialize products directed to those targets. The November 2020 amendment also provides a mechanism through which the Company and Roche can mutually agree to terminate the Roche Agreement on a target-by-target basis by the entry into a Mutual Target Termination Agreement. Upon the entry into a Mutual Target Termination Agreement, the Roche Agreement provides that all rights and responsibilities for know-how and other intellectual property in support of products that use inhibition as their mode of action revert to Roche and all rights and responsibilities for know-how and other intellectual property in support of products that use degradation as their mode of action revert to the Company. In support of this allocation of rights, Roche provides the Company, and the Company provides Roche, with a perpetual irrevocable, fully paid up, exclusive (even as to party granting the license), sublicensable (including in multiple tiers) license to the patents and know-how that are allocated to a party under a Mutual Target Termination Agreement. As the research activities with Roche have progressed and evolved over time, there are now two targets on which the parties continue to collaborate, with Roche maintaining its option rights to license and commercialize products directed to those two targets. In December 2023, the Company signed a second amendment to the Roche Agreement, the effect of which was to update the terms of the agreement as it pertains to the two targets on which the parties continue to collaborate. Under the second amendment to the Roche Agreement, Roche retains its option rights to license and commercialize products directed to those targets but the timing of its option rights are adjusted to begin upon Roche's receipt of the dose range finding data package. There was no material impact to the accounting in 2023 as a result of the second amendment to the Roche Agreement.</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Roche Agreement, as amended, the Company receives annual research plan payments of $1.0 million for each active research plan. For the two targets that remain under collaboration among the parties, Roche is required to pay the Company fees of $2.0 million upon the progression of targets to the lead series identification achievement phase. In the event Roche exercises its option rights as to one of these targets, Roche is required to pay the Company an option exercise fee of $8.0 million.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Roche Agreement, as amended, for each target option exercised by Roche, the Company is eligible to receive milestone payments up to $273.0 million upon the achievement of certain development milestones with respect to corresponding products, subject to certain reductions and exclusions based on intellectual property coverage. Roche is also required to pay the Company up to $150.0 million per target in one-time sales-based milestone payments upon the achievement of specified levels of net sales of a product directed to such target. Finally, Roche is required to pay the Company tiered royalties ranging from the mid-single digits to mid-teen percentages on net sales of products sold by Roche pursuant to its exercise of its option rights, subject to certain reductions. For sales of products for which the Company exercises its co-development right, the applicable royalty rates will be increased by a low-single digit percentage.</w:t>
      </w:r>
    </w:p>
    <w:p>
      <w:pPr>
        <w:spacing w:after="0" w:line="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collaboration is managed by a joint research committee, or JRC. The Company has control over the JRC prior to Roche’s exercise of its option rights as to a particular target, with Roche assuming control of the JRC thereafter, Roche may terminate the Roche Agreement on a target-by-target or product-by-product basis under several scenarios, upon at least 90 days’ prior written notice.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Roche Agreement accounting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commencement, the Company identified twelve performance obligations within the Roche Agreement, represented by the six potential research and development targets then included in the collaboration and the option rights held by Roche for each of those six targets. A non-exclusive royalty-free license to use the Company’s intellectual property to conduct research and development activities, as well as participation on the JRC, were identified as promised services. However, the Company determined that the research and development license and research and development services were not distinct from one another, and participation on the JRC was determined to be quantitatively and qualitatively immaterial.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transaction price of the Roche Agreement is allocated to the performance obligations based on their relative standalone selling price. The allocated transaction price is recognized as revenue from collaboration agreements in one of two ways:</w:t>
      </w:r>
    </w:p>
    <w:p>
      <w:pPr>
        <w:spacing w:after="0" w:line="39" w:lineRule="exact"/>
        <w:rPr>
          <w:sz w:val="20"/>
          <w:szCs w:val="20"/>
          <w:color w:val="auto"/>
        </w:rPr>
      </w:pPr>
    </w:p>
    <w:p>
      <w:pPr>
        <w:jc w:val="both"/>
        <w:ind w:left="640" w:hanging="317"/>
        <w:spacing w:after="0" w:line="270" w:lineRule="auto"/>
        <w:tabs>
          <w:tab w:leader="none" w:pos="63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4"/>
          <w:szCs w:val="14"/>
          <w:color w:val="auto"/>
        </w:rPr>
        <w:t>related to said research and development target. The transfer of control occurs over this period and, in management’s judgment, is the best measure of progress towards satisfying the performance obligation.</w:t>
      </w:r>
    </w:p>
    <w:p>
      <w:pPr>
        <w:spacing w:after="0" w:line="39" w:lineRule="exact"/>
        <w:rPr>
          <w:sz w:val="20"/>
          <w:szCs w:val="20"/>
          <w:color w:val="auto"/>
        </w:rPr>
      </w:pPr>
    </w:p>
    <w:p>
      <w:pPr>
        <w:ind w:left="640" w:hanging="317"/>
        <w:spacing w:after="0" w:line="287" w:lineRule="auto"/>
        <w:tabs>
          <w:tab w:leader="none" w:pos="63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rights: The transaction price allocated to the options rights, which are considered material rights, is recognized in the period that Roche elects to exercise or elects to not exercise its option right to license and commercialize the underlying research and development target.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allocation of the total transaction price to the identified performance obligations under the arrangement, and the amount of the transaction price unsatisfied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240" w:type="dxa"/>
            <w:vAlign w:val="bottom"/>
          </w:tcPr>
          <w:p>
            <w:pPr>
              <w:spacing w:after="0"/>
              <w:rPr>
                <w:sz w:val="14"/>
                <w:szCs w:val="14"/>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r>
      <w:tr>
        <w:trPr>
          <w:trHeight w:val="180"/>
        </w:trPr>
        <w:tc>
          <w:tcPr>
            <w:tcW w:w="8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5"/>
                <w:szCs w:val="15"/>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2"/>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240" w:type="dxa"/>
            <w:vAlign w:val="bottom"/>
          </w:tcPr>
          <w:p>
            <w:pPr>
              <w:spacing w:after="0"/>
              <w:rPr>
                <w:sz w:val="16"/>
                <w:szCs w:val="16"/>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Unsatisfied</w:t>
            </w:r>
          </w:p>
        </w:tc>
      </w:tr>
      <w:tr>
        <w:trPr>
          <w:trHeight w:val="187"/>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obligations:</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19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 targets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61,149</w:t>
            </w:r>
          </w:p>
        </w:tc>
        <w:tc>
          <w:tcPr>
            <w:tcW w:w="8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17,394</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Option rights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67,906</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19,064</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Biogen Collaboration Research and License Agreement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December 2018, the Company entered into a collaboration research and license agreement, or the Biogen Agreement, with Biogen. In February 2020, the Company and Biogen amended the Biogen Agreement to provide further clarity around Biogen’s ownership of target binding moieties (which are portions of molecules), and any related intellectual property that are directed at or bind to collaboration targets. This amendment further provided that Biogen licenses to the Company rights to use these Biogen target binding moieties and any related intellectual property as needed in order to conduct the research and development activities contemplated under the Biogen Agreement. Pursuant to the terms of the Biogen Agreement, the Company and Biogen agreed to collaborate on research activities to develop novel treatments for neurological conditions such as Alzheimer's disease and Parkinson's disease through medicines that rely on target protein degradation, or TPD, as their mode of action, all of which are created using the Company’s degrader technology. Under the terms of the Biogen Agreement, the Company was engaged to develop TPD therapeutics that utilize degrader technology for up to five target proteins over a period of 54 months, ending in June 2023. On a target-by-target basis, after successful completion of a defined target evaluation period, Biogen assumes full rights and responsibility for continued development of each target.</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exchange for the non-exclusive research license from Biogen, as well as a $45.0 million nonrefundable upfront payment, the Company has granted a license to develop, commercialize, and manufacture products related to each of the targets (which is contingent on not cancelling the agreement), performs initial research services for drug discovery, has provided a non-exclusive research and commercial license to its intellectual property, and participates on the joint steering committee, or the Biogen JSC. The Company was also obligated to participate in early research activities for other potential targets or sandbox activities, at Biogen’s election up to a maximum amount; any work performed for these services is reimbursed by Biogen, and Biogen reimburses the Company for certain FTE costs. The Company’s obligations under the sandbox activities were completed as of August 31, 2021. For any target, following the achievement of development candidate criteria and prior to any IND-enabling study,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 All milestone and sales-based payments are made after the Company has met the defined criteria in the joint research plan for that target, at which time Biogen will have control of the products related to the targets for commercialization; the receipt of these payments is contingent on the further development of products directed to the targets to commercialization by Biogen, without any additional research and development efforts from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collaboration is managed by the Biogen JSC, which Biogen has control over, and Biogen may terminate the Biogen Agreement on a target-by-target or product-by-product basis under several scenarios, upon at least 90 days’ prior written notice.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Biogen Agreement accounting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revenue under the Biogen Agreement for research and development services as follows:</w:t>
      </w:r>
    </w:p>
    <w:p>
      <w:pPr>
        <w:spacing w:after="0" w:line="94" w:lineRule="exact"/>
        <w:rPr>
          <w:sz w:val="20"/>
          <w:szCs w:val="20"/>
          <w:color w:val="auto"/>
        </w:rPr>
      </w:pPr>
    </w:p>
    <w:p>
      <w:pPr>
        <w:jc w:val="both"/>
        <w:ind w:left="640" w:hanging="317"/>
        <w:spacing w:after="0" w:line="257" w:lineRule="auto"/>
        <w:tabs>
          <w:tab w:leader="none" w:pos="63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services: The Company identified one performance obligation at the outset of the Biogen Agreement, representing a combined performance obligation consisting of (1) the licenses, (2) the research activities for the target evaluation phase for all five targets and (3) the joint research plan phase for each target. The Company determined that the licenses and research activities were not distinct from one another, as the licenses have limited value without the performance of the research activities by the Company. Participation on the Biogen JSC to oversee the research activities and the technology transfer associated with the Biogen License Agreement were determined to be quantitatively and qualitatively immaterial and therefore are excluded from performance obligations. The Company recognizes the transaction price allocated to this performance obligation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total transaction price of $55.0 million is allocated to the research and development services performance obligation and $0.8 million of the allocated transaction price remains unsatisfied.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Calico Collaboration and License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March 2017, the Company entered into a collaboration and license agreement, or the Calico Agreement, with Calico whereby the Company and Calico agreed to collaborate to develop and commercialize small molecule protein degraders for diseases of aging, including cancer, for a five-year period ending in March 2022. In August 2021, the Company provided Calico with an option to extend the research term with respect to a certain program for up to a one-year period ending in March 2023. In September 2021, Calico exercised the option resulting in a $1.0 million extension payment to the Company. In addition, Calico will continue to reimburse the Company for a number of FTEs, depending on the stage of the research, at specified market rates. As of March 13, 2023, the research term of the Calico Agreement has expired, and the Company's research activities associated with the agreement are substantially complete.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Calico Agreement, Calico paid an upfront amount of $5.0 million and certain annual payments totaling $5.0 million through June 30, 2020 and pays target initiation fees and reimburses the Company for a number of FTEs, depending on the stage of the research, at specified market rates. For each target, the Company is eligible to receive up to $132.0 million in potential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 All milestone and sales-based payments are made after the Company has met the defined criteria in the joint research plan for that target, at which time Calico will have control of the products related to targets for commercialization; the receipt of these payments by the Company is contingent on the further development of the targets to commercialized products by Calico, without any additional research and development efforts required by the Company.</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total transaction price of $13.0 million was allocated to the research and development services performance obligation and the transaction price has been fully allocated and satisfied.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due to the Company that have not yet been received are recorded as accounts receivable on the Company’s condensed consolidated balance sheet.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revenue recognized from collaboration agreements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5"/>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collaboration agreements was as follows (in thousands):</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303"/>
        </w:trPr>
        <w:tc>
          <w:tcPr>
            <w:tcW w:w="78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18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collaboration agreements: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6"/>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100" w:type="dxa"/>
            <w:vAlign w:val="bottom"/>
          </w:tcPr>
          <w:p>
            <w:pPr>
              <w:spacing w:after="0"/>
              <w:rPr>
                <w:sz w:val="17"/>
                <w:szCs w:val="17"/>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19,214</w:t>
            </w:r>
          </w:p>
        </w:tc>
      </w:tr>
      <w:tr>
        <w:trPr>
          <w:trHeight w:val="196"/>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Calico Agreement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6,943</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Betta Agreement</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from collaboration agreements</w:t>
            </w: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31,096</w:t>
            </w:r>
          </w:p>
        </w:tc>
      </w:tr>
      <w:tr>
        <w:trPr>
          <w:trHeight w:val="20"/>
        </w:trPr>
        <w:tc>
          <w:tcPr>
            <w:tcW w:w="7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information related to the collaboration and license agreements consisted of the following in the Company’s consolidated balance sheet as of December 31, 2023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80" w:type="dxa"/>
            <w:vAlign w:val="bottom"/>
          </w:tcPr>
          <w:p>
            <w:pPr>
              <w:spacing w:after="0"/>
              <w:rPr>
                <w:sz w:val="14"/>
                <w:szCs w:val="14"/>
                <w:color w:val="auto"/>
              </w:rPr>
            </w:pPr>
          </w:p>
        </w:tc>
        <w:tc>
          <w:tcPr>
            <w:tcW w:w="12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Accounts</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Revenue,</w:t>
            </w:r>
          </w:p>
        </w:tc>
        <w:tc>
          <w:tcPr>
            <w:tcW w:w="280" w:type="dxa"/>
            <w:vAlign w:val="bottom"/>
          </w:tcPr>
          <w:p>
            <w:pPr>
              <w:spacing w:after="0"/>
              <w:rPr>
                <w:sz w:val="14"/>
                <w:szCs w:val="14"/>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86"/>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280" w:type="dxa"/>
            <w:vAlign w:val="bottom"/>
          </w:tcPr>
          <w:p>
            <w:pPr>
              <w:spacing w:after="0"/>
              <w:rPr>
                <w:sz w:val="16"/>
                <w:szCs w:val="16"/>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14,481</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Betta Agreement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Merck Agreement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21,814</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37,285</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information related to the collaboration and license agreements consisted of the following in the Company’s consolidated balance sheet as of December 31, 2022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Revenue,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Roche Agreement</w:t>
            </w: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7"/>
                <w:szCs w:val="17"/>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3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16,895</w:t>
            </w:r>
          </w:p>
        </w:tc>
        <w:tc>
          <w:tcPr>
            <w:tcW w:w="3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21,544</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Biogen Agreement</w:t>
            </w: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11,427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11,427</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Calico Agreement</w:t>
            </w: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16,618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16,895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33,513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financial information related to the collaboration and license agreements are (in thousands):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 that was included in the contract liability at the beginning of the period</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20,185</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recognized from performance obligations fully or partially satisfied in previous periods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aggregate amount of the transaction price allocated to performance obligations under the Roche Agreement, Betta Agreements, Merck Agreement, and the Biogen Agreement that are partially unsatisfied was $41.9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Long-term debt and warrant – related party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 related party consisted of the following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9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9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9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1"/>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related party, net of unamortized debt issuance costs and debt discount of $1,018 at December 31, 2022</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w:t>
            </w:r>
          </w:p>
        </w:tc>
      </w:tr>
      <w:tr>
        <w:trPr>
          <w:trHeight w:val="180"/>
        </w:trPr>
        <w:tc>
          <w:tcPr>
            <w:tcW w:w="9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Less: current portion</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w:t>
            </w:r>
          </w:p>
        </w:tc>
      </w:tr>
      <w:tr>
        <w:trPr>
          <w:trHeight w:val="196"/>
        </w:trPr>
        <w:tc>
          <w:tcPr>
            <w:tcW w:w="9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 — related party, net of current and discount</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5, 2020, contemporaneously with the completion of its Series B Financing, the Company entered into a Credit Agreement, or the Credit Agreement, with Perceptive Credit Holdings III, LP, an affiliate of Perceptive Advisors LLC, or Perceptive, that provided for an aggregate principal borrowing amount of up to $20.0 million, available in two tranches of $12.5 million and $7.5 million. Perceptive was considered a related party to the Company based on its ownership of the Company’s common stock at inception of the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2020, the Company drew down on the first tranche of $12.5 million, or the Term Loan. The Company elected not to draw down the second tranche, which expired on June 30, 2021.</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17, 2023, the Company entered into an amendment to the Credit Agreement pursuant to which the Company and its lender agreed to replace the LIBOR benchmark with SOFR, which is regulated by the Federal Reserve Bank of New York. The Company amended its Credit Agreement due to the Financial Conduct Authority's planned phase-out of LIBOR on June 30, 2023. The use of the SOFR rate became effective as of July 1, 2023.</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July 2023, the Company's obligation to pay a prepayment fee was extinguished based on the terms of the Credit Agreement. On July 26, 2023, the Company elected to repay the remaining outstanding principal balance on the Term Loan. In connection with the repayment of the outstanding balance on the Term Loan, the liens on substantially all of the Company's assets were released. The Company incurred a $0.6 million loss on the extinguishment of this debt for the year ended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for the years ended December 31, 2023 and 2022, was $1.0 million and $1.5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Stockholders’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October 2020, the Company authorized preferred stock issuable of 10,000,000 shares and increased its authorized common stock issuable to 150,000,000 shares, both with a $0.0001 par value per share.</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holders of common stock are entitled to one vote for each share held at all meetings of stockholders and written actions in lieu of meetings provided. Subject to full payment of all preferential dividends to which the holders of preferred stock, if any, are entitled, the holders of common stock shall be entitled to receive dividends out of funds legally available. In the event of a liquidation, dissolution, or winding up of the Company, after payment or provision for payment of all debts and liabilities of the Company and all preferential amounts to which the holders of preferred stock, if any, are entitled with respect to the distribution of assets in liquidation, the holders of common stock shall be entitled to share ratably in the remaining assets of the Company available for distribution. The holders of common stock have no preemptive or other subscription rights, and there are no redemption or sinking fund provisions with respect to such stock.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Equity Program</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November 2021, the Company filed an automatically effective registration statement on Form S-3, or the Registration Statement, with the SEC that registers the offering, issuance and sale of an unspecified amount of common stock, preferred stock, debt securities, warrants and/or units of any combination thereof. Simultaneously, the Company entered into an equity distribution agreement with Cowen and Company, LLC, as sales agent, to provide for the issuance and sale by the Company of up to $200.0 million of common stock from time to time in “at-the-market” offerings under the Registration Statement and related prospectus filed with the Registration Statement, or the ATM Program. For the year ended December 31, 2023, 11,186,142 shares for net proceeds of $57.7 million, were settled under the ATM Program. In January 2024, 2,500,601 shares were settled for net proceeds of $14.1 million. Based on the December 2023 and January 2024 activity described above, the Company has sold a total of 13,686,743 shares of its common stock at a average price of $5.42 per share for proceeds, net of commissions and fees, of $71.8 million. No sales were made under the ATM program for the year ended December 31, 2022.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2015 Incentive Stock Option and Grant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28, 2015, the Company’s board of directors adopted the 2015 Incentive Stock Option and Grant Plan, or the 2015 Plan, and reserved 2,525,327 shares of common stock for issuance under this plan.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2015 Plan authorized the board of directors or a committee of the board to grant incentive stock options, nonqualified stock options and restricted stock awards to eligible employees, outside directors and consultants of the Company. Options granted under the 2015 Plan generally vest over a period of five or eight years with a cliff vesting at one year and quarterly vesting thereafter and options that lapse or are forfeited are available to be granted again. The contractual life of all options granted under the 2015 Plan is ten years from the date of grant.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Stock Option and Incentive Plan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8, 2020, the Company’s board of directors adopted the C4 Therapeutics, Inc. 2020 Stock Option and Incentive Plan, or the 2020 Plan, which became effective on September 30, 2020. Upon adoption there were 6,567,144 shares of common stock reserved for issuance under the 2020 Plan. The Company’s Board of Directors, the Compensation Committee of the Board of Directors, and, in certain contexts, the Chief Executive Officer of the Company are authorized to grant a broad range of stock-based awards under the 2020 Plan, including stock options, stock appreciation rights, or SARs, restricted stock awards, or RSAs, restricted stock units, or RSUs, performance awards and stock bonus awards to the Company’s officers, employees, directors and other key persons, including consultants.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Following the effectiveness of the 2020 Plan, the Company ceased making grants under the 2015 Plan. However, the 2015 Plan continues to govern the terms and conditions of the outstanding awards granted under it. Shares of common stock subject to awards granted under the 2015 Plan that cease to be subject to such awards by forfeiture or otherwise after the termination of the 2015 Plan will be available for issuance under the 2020 Plan. As of December 31, 2023, there were 3,358,336 shares available for future grant under the 2020 Plan.</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2020 Plan provides for an annual increase, to be added on the first day of each fiscal year, beginning with January 1, 2021 and continuing until the expiration of the 2020 Plan, equal to the lesser of (i) 5% of the outstanding shares of common stock on the immediately preceding December 31st, or (ii) lesser number of shares determined by the administrator of the 2020 Plan, which is the Company’s Board of Directors or the Compensation Committee of the Board of Directors. On January 1, 2024, the annual increase for the 2020 Plan resulted in an additional 3,023,359 shares authorized for issuance being added to the 2020 Plan.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was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4"/>
        </w:trPr>
        <w:tc>
          <w:tcPr>
            <w:tcW w:w="3920" w:type="dxa"/>
            <w:vAlign w:val="bottom"/>
            <w:tcBorders>
              <w:bottom w:val="single" w:sz="8" w:color="CCEEFF"/>
            </w:tcBorders>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00" w:type="dxa"/>
            <w:vAlign w:val="bottom"/>
          </w:tcPr>
          <w:p>
            <w:pPr>
              <w:spacing w:after="0"/>
              <w:rPr>
                <w:sz w:val="13"/>
                <w:szCs w:val="13"/>
                <w:color w:val="auto"/>
              </w:rPr>
            </w:pPr>
          </w:p>
        </w:tc>
      </w:tr>
      <w:tr>
        <w:trPr>
          <w:trHeight w:val="16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6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11,826</w:t>
            </w:r>
          </w:p>
        </w:tc>
        <w:tc>
          <w:tcPr>
            <w:tcW w:w="10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13,108</w:t>
            </w:r>
          </w:p>
        </w:tc>
        <w:tc>
          <w:tcPr>
            <w:tcW w:w="100" w:type="dxa"/>
            <w:vAlign w:val="bottom"/>
          </w:tcPr>
          <w:p>
            <w:pPr>
              <w:spacing w:after="0"/>
              <w:rPr>
                <w:sz w:val="15"/>
                <w:szCs w:val="15"/>
                <w:color w:val="auto"/>
              </w:rPr>
            </w:pPr>
          </w:p>
        </w:tc>
      </w:tr>
      <w:tr>
        <w:trPr>
          <w:trHeight w:val="18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16,908</w:t>
            </w:r>
          </w:p>
        </w:tc>
        <w:tc>
          <w:tcPr>
            <w:tcW w:w="100" w:type="dxa"/>
            <w:vAlign w:val="bottom"/>
          </w:tcPr>
          <w:p>
            <w:pPr>
              <w:spacing w:after="0"/>
              <w:rPr>
                <w:sz w:val="15"/>
                <w:szCs w:val="15"/>
                <w:color w:val="auto"/>
              </w:rPr>
            </w:pPr>
          </w:p>
        </w:tc>
      </w:tr>
      <w:tr>
        <w:trPr>
          <w:trHeight w:val="17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4200" w:type="dxa"/>
            <w:vAlign w:val="bottom"/>
          </w:tcPr>
          <w:p>
            <w:pPr>
              <w:spacing w:after="0"/>
              <w:rPr>
                <w:sz w:val="14"/>
                <w:szCs w:val="14"/>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30,016</w:t>
            </w:r>
          </w:p>
        </w:tc>
        <w:tc>
          <w:tcPr>
            <w:tcW w:w="10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3"/>
        </w:trPr>
        <w:tc>
          <w:tcPr>
            <w:tcW w:w="3920" w:type="dxa"/>
            <w:vAlign w:val="bottom"/>
          </w:tcPr>
          <w:p>
            <w:pPr>
              <w:spacing w:after="0"/>
              <w:rPr>
                <w:sz w:val="24"/>
                <w:szCs w:val="24"/>
                <w:color w:val="auto"/>
              </w:rPr>
            </w:pPr>
          </w:p>
        </w:tc>
        <w:tc>
          <w:tcPr>
            <w:tcW w:w="5060" w:type="dxa"/>
            <w:vAlign w:val="bottom"/>
            <w:gridSpan w:val="2"/>
          </w:tcPr>
          <w:p>
            <w:pPr>
              <w:jc w:val="right"/>
              <w:ind w:right="3136"/>
              <w:spacing w:after="0"/>
              <w:rPr>
                <w:sz w:val="20"/>
                <w:szCs w:val="20"/>
                <w:color w:val="auto"/>
              </w:rPr>
            </w:pPr>
            <w:r>
              <w:rPr>
                <w:rFonts w:ascii="Times New Roman" w:cs="Times New Roman" w:eastAsia="Times New Roman" w:hAnsi="Times New Roman"/>
                <w:sz w:val="14"/>
                <w:szCs w:val="14"/>
                <w:color w:val="auto"/>
              </w:rPr>
              <w:t>F-26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 under the Company’s equity awards plans for the year ended December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1220" w:type="dxa"/>
            <w:vAlign w:val="bottom"/>
          </w:tcPr>
          <w:p>
            <w:pPr>
              <w:jc w:val="center"/>
              <w:ind w:left="22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20" w:type="dxa"/>
            <w:vAlign w:val="bottom"/>
          </w:tcPr>
          <w:p>
            <w:pPr>
              <w:jc w:val="center"/>
              <w:ind w:left="22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6,993,052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7.78</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8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4,180,270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(1,685,217)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9,475,009</w:t>
            </w:r>
          </w:p>
        </w:tc>
        <w:tc>
          <w:tcPr>
            <w:tcW w:w="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7.61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Exercisable as of December 31, 2023</w:t>
            </w:r>
          </w:p>
        </w:tc>
        <w:tc>
          <w:tcPr>
            <w:tcW w:w="1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3,838,707</w:t>
            </w:r>
          </w:p>
        </w:tc>
        <w:tc>
          <w:tcPr>
            <w:tcW w:w="260" w:type="dxa"/>
            <w:vAlign w:val="bottom"/>
            <w:gridSpan w:val="2"/>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20.54</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w w:val="97"/>
              </w:rPr>
              <w:t>6.68</w:t>
            </w:r>
          </w:p>
        </w:tc>
        <w:tc>
          <w:tcPr>
            <w:tcW w:w="80" w:type="dxa"/>
            <w:vAlign w:val="bottom"/>
          </w:tcPr>
          <w:p>
            <w:pPr>
              <w:spacing w:after="0"/>
              <w:rPr>
                <w:sz w:val="12"/>
                <w:szCs w:val="12"/>
                <w:color w:val="auto"/>
              </w:rPr>
            </w:pPr>
          </w:p>
        </w:tc>
        <w:tc>
          <w:tcPr>
            <w:tcW w:w="400" w:type="dxa"/>
            <w:vAlign w:val="bottom"/>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9,475,009</w:t>
            </w:r>
          </w:p>
        </w:tc>
        <w:tc>
          <w:tcPr>
            <w:tcW w:w="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7.61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Other information related to the option activity of the Company was as follows:</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options granted</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Intrinsic value of options exercised (in thousands)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unrecognized compensation cost related to outstanding options was $51.6 million, which is expected to be recognized over a weighted-average period of 2.1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assumptions used in the Black-Scholes option pricing model to determine the fair value of stock options granted to employees: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940" w:type="dxa"/>
            <w:vAlign w:val="bottom"/>
            <w:tcBorders>
              <w:bottom w:val="single" w:sz="8" w:color="auto"/>
            </w:tcBorders>
          </w:tcPr>
          <w:p>
            <w:pPr>
              <w:spacing w:after="0"/>
              <w:rPr>
                <w:sz w:val="13"/>
                <w:szCs w:val="13"/>
                <w:color w:val="auto"/>
              </w:rPr>
            </w:pPr>
          </w:p>
        </w:tc>
      </w:tr>
      <w:tr>
        <w:trPr>
          <w:trHeight w:val="154"/>
        </w:trPr>
        <w:tc>
          <w:tcPr>
            <w:tcW w:w="754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gridSpan w:val="2"/>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gridSpan w:val="2"/>
          </w:tcPr>
          <w:p>
            <w:pPr>
              <w:jc w:val="right"/>
              <w:ind w:right="729"/>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option life (years)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- 6.11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- 6.11</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- 4.73%</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- 4.22%</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- 86.15%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81.36%</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- 88.75%</w:t>
            </w:r>
          </w:p>
        </w:tc>
      </w:tr>
      <w:tr>
        <w:trPr>
          <w:trHeight w:val="184"/>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840" w:type="dxa"/>
            <w:vAlign w:val="bottom"/>
            <w:gridSpan w:val="2"/>
          </w:tcPr>
          <w:p>
            <w:pPr>
              <w:jc w:val="right"/>
              <w:ind w:right="673"/>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82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0.00%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January and February 2022, the Company’s Board of Directors authorized an issuance of 563,500 performance-based restricted stock units, or PSUs, to certain employees, including members of the Company’s leadership team under the 2020 Plan. Vesting of the PSUs are contingent upon the determination of achievement of certain discovery and clinical milestones, or as specified market conditions are met. Upon vesting, each PSU converts automatically into one share of the Company’s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under the Company’s equity plans with respect to PSUs for the year ended December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0" w:type="dxa"/>
            <w:vAlign w:val="bottom"/>
          </w:tcPr>
          <w:p>
            <w:pPr>
              <w:spacing w:after="0"/>
              <w:rPr>
                <w:sz w:val="1"/>
                <w:szCs w:val="1"/>
                <w:color w:val="auto"/>
              </w:rPr>
            </w:pPr>
          </w:p>
        </w:tc>
      </w:tr>
      <w:tr>
        <w:trPr>
          <w:trHeight w:val="115"/>
        </w:trPr>
        <w:tc>
          <w:tcPr>
            <w:tcW w:w="8220" w:type="dxa"/>
            <w:vAlign w:val="bottom"/>
          </w:tcPr>
          <w:p>
            <w:pPr>
              <w:spacing w:after="0"/>
              <w:rPr>
                <w:sz w:val="9"/>
                <w:szCs w:val="9"/>
                <w:color w:val="auto"/>
              </w:rPr>
            </w:pP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15"/>
              <w:spacing w:after="0" w:line="115"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0" w:type="dxa"/>
            <w:vAlign w:val="bottom"/>
          </w:tcPr>
          <w:p>
            <w:pPr>
              <w:spacing w:after="0"/>
              <w:rPr>
                <w:sz w:val="1"/>
                <w:szCs w:val="1"/>
                <w:color w:val="auto"/>
              </w:rPr>
            </w:pPr>
          </w:p>
        </w:tc>
      </w:tr>
      <w:tr>
        <w:trPr>
          <w:trHeight w:val="18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912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8"/>
                <w:szCs w:val="18"/>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(135,301)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(175,990)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0" w:type="dxa"/>
            <w:vAlign w:val="bottom"/>
          </w:tcPr>
          <w:p>
            <w:pPr>
              <w:spacing w:after="0"/>
              <w:rPr>
                <w:sz w:val="1"/>
                <w:szCs w:val="1"/>
                <w:color w:val="auto"/>
              </w:rPr>
            </w:pPr>
          </w:p>
        </w:tc>
      </w:tr>
      <w:tr>
        <w:trPr>
          <w:trHeight w:val="191"/>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Vested PSUs include 17,556 shares retained by the Company to cover statutory minimum withholding taxes.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right="520"/>
        <w:spacing w:after="0" w:line="379" w:lineRule="auto"/>
        <w:rPr>
          <w:sz w:val="20"/>
          <w:szCs w:val="20"/>
          <w:color w:val="auto"/>
        </w:rPr>
      </w:pPr>
      <w:r>
        <w:rPr>
          <w:rFonts w:ascii="Times New Roman" w:cs="Times New Roman" w:eastAsia="Times New Roman" w:hAnsi="Times New Roman"/>
          <w:sz w:val="14"/>
          <w:szCs w:val="14"/>
          <w:color w:val="auto"/>
        </w:rPr>
        <w:t xml:space="preserve">As of December 31, 2023, the unrecognized compensation cost related to outstanding PSUs was $3.1 million which is expected to be recognized over a weighted-average period of 1.2 years. </w:t>
      </w:r>
      <w:r>
        <w:rPr>
          <w:rFonts w:ascii="Times New Roman" w:cs="Times New Roman" w:eastAsia="Times New Roman" w:hAnsi="Times New Roman"/>
          <w:sz w:val="14"/>
          <w:szCs w:val="14"/>
          <w:b w:val="1"/>
          <w:bCs w:val="1"/>
          <w:i w:val="1"/>
          <w:iCs w:val="1"/>
          <w:color w:val="auto"/>
        </w:rPr>
        <w:t>Time-based restricted stock units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January and February 2023, the Company’s Board of Directors authorized an issuance of 824,600 time-based restricted stock units, or RSUs, to employees under the 2020 Plan. Vesting of the RSUs are contingent to time-based vesting conditions. These RSUs are valued on the grant date using the grant date market price of the underlying shares. Upon vesting, each RSU automatically converts into one share of the Company’s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under the Company’s equity plans with respect to RSUs for the year ended December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0" w:type="dxa"/>
            <w:vAlign w:val="bottom"/>
          </w:tcPr>
          <w:p>
            <w:pPr>
              <w:spacing w:after="0"/>
              <w:rPr>
                <w:sz w:val="1"/>
                <w:szCs w:val="1"/>
                <w:color w:val="auto"/>
              </w:rPr>
            </w:pPr>
          </w:p>
        </w:tc>
      </w:tr>
      <w:tr>
        <w:trPr>
          <w:trHeight w:val="115"/>
        </w:trPr>
        <w:tc>
          <w:tcPr>
            <w:tcW w:w="8220" w:type="dxa"/>
            <w:vAlign w:val="bottom"/>
          </w:tcPr>
          <w:p>
            <w:pPr>
              <w:spacing w:after="0"/>
              <w:rPr>
                <w:sz w:val="9"/>
                <w:szCs w:val="9"/>
                <w:color w:val="auto"/>
              </w:rPr>
            </w:pP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15"/>
              <w:spacing w:after="0" w:line="115"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9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80"/>
        </w:trPr>
        <w:tc>
          <w:tcPr>
            <w:tcW w:w="9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(74,390)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91"/>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20"/>
        <w:spacing w:after="0" w:line="379" w:lineRule="auto"/>
        <w:rPr>
          <w:sz w:val="20"/>
          <w:szCs w:val="20"/>
          <w:color w:val="auto"/>
        </w:rPr>
      </w:pPr>
      <w:r>
        <w:rPr>
          <w:rFonts w:ascii="Times New Roman" w:cs="Times New Roman" w:eastAsia="Times New Roman" w:hAnsi="Times New Roman"/>
          <w:sz w:val="14"/>
          <w:szCs w:val="14"/>
          <w:color w:val="auto"/>
        </w:rPr>
        <w:t xml:space="preserve">As of December 31, 2023, the unrecognized compensation cost related to outstanding RSUs was $3.5 million which is expected to be recognized over a weighted-average period of 3.2 years. </w:t>
      </w:r>
      <w:r>
        <w:rPr>
          <w:rFonts w:ascii="Times New Roman" w:cs="Times New Roman" w:eastAsia="Times New Roman" w:hAnsi="Times New Roman"/>
          <w:sz w:val="14"/>
          <w:szCs w:val="14"/>
          <w:b w:val="1"/>
          <w:bCs w:val="1"/>
          <w:i w:val="1"/>
          <w:iCs w:val="1"/>
          <w:color w:val="auto"/>
        </w:rPr>
        <w:t>Inducement grants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two separate dates in July 2023, the Company's Board of Directors approved the grant of non-qualified stock options to purchase an aggregate of 351,000 shares of the Company's common stock to two new employees. Options granted under these inducement grants vest over a period of four years with a cliff vesting at one year and quarterly vesting thereafter. As of December 31, 2023, none of these stock options have vested or been forfeited, and 351,000 options remain outstanding under these inducement awards.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Employee Stock Purchase Plan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September 2020, the Company’s Board of Directors adopted the C4 Therapeutics, Inc. 2020 Employee Stock Purchase Plan, or the 2020 ESPP. Eligible employees may authorize payroll deductions of up to 15% of their eligible compensation during an offering period. The Company may hold one or more offering periods each year during which employees will be able to purchase shares under the 2020 ESPP. The Company issued 133,784 shares during the year ended December 31, 2023.</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the Company had 1,673,129 shares available for future issuance under the 2020 ESPP. The 2020 ESPP provides for an annual increase to be added on the first day of each fiscal year, beginning with January 1, 2021 and continuing thereafter through January 1, 2030, equal to the lesser of (i) 1% of the outstanding shares of common stock on the immediately preceding December 31st, (ii) 656,714 shares, or (ii) lesser number of shares determined by the administrator of the 2020 ESPP. On January 1, 2024, the annual increase for the 2020 ESPP resulted in an additional 604,671 shares authorized for issuance being added to the 2020 ESPP.</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(benefit) expense consists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provision:</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federal provision</w:t>
            </w: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state provision</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Current foreign provision</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provision</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provision:</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federal provision</w:t>
            </w:r>
          </w:p>
        </w:tc>
        <w:tc>
          <w:tcPr>
            <w:tcW w:w="8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state provision</w:t>
            </w:r>
          </w:p>
        </w:tc>
        <w:tc>
          <w:tcPr>
            <w:tcW w:w="8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foreign provision</w:t>
            </w:r>
          </w:p>
        </w:tc>
        <w:tc>
          <w:tcPr>
            <w:tcW w:w="8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tax provision</w:t>
            </w:r>
          </w:p>
        </w:tc>
        <w:tc>
          <w:tcPr>
            <w:tcW w:w="8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rate reconciliation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expected income tax (benefit) expense computed at the statutory federal rate to income taxes as reflected in the consolidated financial statements was as follows:</w:t>
      </w:r>
    </w:p>
    <w:p>
      <w:pPr>
        <w:spacing w:after="0" w:line="12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computed at federal statutory tax rate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tax—net of federal</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credits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credits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191"/>
        </w:trPr>
        <w:tc>
          <w:tcPr>
            <w:tcW w:w="8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Company's effective tax rate as of December 31, 2023, was impacted by the Chinese withholding tax obligation related to the upfront and milestone payments received in connection with the Betta License agreement (see Note 8). This resulted in a tax provision of $1.2 million and effective tax rate of (1.0)% for the ended December 31, 2023.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components of deferred taxes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(a) temporary differences between the carrying amounts of assets and liabilities for financial reporting purposes and the amounts used for income tax purposes and (b) operating losses and tax</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carryforwards. Significant components of the Company’s deferred tax assets and deferred tax liabilities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operating losses</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61,036</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54,300</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research and experimental expenditures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27,568</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21,443</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R&amp;D and investment tax credits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11,519</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8,457</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tax credit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start-up costs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gain/loss</w:t>
            </w:r>
          </w:p>
        </w:tc>
        <w:tc>
          <w:tcPr>
            <w:tcW w:w="9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71"/>
        </w:trPr>
        <w:tc>
          <w:tcPr>
            <w:tcW w:w="8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131,726</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Right-of-use asset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(19,868)</w:t>
            </w:r>
          </w:p>
        </w:tc>
      </w:tr>
      <w:tr>
        <w:trPr>
          <w:trHeight w:val="18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assets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(145,589)</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(110,120)</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taxes</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the realizability of the deferred tax assets. As of December 31, 2023 and 2022,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2023 and 2022. The valuation allowance for deferred tax assets as of December 31, 2023 and 2022 was $145.6 million and $110.1 million, respectively. The net valuation allowance increased $35.5 million and $34.7 million during the years ended December 31, 2023 and 2022, respectively. The change during the year ended December 31, 2023 was primarily due to the increase in net operating loss and tax credits carryforward, capitalization of research and experimental expenditures, and a decrease in deferred revenue recognized during the year.</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of December 31, 2023 and 2022, the Company had $214.9 million and $171.6 million gross United States federal net operating loss, or NOL, carryforwards, respectively, which may be available to offset future taxable income. The Tax Cuts and Jobs Act, or TCJA, which was enacted in December 2017, will generally allow federal losses generated after 2017 to be carried over indefinitely, but will generally limit the NOL deduction to the lesser of the NOL carryover or 80% of a corporation’s taxable income (subject to Section 382 of the Internal Revenue Code of 1986, as amended, or IRC). In addition, there will be no carryback for losses generated after 2017. Losses generated prior to 2018 will generally be deductible to the extent of the lesser of a corporation’s NOL carryover or 100% of a corporation’s taxable income and be available for twenty years from the period the loss was generated. For U.S. federal income tax purposes, the Company has federal NOLs generated after 2017 of $214.9 million, which do not expire. The Company does not have any available NOLs generated prior to 2019 as they were fully utilized in 2019. The Coronavirus Aid, Relief and Economic Security Act, or CARES Act, temporarily allows the Company to carryback net operating losses arising in 2018, 2019 and 2020 to the five prior tax years. In addition, net operating losses generated in these years could fully offset prior year taxable income without the 80% of the taxable income limitation under the TCJA.</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Company has total gross United States state net operating loss carryforwards of $315.3 million and $273.6 million, respectively, which may be available to offset future taxable income that expire at various dates through 2043.</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and 2022, the Company has United States federal research credit carryforwards of $12.6 million and $9.1 million, respectively, which are available to offset future federal income tax liabilities, which expire at various dates through 2043. At December 31, 2023 and 2022, the Company has United States state research credit carryforwards of $5.2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and $2.9 million, respectively, which are available to reduce future tax liabilities which expire at various dates through 2038.</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In 2022, the Company completed a study of ownership changes from inception through December 31, 2020, to assess whether an ownership change has occurred or whether there have been multiple ownership changes since its formation. The result of this study indicated that the Company experienced ownership changes as defined by Section 382 of the Internal Revenue Code, however there are no net operating loss carryforwards that will be limited and expire unused as a result of such ownership changes. Given the continued loss position, the Company has not currently undertaken an analysis for IRC Section 382 purposes of any activities post December 31, 2020. A full valuation allowance has been provided against the Deferred Tax Assets related to the Company’s net operating loss and tax credit carryforwards and, if an adjustment is required, this adjustment would be offset by an adjustment to the valuation allowance.</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will recognize interest and/or penalties related to unrecorded tax benefits in income tax expense as they arise. As of December 31, 2023 and 2022, the Company had no accrued interest or penalties related to unrecorded tax benefits.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in the United States, California, Florida, and Massachusetts. The federal and state income tax returns are generally subject to tax examinations for the tax years ended December 31, 2020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Net loss per share</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periods in which the Company reports a net loss,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The Company excluded the following potential common shares presented based on amounts outstanding at period end, from the computation of diluted net loss per share for the periods indicated because including them would have had an anti-dilutive effect:</w:t>
      </w:r>
    </w:p>
    <w:p>
      <w:pPr>
        <w:spacing w:after="0" w:line="82"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9,475,009</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6,993,052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loss per share is computed by dividing net loss by the weighted-average common shares outstanding (in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0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6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—basic and 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(128,175)</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Weighted-average common stock outstanding—basic and diluted</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49,640,505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48,861,665</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Defined contribution plan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has a 401(k) retirement plan, the 401(k) Plan, whereby all employees may contribute up to 90% of their eligible compensation, up to the maximum allowable amount set by the Internal Revenue Service. The Company matches 100% of contributions to the 401(k) Plan up to 3%, and matches an additional 50% of contributions up to 5%, for a total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C4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potential match of 4% for each employee. During each of the years ended December 31, 2023 and 2022, the Company contributed approximately $1.1 million and $1.0 million, respectively, to the 401(k) Plan.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Commitments and contingencies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Subsequent event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9, 2024, the Company implemented a plan to reduce operating costs and better align its workforce with the needs of its business. Under the cost reduction plan, the Company reduced its workforce by approximately 30%. The Company estimates that it will incur one-time restructuring charges of approximately $2.7 million including employee severance, benefits and related termination costs, the majority of which the Company expects to pay in the first quarter of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1280"/>
          </w:cols>
          <w:pgMar w:left="300" w:top="123" w:right="319"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28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75"/>
        </w:trPr>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C4T Securities Corporation</w:t>
            </w:r>
          </w:p>
        </w:tc>
        <w:tc>
          <w:tcPr>
            <w:tcW w:w="200" w:type="dxa"/>
            <w:vAlign w:val="bottom"/>
          </w:tcPr>
          <w:p>
            <w:pPr>
              <w:spacing w:after="0"/>
              <w:rPr>
                <w:sz w:val="15"/>
                <w:szCs w:val="15"/>
                <w:color w:val="auto"/>
              </w:rPr>
            </w:pPr>
          </w:p>
        </w:tc>
        <w:tc>
          <w:tcPr>
            <w:tcW w:w="7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ectPr>
          <w:pgSz w:w="11900" w:h="16838" w:orient="portrait"/>
          <w:cols w:equalWidth="0" w:num="1">
            <w:col w:w="11280"/>
          </w:cols>
          <w:pgMar w:left="300" w:top="844"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333-260972) on Form S-3 and (Nos. 333-249286, 333-254145, 333-262949, and 333-269944) on Form S-8 of our report dated February 22, 2024, with respect to the consolidated financial statements of C4 Therapeutics,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ectPr>
          <w:pgSz w:w="11900" w:h="16838" w:orient="portrait"/>
          <w:cols w:equalWidth="0" w:num="1">
            <w:col w:w="11280"/>
          </w:cols>
          <w:pgMar w:left="300" w:top="844" w:right="3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J. Hirsch, certify that:</w:t>
      </w:r>
    </w:p>
    <w:p>
      <w:pPr>
        <w:spacing w:after="0" w:line="94" w:lineRule="exact"/>
        <w:rPr>
          <w:sz w:val="20"/>
          <w:szCs w:val="20"/>
          <w:color w:val="auto"/>
        </w:rPr>
      </w:pPr>
    </w:p>
    <w:p>
      <w:pPr>
        <w:ind w:left="900" w:hanging="895"/>
        <w:spacing w:after="0"/>
        <w:tabs>
          <w:tab w:leader="none" w:pos="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C-4 Therapeutics. Inc.;</w:t>
      </w:r>
    </w:p>
    <w:p>
      <w:pPr>
        <w:spacing w:after="0" w:line="93" w:lineRule="exact"/>
        <w:rPr>
          <w:rFonts w:ascii="Times New Roman" w:cs="Times New Roman" w:eastAsia="Times New Roman" w:hAnsi="Times New Roman"/>
          <w:sz w:val="14"/>
          <w:szCs w:val="14"/>
          <w:color w:val="auto"/>
        </w:rPr>
      </w:pPr>
    </w:p>
    <w:p>
      <w:pPr>
        <w:ind w:left="900" w:right="340" w:hanging="895"/>
        <w:spacing w:after="0" w:line="287" w:lineRule="auto"/>
        <w:tabs>
          <w:tab w:leader="none" w:pos="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900" w:right="440" w:hanging="895"/>
        <w:spacing w:after="0" w:line="287" w:lineRule="auto"/>
        <w:tabs>
          <w:tab w:leader="none" w:pos="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900" w:hanging="895"/>
        <w:spacing w:after="0"/>
        <w:tabs>
          <w:tab w:leader="none" w:pos="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9" w:lineRule="exact"/>
        <w:rPr>
          <w:rFonts w:ascii="Times New Roman" w:cs="Times New Roman" w:eastAsia="Times New Roman" w:hAnsi="Times New Roman"/>
          <w:sz w:val="14"/>
          <w:szCs w:val="14"/>
          <w:color w:val="auto"/>
        </w:rPr>
      </w:pPr>
    </w:p>
    <w:p>
      <w:pPr>
        <w:ind w:left="1720" w:right="40" w:hanging="824"/>
        <w:spacing w:after="0" w:line="270" w:lineRule="auto"/>
        <w:tabs>
          <w:tab w:leader="none" w:pos="1718"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720" w:right="420" w:hanging="824"/>
        <w:spacing w:after="0" w:line="270" w:lineRule="auto"/>
        <w:tabs>
          <w:tab w:leader="none" w:pos="1715"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720" w:right="200" w:hanging="824"/>
        <w:spacing w:after="0" w:line="287" w:lineRule="auto"/>
        <w:tabs>
          <w:tab w:leader="none" w:pos="1718"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720" w:right="200" w:hanging="824"/>
        <w:spacing w:after="0" w:line="270" w:lineRule="auto"/>
        <w:tabs>
          <w:tab w:leader="none" w:pos="1715"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900" w:right="20" w:hanging="895"/>
        <w:spacing w:after="0" w:line="287" w:lineRule="auto"/>
        <w:tabs>
          <w:tab w:leader="none" w:pos="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720" w:right="20" w:hanging="824"/>
        <w:spacing w:after="0" w:line="287" w:lineRule="auto"/>
        <w:tabs>
          <w:tab w:leader="none" w:pos="1718"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720" w:hanging="824"/>
        <w:spacing w:after="0"/>
        <w:tabs>
          <w:tab w:leader="none" w:pos="172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20"/>
        <w:spacing w:after="0"/>
        <w:tabs>
          <w:tab w:leader="none" w:pos="5180" w:val="left"/>
          <w:tab w:leader="none" w:pos="7620" w:val="left"/>
        </w:tabs>
        <w:rPr>
          <w:sz w:val="20"/>
          <w:szCs w:val="20"/>
          <w:color w:val="auto"/>
        </w:rPr>
      </w:pPr>
      <w:r>
        <w:rPr>
          <w:rFonts w:ascii="Times New Roman" w:cs="Times New Roman" w:eastAsia="Times New Roman" w:hAnsi="Times New Roman"/>
          <w:sz w:val="14"/>
          <w:szCs w:val="14"/>
          <w:color w:val="auto"/>
        </w:rPr>
        <w:t>Date: February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8803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8"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Andrew J. Hirsch</w:t>
      </w:r>
    </w:p>
    <w:p>
      <w:pPr>
        <w:spacing w:after="0" w:line="25"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844" w:right="3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Kendra R. Adams. White, certify that:</w:t>
      </w:r>
    </w:p>
    <w:p>
      <w:pPr>
        <w:spacing w:after="0" w:line="94" w:lineRule="exact"/>
        <w:rPr>
          <w:sz w:val="20"/>
          <w:szCs w:val="20"/>
          <w:color w:val="auto"/>
        </w:rPr>
      </w:pPr>
    </w:p>
    <w:p>
      <w:pPr>
        <w:ind w:left="900" w:hanging="895"/>
        <w:spacing w:after="0"/>
        <w:tabs>
          <w:tab w:leader="none" w:pos="9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C-4 Therapeutics. Inc.;</w:t>
      </w:r>
    </w:p>
    <w:p>
      <w:pPr>
        <w:spacing w:after="0" w:line="93" w:lineRule="exact"/>
        <w:rPr>
          <w:rFonts w:ascii="Times New Roman" w:cs="Times New Roman" w:eastAsia="Times New Roman" w:hAnsi="Times New Roman"/>
          <w:sz w:val="14"/>
          <w:szCs w:val="14"/>
          <w:color w:val="auto"/>
        </w:rPr>
      </w:pPr>
    </w:p>
    <w:p>
      <w:pPr>
        <w:ind w:left="900" w:right="340" w:hanging="895"/>
        <w:spacing w:after="0" w:line="287" w:lineRule="auto"/>
        <w:tabs>
          <w:tab w:leader="none" w:pos="9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900" w:right="440" w:hanging="895"/>
        <w:spacing w:after="0" w:line="287" w:lineRule="auto"/>
        <w:tabs>
          <w:tab w:leader="none" w:pos="9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900" w:hanging="895"/>
        <w:spacing w:after="0"/>
        <w:tabs>
          <w:tab w:leader="none" w:pos="9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9" w:lineRule="exact"/>
        <w:rPr>
          <w:rFonts w:ascii="Times New Roman" w:cs="Times New Roman" w:eastAsia="Times New Roman" w:hAnsi="Times New Roman"/>
          <w:sz w:val="14"/>
          <w:szCs w:val="14"/>
          <w:color w:val="auto"/>
        </w:rPr>
      </w:pPr>
    </w:p>
    <w:p>
      <w:pPr>
        <w:ind w:left="1720" w:right="40" w:hanging="824"/>
        <w:spacing w:after="0" w:line="270" w:lineRule="auto"/>
        <w:tabs>
          <w:tab w:leader="none" w:pos="171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720" w:right="420" w:hanging="824"/>
        <w:spacing w:after="0" w:line="270" w:lineRule="auto"/>
        <w:tabs>
          <w:tab w:leader="none" w:pos="1715"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720" w:right="200" w:hanging="824"/>
        <w:spacing w:after="0" w:line="287" w:lineRule="auto"/>
        <w:tabs>
          <w:tab w:leader="none" w:pos="171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720" w:right="200" w:hanging="824"/>
        <w:spacing w:after="0" w:line="270" w:lineRule="auto"/>
        <w:tabs>
          <w:tab w:leader="none" w:pos="1715"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900" w:right="20" w:hanging="895"/>
        <w:spacing w:after="0" w:line="287" w:lineRule="auto"/>
        <w:tabs>
          <w:tab w:leader="none" w:pos="9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720" w:right="20" w:hanging="824"/>
        <w:spacing w:after="0" w:line="287" w:lineRule="auto"/>
        <w:tabs>
          <w:tab w:leader="none" w:pos="171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720" w:hanging="824"/>
        <w:spacing w:after="0"/>
        <w:tabs>
          <w:tab w:leader="none" w:pos="17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4"/>
          <w:szCs w:val="14"/>
          <w:color w:val="auto"/>
        </w:rPr>
        <w:t>Date: February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43598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Kendra R. Adams</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80"/>
          </w:cols>
          <w:pgMar w:left="300" w:top="844"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of C4 Therapeutics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24" w:lineRule="exact"/>
        <w:rPr>
          <w:sz w:val="20"/>
          <w:szCs w:val="20"/>
          <w:color w:val="auto"/>
        </w:rPr>
      </w:pPr>
    </w:p>
    <w:p>
      <w:pPr>
        <w:ind w:left="1280" w:hanging="766"/>
        <w:spacing w:after="0"/>
        <w:tabs>
          <w:tab w:leader="none" w:pos="12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280" w:hanging="766"/>
        <w:spacing w:after="0"/>
        <w:tabs>
          <w:tab w:leader="none" w:pos="12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10" w:lineRule="exact"/>
        <w:rPr>
          <w:sz w:val="20"/>
          <w:szCs w:val="20"/>
          <w:color w:val="auto"/>
        </w:rPr>
      </w:pPr>
    </w:p>
    <w:p>
      <w:pPr>
        <w:ind w:left="20"/>
        <w:spacing w:after="0"/>
        <w:tabs>
          <w:tab w:leader="none" w:pos="5420" w:val="left"/>
          <w:tab w:leader="none" w:pos="7980" w:val="left"/>
        </w:tabs>
        <w:rPr>
          <w:sz w:val="20"/>
          <w:szCs w:val="20"/>
          <w:color w:val="auto"/>
        </w:rPr>
      </w:pPr>
      <w:r>
        <w:rPr>
          <w:rFonts w:ascii="Times New Roman" w:cs="Times New Roman" w:eastAsia="Times New Roman" w:hAnsi="Times New Roman"/>
          <w:sz w:val="14"/>
          <w:szCs w:val="14"/>
          <w:color w:val="auto"/>
        </w:rPr>
        <w:t>Date: February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43598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Andrew J. Hirsch</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844" w:right="3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of C4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24" w:lineRule="exact"/>
        <w:rPr>
          <w:sz w:val="20"/>
          <w:szCs w:val="20"/>
          <w:color w:val="auto"/>
        </w:rPr>
      </w:pPr>
    </w:p>
    <w:p>
      <w:pPr>
        <w:ind w:left="1280" w:hanging="766"/>
        <w:spacing w:after="0"/>
        <w:tabs>
          <w:tab w:leader="none" w:pos="12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280" w:hanging="766"/>
        <w:spacing w:after="0"/>
        <w:tabs>
          <w:tab w:leader="none" w:pos="12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10"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4"/>
          <w:szCs w:val="14"/>
          <w:color w:val="auto"/>
        </w:rPr>
        <w:t>Date: February 22,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42900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8"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Kendra R. Adams</w:t>
      </w:r>
    </w:p>
    <w:p>
      <w:pPr>
        <w:spacing w:after="0" w:line="25"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80"/>
          </w:cols>
          <w:pgMar w:left="300" w:top="929" w:right="319" w:bottom="1440"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
      <w:numFmt w:val="bullet"/>
      <w:start w:val="1"/>
    </w:lvl>
  </w:abstractNum>
  <w:abstractNum w:abstractNumId="6">
    <w:nsid w:val="3804823E"/>
    <w:multiLevelType w:val="hybridMultilevel"/>
    <w:lvl w:ilvl="0">
      <w:lvlJc w:val="left"/>
      <w:lvlText w:val="•"/>
      <w:numFmt w:val="bullet"/>
      <w:start w:val="1"/>
    </w:lvl>
    <w:lvl w:ilvl="1">
      <w:lvlJc w:val="left"/>
      <w:lvlText w:val="◦"/>
      <w:numFmt w:val="bullet"/>
      <w:start w:val="1"/>
    </w:lvl>
  </w:abstractNum>
  <w:abstractNum w:abstractNumId="7">
    <w:nsid w:val="77465F01"/>
    <w:multiLevelType w:val="hybridMultilevel"/>
    <w:lvl w:ilvl="0">
      <w:lvlJc w:val="left"/>
      <w:lvlText w:val="•"/>
      <w:numFmt w:val="bullet"/>
      <w:start w:val="1"/>
    </w:lvl>
    <w:lvl w:ilvl="1">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lowerRoman"/>
      <w:start w:val="3"/>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04"/>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emdash "/>
      <w:numFmt w:val="bullet"/>
      <w:start w:val="1"/>
    </w:lvl>
  </w:abstractNum>
  <w:abstractNum w:abstractNumId="54">
    <w:nsid w:val="D34B6A8"/>
    <w:multiLevelType w:val="hybridMultilevel"/>
    <w:lvl w:ilvl="0">
      <w:lvlJc w:val="left"/>
      <w:lvlText w:val="\emdash "/>
      <w:numFmt w:val="bullet"/>
      <w:start w:val="1"/>
    </w:lvl>
  </w:abstractNum>
  <w:abstractNum w:abstractNumId="55">
    <w:nsid w:val="10233C99"/>
    <w:multiLevelType w:val="hybridMultilevel"/>
    <w:lvl w:ilvl="0">
      <w:lvlJc w:val="left"/>
      <w:lvlText w:val="(%1)"/>
      <w:numFmt w:val="decimal"/>
      <w:start w:val="127"/>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lowerRoman"/>
      <w:start w:val="3"/>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124" Type="http://schemas.openxmlformats.org/officeDocument/2006/relationships/hyperlink" Target="http://www.sec.gov/Archives/edgar/data/0001662579/000119312520243234/d772024dex33.htm" TargetMode="External"/><Relationship Id="rId125" Type="http://schemas.openxmlformats.org/officeDocument/2006/relationships/hyperlink" Target="http://www.sec.gov/Archives/edgar/data/0001662579/000119312520243234/d772024dex35.htm" TargetMode="External"/><Relationship Id="rId126" Type="http://schemas.openxmlformats.org/officeDocument/2006/relationships/hyperlink" Target="http://www.sec.gov/Archives/edgar/data/0001662579/000119312520243234/d772024dex41.htm" TargetMode="External"/><Relationship Id="rId127" Type="http://schemas.openxmlformats.org/officeDocument/2006/relationships/hyperlink" Target="http://www.sec.gov/Archives/edgar/data/1662579/000119312520255106/d772024dex43.htm" TargetMode="External"/><Relationship Id="rId128" Type="http://schemas.openxmlformats.org/officeDocument/2006/relationships/hyperlink" Target="http://www.sec.gov/Archives/edgar/data/1662579/000156459021012531/cccc-ex44_220.htm" TargetMode="External"/><Relationship Id="rId129" Type="http://schemas.openxmlformats.org/officeDocument/2006/relationships/hyperlink" Target="http://www.sec.gov/Archives/edgar/data/0001662579/000119312520243234/d772024dex101.htm" TargetMode="External"/><Relationship Id="rId130" Type="http://schemas.openxmlformats.org/officeDocument/2006/relationships/hyperlink" Target="https://www.sec.gov/Archives/edgar/data/1662579/000162828023004711/exhibit102.htm" TargetMode="External"/><Relationship Id="rId131" Type="http://schemas.openxmlformats.org/officeDocument/2006/relationships/hyperlink" Target="http://www.sec.gov/Archives/edgar/data/1662579/000119312520255106/d772024dex103.htm" TargetMode="External"/><Relationship Id="rId132" Type="http://schemas.openxmlformats.org/officeDocument/2006/relationships/hyperlink" Target="http://www.sec.gov/Archives/edgar/data/0001662579/000119312520243234/d772024dex104.htm" TargetMode="External"/><Relationship Id="rId133" Type="http://schemas.openxmlformats.org/officeDocument/2006/relationships/hyperlink" Target="http://www.sec.gov/Archives/edgar/data/0001662579/000119312520243234/d772024dex105.htm" TargetMode="External"/><Relationship Id="rId134" Type="http://schemas.openxmlformats.org/officeDocument/2006/relationships/hyperlink" Target="http://www.sec.gov/Archives/edgar/data/0001662579/000119312520243234/d772024dex106.htm" TargetMode="External"/><Relationship Id="rId135" Type="http://schemas.openxmlformats.org/officeDocument/2006/relationships/hyperlink" Target="http://www.sec.gov/Archives/edgar/data/0001662579/000119312520243234/d772024dex107.htm" TargetMode="External"/><Relationship Id="rId136" Type="http://schemas.openxmlformats.org/officeDocument/2006/relationships/hyperlink" Target="http://www.sec.gov/Archives/edgar/data/0001662579/000119312520243234/d772024dex108.htm" TargetMode="External"/><Relationship Id="rId137" Type="http://schemas.openxmlformats.org/officeDocument/2006/relationships/hyperlink" Target="http://www.sec.gov/Archives/edgar/data/0001662579/000119312520243234/d772024dex1010.htm" TargetMode="External"/><Relationship Id="rId138" Type="http://schemas.openxmlformats.org/officeDocument/2006/relationships/hyperlink" Target="http://www.sec.gov/Archives/edgar/data/1662579/000156459021012531/cccc-ex1011_218.htm" TargetMode="External"/><Relationship Id="rId139" Type="http://schemas.openxmlformats.org/officeDocument/2006/relationships/hyperlink" Target="http://www.sec.gov/Archives/edgar/data/0001662579/000119312520243234/d772024dex1011.htm" TargetMode="External"/><Relationship Id="rId142" Type="http://schemas.openxmlformats.org/officeDocument/2006/relationships/hyperlink" Target="http://www.sec.gov/Archives/edgar/data/1662579/000156459021012531/cccc-ex1013_217.htm" TargetMode="External"/><Relationship Id="rId143" Type="http://schemas.openxmlformats.org/officeDocument/2006/relationships/hyperlink" Target="http://www.sec.gov/Archives/edgar/data/0001662579/000119312520243234/d772024dex1012.htm" TargetMode="External"/><Relationship Id="rId144" Type="http://schemas.openxmlformats.org/officeDocument/2006/relationships/hyperlink" Target="http://www.sec.gov/Archives/edgar/data/0001662579/000119312520243234/d772024dex1014.htm" TargetMode="External"/><Relationship Id="rId145" Type="http://schemas.openxmlformats.org/officeDocument/2006/relationships/hyperlink" Target="http://www.sec.gov/Archives/edgar/data/1662579/000156459021058797/cccc-ex101_7.htm" TargetMode="External"/><Relationship Id="rId146" Type="http://schemas.openxmlformats.org/officeDocument/2006/relationships/hyperlink" Target="https://www.sec.gov/Archives/edgar/data/1662579/000162828023020025/redacted-projectgeoffreyxc.htm" TargetMode="External"/><Relationship Id="rId147" Type="http://schemas.openxmlformats.org/officeDocument/2006/relationships/hyperlink" Target="https://www.sec.gov/Archives/edgar/data/1662579/000162828023020025/projgeoffrey-stockpurcha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2024-02-22T06:36:07Z</dcterms:created>
  <dcterms:modified xsi:type="dcterms:W3CDTF">2024-02-22T06:36:07Z</dcterms:modified>
</cp:coreProperties>
</file>