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C4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12529R107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10/17/2025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12529R107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Asset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22,647,647.00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22,647,647.00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22,647,647.00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14,170,000 shares of Common Stock (as defined in Item 2(a)) issuable upon exercise of warrants (the "Warrants"). As more fully described in Item 4, certain of the Warrants are subject to a 9.99% blocker (the "9.99% Blocker"), and the percentage set forth in row (11) gives effect to such 9.99% Blocker. However, as more fully described in Item 4, the shares of Common Stock reported as being issuable upon exercise of Warrants in rows (6), (8) and (9) include the number of shares of Common Stock that would be issuable upon full exercise of the Warrants and does not give effect to such 9.99% Blocker. Therefore, the actual number of shares of Common Stock beneficially owned by such Reporting Person, after giving effect to such 9.99% Blocker, is less than the number of shares of Common Stock reported in rows (6), (8) and (9) to be issuable upon exercise of the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12529R107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Point72 Capital Advisors,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22,647,647.00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22,647,647.00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22,647,647.00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14,170,000 shares of Common Stock issuable upon exercise of Warrants. As more fully described in Item 4, certain of the Warrants are subject to the 9.99% Blocker, and the percentage set forth in row (11) gives effect to such 9.99% Blocker. However, as more fully described in Item 4, the shares of Common Stock reported as being issuable upon exercise of Warrants in rows (6), (8) and (9) include the number of shares of Common Stock that would be issuable upon full exercise of the Warrants and does not give effect to such 9.99% Blocker. Therefore, the actual number of shares of Common Stock beneficially owned by such Reporting Person, after giving effect to such 9.99% Blocker, is less than the number of shares of Common Stock reported in rows (6), (8) and (9) to be issuable upon exercise of the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12529R107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A. Cohen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22,647,647.00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22,647,647.00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22,647,647.00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14,170,000 shares of Common Stock issuable upon exercise of Warrants. As more fully described in Item 4, certain of the Warrants are subject to the 9.99% Blocker, and the percentage set forth in row (11) gives effect to such 9.99% Blocker. However, as more fully described in Item 4, the shares of Common Stock reported as being issuable upon exercise of Warrants in rows (6), (8) and (9) include the number of shares of Common Stock that would be issuable upon full exercise of the Warrants and does not give effect to such 9.99% Blocker. Therefore, the actual number of shares of Common Stock beneficially owned by such Reporting Person, after giving effect to such 9.99% Blocker, is less than the number of shares of Common Stock reported in rows (6), (8) and (9) to be issuable upon exercise of the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C4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490 Arsenal Way, Suite 120,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Point72 Asset Management, L.P. ("Point72 Asset Management") with respect to the shares of common stock, par value $0.0001 per share ("Common Stock"), of C4 Therapeutics, Inc. (the "Issuer") held by (and shares of Common Stock underlying the Warrants held by) Point72 Associates, LLC, an investment fund it manages ("Point72 Associates"); (ii) Point72 Capital Advisors, Inc. ("Point72 Capital Advisors Inc.") with respect to the shares of Common Stock held by (and shares of Common Stock underlying the Warrants held by) Point72 Associates; and (iii) Steven A. Cohen ("Mr. Cohen") with respect to the shares of Common Stock beneficially owned by Point72 Asset Management and Point72 Capital Advisors Inc. Each of Cubist Systematic Strategies, LLC, Point72 (DIFC) Limited and Point72 Asia (Singapore) Pte. Ltd. are advisors under common control with Point72 Asset Management, and each acts as a sub-advisor with respect to a portion of the shares of Common Stock reported herein. Point72 Asset Management, Point72 Capital Advisors Inc., and Mr. Cohen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Point72 Asset Management, Point72 Capital Advisors Inc., and Mr. Cohen is 72 Cummings Point Road,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Point72 Asset Management is a Delaware limited partnership. Point72 Capital Advisors Inc. is a Delaware corporation. Mr. Cohen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jc w:val="left"/>
              <w:rPr/>
            </w:pPr>
            <w:r>
              <w:rPr/>
              <w:t xml:space="preserve">CUSIP No.: </w:t>
            </w:r>
          </w:p>
          <w:p>
            <w:pPr>
              <w:pStyle w:val="TableContents"/>
              <w:bidi w:val="0"/>
              <w:spacing w:before="0" w:after="0"/>
              <w:jc w:val="left"/>
              <w:rPr/>
            </w:pPr>
            <w:r>
              <w:rPr/>
              <w:t>12529R107</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Such information is as of the close of business on October 17, 2025. Point72 Asset Management, Point72 Capital Advisors Inc., and Mr. Cohen own directly no shares of Common Stock. Pursuant to an investment management agreement, Point72 Asset Management maintains investment and voting power with respect to the securities held by Point72 Associates. Point72 Capital Advisors Inc. is the general partner of Point72 Asset Management. Mr. Cohen controls each of Point72 Asset Management and Point72 Capital Advisors Inc. The filing of this statement should not be construed as an admission that any of the foregoing persons or any Reporting Person is, for the purposes of Section 13 of the Act, the beneficial owner of the shares of Common Stock reported herein. The Warrants reflected on the cover pages are subject to a 9.99% Blocker whereby they are not exercisable to the extent that following such exercise, taking into account all other shares of Common Stock beneficially owned by the Reporting Persons, the Reporting Persons would beneficially own in excess of 9.99% of the Issuer's outstanding Common Stock, as calculated in a manner consistent with the provisions of Section 13(d) of the Act and the rules and regulations promulgated thereunder. Consequently, as of the date of the event which requires the filing of this statement, some of the Warrants referred to herein are not presently exercisable due to the 9.99% Blocker.</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 Such information is as of the close of business on October 17,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 Such information is as of the close of business on October 17,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 Such information is as of the close of business on October 17,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 Such information is as of the close of business on October 17, 2025.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Point72 Associates has the right to receive or the power to direct the receipt of dividends from, or the proceeds from the sale of, more than 5 percent of the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Point72 Asset Management, L.P.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10/20/2025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Point72 Capital Advisors, Inc.</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10/20/2025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Steven A. Cohen</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Jason M. Colombo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Jason M. Colombo, Authorized Person</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10/20/2025</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4" w:name="p25-2220exhibit991.htm"/>
      <w:bookmarkStart w:id="25" w:name="ksp252220exhibit991"/>
      <w:bookmarkEnd w:id="24"/>
      <w:bookmarkEnd w:id="25"/>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tbl>
      <w:tblPr>
        <w:tblW w:w="2315" w:type="dxa"/>
        <w:jc w:val="left"/>
        <w:tblInd w:w="0" w:type="dxa"/>
        <w:tblLayout w:type="fixed"/>
        <w:tblCellMar>
          <w:top w:w="0" w:type="dxa"/>
          <w:left w:w="0" w:type="dxa"/>
          <w:bottom w:w="0" w:type="dxa"/>
          <w:right w:w="0" w:type="dxa"/>
        </w:tblCellMar>
      </w:tblPr>
      <w:tblGrid>
        <w:gridCol w:w="2240"/>
        <w:gridCol w:w="7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October 20,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4070" w:type="dxa"/>
        <w:jc w:val="left"/>
        <w:tblInd w:w="0" w:type="dxa"/>
        <w:tblLayout w:type="fixed"/>
        <w:tblCellMar>
          <w:top w:w="0" w:type="dxa"/>
          <w:left w:w="0" w:type="dxa"/>
          <w:bottom w:w="0" w:type="dxa"/>
          <w:right w:w="0" w:type="dxa"/>
        </w:tblCellMar>
      </w:tblPr>
      <w:tblGrid>
        <w:gridCol w:w="4070"/>
      </w:tblGrid>
      <w:tr>
        <w:trPr/>
        <w:tc>
          <w:tcPr>
            <w:tcW w:w="407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POINT72 ASSET MANAGEMENT, L.P.</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Jason M. Colombo</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w:t>
              <w:tab/>
              <w:t>Jason M. Colombo</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w:t>
              <w:tab/>
              <w:t xml:space="preserve"> Authorized Person</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rFonts w:ascii="Times New Roman;Times;Serif" w:hAnsi="Times New Roman;Times;Serif"/>
                <w:b/>
                <w:i w:val="false"/>
                <w:caps/>
                <w:sz w:val="22"/>
              </w:rPr>
            </w:pPr>
            <w:r>
              <w:rPr>
                <w:rFonts w:ascii="Times New Roman;Times;Serif" w:hAnsi="Times New Roman;Times;Serif"/>
                <w:b/>
                <w:i w:val="false"/>
                <w:caps/>
                <w:sz w:val="22"/>
              </w:rPr>
              <w:t>POINT72 CAPITAL ADVISORS, INC.</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Jason M. Colombo</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w:t>
              <w:tab/>
              <w:t>Jason M. Colombo</w:t>
            </w:r>
          </w:p>
        </w:tc>
      </w:tr>
      <w:tr>
        <w:trPr/>
        <w:tc>
          <w:tcPr>
            <w:tcW w:w="4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w:t>
              <w:tab/>
              <w:t xml:space="preserve"> Authorized Person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2420"/>
        <w:gridCol w:w="75"/>
      </w:tblGrid>
      <w:tr>
        <w:trPr/>
        <w:tc>
          <w:tcPr>
            <w:tcW w:w="2420" w:type="dxa"/>
            <w:tcBorders/>
            <w:vAlign w:val="center"/>
          </w:tcPr>
          <w:p>
            <w:pPr>
              <w:pStyle w:val="TableContents"/>
              <w:bidi w:val="0"/>
              <w:spacing w:before="0" w:after="283"/>
              <w:jc w:val="left"/>
              <w:rPr>
                <w:rFonts w:ascii="Times New Roman;Times;Serif" w:hAnsi="Times New Roman;Times;Serif"/>
                <w:b/>
                <w:i w:val="false"/>
                <w:caps/>
                <w:sz w:val="22"/>
              </w:rPr>
            </w:pPr>
            <w:r>
              <w:rPr>
                <w:rFonts w:ascii="Times New Roman;Times;Serif" w:hAnsi="Times New Roman;Times;Serif"/>
                <w:b/>
                <w:i w:val="false"/>
                <w:caps/>
                <w:sz w:val="22"/>
              </w:rPr>
              <w:t>STEVEN A. COHEN</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2"/>
              </w:rPr>
              <w:t>/s/ Jason M. Colombo</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w:t>
              <w:tab/>
              <w:t>Jason M. Colombo</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w:t>
              <w:tab/>
              <w:t xml:space="preserve"> Authorized Person</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2420</Words>
  <Characters>12283</Characters>
  <CharactersWithSpaces>14656</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