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843280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868680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32"/>
          <w:szCs w:val="32"/>
          <w:b w:val="1"/>
          <w:bCs w:val="1"/>
          <w:color w:val="212529"/>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212529"/>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212529"/>
        </w:rPr>
        <w:t>WASHINGTON, D.C. 20549</w:t>
      </w:r>
    </w:p>
    <w:p>
      <w:pPr>
        <w:ind w:left="3880"/>
        <w:spacing w:after="0" w:line="191" w:lineRule="auto"/>
        <w:rPr>
          <w:sz w:val="20"/>
          <w:szCs w:val="20"/>
          <w:color w:val="auto"/>
        </w:rPr>
      </w:pPr>
      <w:r>
        <w:rPr>
          <w:rFonts w:ascii="Calibri" w:cs="Calibri" w:eastAsia="Calibri" w:hAnsi="Calibri"/>
          <w:sz w:val="11"/>
          <w:szCs w:val="11"/>
          <w:color w:val="auto"/>
        </w:rPr>
        <w:t>_________________________________________________________________</w:t>
      </w:r>
    </w:p>
    <w:p>
      <w:pPr>
        <w:spacing w:after="0" w:line="2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212529"/>
        </w:rPr>
        <w:t>FORM 8-K</w:t>
      </w:r>
    </w:p>
    <w:p>
      <w:pPr>
        <w:spacing w:after="0" w:line="30" w:lineRule="exact"/>
        <w:rPr>
          <w:sz w:val="24"/>
          <w:szCs w:val="24"/>
          <w:color w:val="auto"/>
        </w:rPr>
      </w:pPr>
    </w:p>
    <w:p>
      <w:pPr>
        <w:ind w:left="3880"/>
        <w:spacing w:after="0"/>
        <w:rPr>
          <w:sz w:val="20"/>
          <w:szCs w:val="20"/>
          <w:color w:val="auto"/>
        </w:rPr>
      </w:pPr>
      <w:r>
        <w:rPr>
          <w:rFonts w:ascii="Calibri" w:cs="Calibri" w:eastAsia="Calibri" w:hAnsi="Calibri"/>
          <w:sz w:val="11"/>
          <w:szCs w:val="11"/>
          <w:color w:val="auto"/>
        </w:rPr>
        <w:t>_________________________________________________________________</w:t>
      </w:r>
    </w:p>
    <w:p>
      <w:pPr>
        <w:spacing w:after="0" w:line="2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212529"/>
        </w:rPr>
        <w:t>CURRENT REPORT</w:t>
      </w: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212529"/>
        </w:rPr>
        <w:t>Pursuant to Section 13 or 15(d) of the Securities Exchange Act of 1934</w:t>
      </w:r>
    </w:p>
    <w:p>
      <w:pPr>
        <w:spacing w:after="0" w:line="2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12529"/>
        </w:rPr>
        <w:t>Date of Report (Date of earliest event reported): January 9, 2024 (January 8, 2024)</w:t>
      </w:r>
    </w:p>
    <w:p>
      <w:pPr>
        <w:spacing w:after="0" w:line="4" w:lineRule="exact"/>
        <w:rPr>
          <w:sz w:val="24"/>
          <w:szCs w:val="24"/>
          <w:color w:val="auto"/>
        </w:rPr>
      </w:pPr>
    </w:p>
    <w:p>
      <w:pPr>
        <w:ind w:left="3880"/>
        <w:spacing w:after="0"/>
        <w:rPr>
          <w:sz w:val="20"/>
          <w:szCs w:val="20"/>
          <w:color w:val="auto"/>
        </w:rPr>
      </w:pPr>
      <w:r>
        <w:rPr>
          <w:rFonts w:ascii="Calibri" w:cs="Calibri" w:eastAsia="Calibri" w:hAnsi="Calibri"/>
          <w:sz w:val="11"/>
          <w:szCs w:val="11"/>
          <w:color w:val="auto"/>
        </w:rPr>
        <w:t>_________________________________________________________________</w:t>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212529"/>
        </w:rPr>
        <w:t>C4 THERAPEUTICS, INC.</w:t>
      </w:r>
    </w:p>
    <w:p>
      <w:pPr>
        <w:sectPr>
          <w:pgSz w:w="11900" w:h="16838" w:orient="portrait"/>
          <w:cols w:equalWidth="0" w:num="1">
            <w:col w:w="11220"/>
          </w:cols>
          <w:pgMar w:left="320" w:top="1440" w:right="359" w:bottom="1440" w:gutter="0" w:footer="0" w:header="0"/>
        </w:sectPr>
      </w:pPr>
    </w:p>
    <w:p>
      <w:pPr>
        <w:spacing w:after="0" w:line="63" w:lineRule="exact"/>
        <w:rPr>
          <w:sz w:val="24"/>
          <w:szCs w:val="24"/>
          <w:color w:val="auto"/>
        </w:rPr>
      </w:pPr>
    </w:p>
    <w:tbl>
      <w:tblPr>
        <w:tblLayout w:type="fixed"/>
        <w:tblInd w:w="66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388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212529"/>
              </w:rPr>
              <w:t>(Exact name of Registrant as Specified in Its Charter)</w:t>
            </w:r>
          </w:p>
        </w:tc>
        <w:tc>
          <w:tcPr>
            <w:tcW w:w="0" w:type="dxa"/>
            <w:vAlign w:val="bottom"/>
          </w:tcPr>
          <w:p>
            <w:pPr>
              <w:spacing w:after="0"/>
              <w:rPr>
                <w:sz w:val="1"/>
                <w:szCs w:val="1"/>
                <w:color w:val="auto"/>
              </w:rPr>
            </w:pPr>
          </w:p>
        </w:tc>
      </w:tr>
      <w:tr>
        <w:trPr>
          <w:trHeight w:val="127"/>
        </w:trPr>
        <w:tc>
          <w:tcPr>
            <w:tcW w:w="2840" w:type="dxa"/>
            <w:vAlign w:val="bottom"/>
          </w:tcPr>
          <w:p>
            <w:pPr>
              <w:spacing w:after="0"/>
              <w:rPr>
                <w:sz w:val="11"/>
                <w:szCs w:val="11"/>
                <w:color w:val="auto"/>
              </w:rPr>
            </w:pPr>
          </w:p>
        </w:tc>
        <w:tc>
          <w:tcPr>
            <w:tcW w:w="3880" w:type="dxa"/>
            <w:vAlign w:val="bottom"/>
          </w:tcPr>
          <w:p>
            <w:pPr>
              <w:jc w:val="center"/>
              <w:ind w:left="308"/>
              <w:spacing w:after="0" w:line="127" w:lineRule="exact"/>
              <w:rPr>
                <w:sz w:val="20"/>
                <w:szCs w:val="20"/>
                <w:color w:val="auto"/>
              </w:rPr>
            </w:pPr>
            <w:r>
              <w:rPr>
                <w:rFonts w:ascii="Calibri" w:cs="Calibri" w:eastAsia="Calibri" w:hAnsi="Calibri"/>
                <w:sz w:val="11"/>
                <w:szCs w:val="11"/>
                <w:color w:val="auto"/>
                <w:w w:val="98"/>
              </w:rPr>
              <w:t>_________________________________________________________________</w:t>
            </w:r>
          </w:p>
        </w:tc>
        <w:tc>
          <w:tcPr>
            <w:tcW w:w="0" w:type="dxa"/>
            <w:vAlign w:val="bottom"/>
          </w:tcPr>
          <w:p>
            <w:pPr>
              <w:spacing w:after="0"/>
              <w:rPr>
                <w:sz w:val="1"/>
                <w:szCs w:val="1"/>
                <w:color w:val="auto"/>
              </w:rPr>
            </w:pPr>
          </w:p>
        </w:tc>
      </w:tr>
      <w:tr>
        <w:trPr>
          <w:trHeight w:val="514"/>
        </w:trPr>
        <w:tc>
          <w:tcPr>
            <w:tcW w:w="2840" w:type="dxa"/>
            <w:vAlign w:val="bottom"/>
          </w:tcPr>
          <w:p>
            <w:pPr>
              <w:jc w:val="center"/>
              <w:ind w:right="3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80" w:type="dxa"/>
            <w:vAlign w:val="bottom"/>
          </w:tcPr>
          <w:p>
            <w:pPr>
              <w:jc w:val="center"/>
              <w:ind w:left="268"/>
              <w:spacing w:after="0"/>
              <w:rPr>
                <w:sz w:val="20"/>
                <w:szCs w:val="20"/>
                <w:color w:val="auto"/>
              </w:rPr>
            </w:pPr>
            <w:r>
              <w:rPr>
                <w:rFonts w:ascii="Times New Roman" w:cs="Times New Roman" w:eastAsia="Times New Roman" w:hAnsi="Times New Roman"/>
                <w:sz w:val="18"/>
                <w:szCs w:val="18"/>
                <w:b w:val="1"/>
                <w:bCs w:val="1"/>
                <w:color w:val="auto"/>
                <w:w w:val="99"/>
              </w:rPr>
              <w:t>001-39567</w:t>
            </w:r>
          </w:p>
        </w:tc>
        <w:tc>
          <w:tcPr>
            <w:tcW w:w="0" w:type="dxa"/>
            <w:vAlign w:val="bottom"/>
          </w:tcPr>
          <w:p>
            <w:pPr>
              <w:spacing w:after="0"/>
              <w:rPr>
                <w:sz w:val="1"/>
                <w:szCs w:val="1"/>
                <w:color w:val="auto"/>
              </w:rPr>
            </w:pPr>
          </w:p>
        </w:tc>
      </w:tr>
      <w:tr>
        <w:trPr>
          <w:trHeight w:val="178"/>
        </w:trPr>
        <w:tc>
          <w:tcPr>
            <w:tcW w:w="284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880" w:type="dxa"/>
            <w:vAlign w:val="bottom"/>
            <w:vMerge w:val="restart"/>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0" w:type="dxa"/>
            <w:vAlign w:val="bottom"/>
          </w:tcPr>
          <w:p>
            <w:pPr>
              <w:spacing w:after="0"/>
              <w:rPr>
                <w:sz w:val="1"/>
                <w:szCs w:val="1"/>
                <w:color w:val="auto"/>
              </w:rPr>
            </w:pPr>
          </w:p>
        </w:tc>
      </w:tr>
      <w:tr>
        <w:trPr>
          <w:trHeight w:val="190"/>
        </w:trPr>
        <w:tc>
          <w:tcPr>
            <w:tcW w:w="284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840" w:type="dxa"/>
            <w:vAlign w:val="bottom"/>
          </w:tcPr>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490 Arsenal Way,  Suite 120</w:t>
            </w:r>
          </w:p>
        </w:tc>
        <w:tc>
          <w:tcPr>
            <w:tcW w:w="3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40" w:type="dxa"/>
            <w:vAlign w:val="bottom"/>
          </w:tcPr>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Watertown, MA</w:t>
            </w: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84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5" w:lineRule="exact"/>
        <w:rPr>
          <w:sz w:val="24"/>
          <w:szCs w:val="24"/>
          <w:color w:val="auto"/>
        </w:rPr>
      </w:pPr>
    </w:p>
    <w:p>
      <w:pPr>
        <w:jc w:val="center"/>
        <w:ind w:left="2940"/>
        <w:spacing w:after="0"/>
        <w:rPr>
          <w:sz w:val="20"/>
          <w:szCs w:val="20"/>
          <w:color w:val="auto"/>
        </w:rPr>
      </w:pPr>
      <w:r>
        <w:rPr>
          <w:rFonts w:ascii="Times New Roman" w:cs="Times New Roman" w:eastAsia="Times New Roman" w:hAnsi="Times New Roman"/>
          <w:sz w:val="17"/>
          <w:szCs w:val="17"/>
          <w:b w:val="1"/>
          <w:bCs w:val="1"/>
          <w:color w:val="212529"/>
        </w:rPr>
        <w:t>Registrant’s Telephone Number, Including Area Code: (617) 231-0700</w:t>
      </w:r>
    </w:p>
    <w:p>
      <w:pPr>
        <w:spacing w:after="0" w:line="237" w:lineRule="exact"/>
        <w:rPr>
          <w:sz w:val="24"/>
          <w:szCs w:val="24"/>
          <w:color w:val="auto"/>
        </w:rPr>
      </w:pPr>
    </w:p>
    <w:p>
      <w:pPr>
        <w:jc w:val="center"/>
        <w:ind w:left="2940"/>
        <w:spacing w:after="0"/>
        <w:rPr>
          <w:sz w:val="20"/>
          <w:szCs w:val="20"/>
          <w:color w:val="auto"/>
        </w:rPr>
      </w:pPr>
      <w:r>
        <w:rPr>
          <w:rFonts w:ascii="Times New Roman" w:cs="Times New Roman" w:eastAsia="Times New Roman" w:hAnsi="Times New Roman"/>
          <w:sz w:val="18"/>
          <w:szCs w:val="18"/>
          <w:b w:val="1"/>
          <w:bCs w:val="1"/>
          <w:color w:val="212529"/>
        </w:rPr>
        <w:t>Not Applicable</w:t>
      </w:r>
    </w:p>
    <w:p>
      <w:pPr>
        <w:spacing w:after="0" w:line="25"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212529"/>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47-5617627</w:t>
      </w:r>
    </w:p>
    <w:p>
      <w:pPr>
        <w:spacing w:after="0" w:line="61"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28"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02472</w:t>
      </w:r>
    </w:p>
    <w:p>
      <w:pPr>
        <w:spacing w:after="0" w:line="61"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93" w:lineRule="exact"/>
        <w:rPr>
          <w:sz w:val="24"/>
          <w:szCs w:val="24"/>
          <w:color w:val="auto"/>
        </w:rPr>
      </w:pPr>
    </w:p>
    <w:p>
      <w:pPr>
        <w:sectPr>
          <w:pgSz w:w="11900" w:h="16838" w:orient="portrait"/>
          <w:cols w:equalWidth="0" w:num="2">
            <w:col w:w="8300" w:space="500"/>
            <w:col w:w="2420"/>
          </w:cols>
          <w:pgMar w:left="320" w:top="1440" w:right="359" w:bottom="1440" w:gutter="0" w:footer="0" w:header="0"/>
          <w:type w:val="continuous"/>
        </w:sectPr>
      </w:pPr>
    </w:p>
    <w:p>
      <w:pPr>
        <w:ind w:left="3880"/>
        <w:spacing w:after="0" w:line="229" w:lineRule="auto"/>
        <w:rPr>
          <w:sz w:val="20"/>
          <w:szCs w:val="20"/>
          <w:color w:val="auto"/>
        </w:rPr>
      </w:pPr>
      <w:r>
        <w:rPr>
          <w:rFonts w:ascii="Calibri" w:cs="Calibri" w:eastAsia="Calibri" w:hAnsi="Calibri"/>
          <w:sz w:val="11"/>
          <w:szCs w:val="11"/>
          <w:color w:val="auto"/>
        </w:rPr>
        <w:t>_________________________________________________________________</w:t>
      </w:r>
    </w:p>
    <w:p>
      <w:pPr>
        <w:spacing w:after="0" w:line="212"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212529"/>
        </w:rPr>
        <w:t>Check the appropriate box below if the Form 8-K filing is intended to simultaneously satisfy the filing obligation of the registrant under any of the following provisions:</w:t>
      </w:r>
    </w:p>
    <w:p>
      <w:pPr>
        <w:spacing w:after="0" w:line="229" w:lineRule="exact"/>
        <w:rPr>
          <w:sz w:val="24"/>
          <w:szCs w:val="24"/>
          <w:color w:val="auto"/>
        </w:rPr>
      </w:pPr>
    </w:p>
    <w:p>
      <w:pPr>
        <w:ind w:left="600" w:hanging="574"/>
        <w:spacing w:after="0"/>
        <w:tabs>
          <w:tab w:leader="none" w:pos="6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Wingdings" w:cs="Wingdings" w:eastAsia="Wingdings" w:hAnsi="Wingdings"/>
          <w:sz w:val="18"/>
          <w:szCs w:val="18"/>
          <w:b w:val="1"/>
          <w:bCs w:val="1"/>
          <w:color w:val="auto"/>
        </w:rPr>
      </w:pPr>
    </w:p>
    <w:p>
      <w:pPr>
        <w:ind w:left="600" w:hanging="574"/>
        <w:spacing w:after="0"/>
        <w:tabs>
          <w:tab w:leader="none" w:pos="6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Wingdings" w:cs="Wingdings" w:eastAsia="Wingdings" w:hAnsi="Wingdings"/>
          <w:sz w:val="18"/>
          <w:szCs w:val="18"/>
          <w:b w:val="1"/>
          <w:bCs w:val="1"/>
          <w:color w:val="auto"/>
        </w:rPr>
      </w:pPr>
    </w:p>
    <w:p>
      <w:pPr>
        <w:ind w:left="600" w:hanging="574"/>
        <w:spacing w:after="0"/>
        <w:tabs>
          <w:tab w:leader="none" w:pos="6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Wingdings" w:cs="Wingdings" w:eastAsia="Wingdings" w:hAnsi="Wingdings"/>
          <w:sz w:val="18"/>
          <w:szCs w:val="18"/>
          <w:b w:val="1"/>
          <w:bCs w:val="1"/>
          <w:color w:val="auto"/>
        </w:rPr>
      </w:pPr>
    </w:p>
    <w:p>
      <w:pPr>
        <w:ind w:left="600" w:hanging="574"/>
        <w:spacing w:after="0"/>
        <w:tabs>
          <w:tab w:leader="none" w:pos="6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2529"/>
        </w:rPr>
        <w:t>Securities registered pursuant to Section 12(b) of the Act:</w:t>
      </w: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vMerge w:val="restart"/>
          </w:tcPr>
          <w:p>
            <w:pPr>
              <w:spacing w:after="0"/>
              <w:rPr>
                <w:sz w:val="13"/>
                <w:szCs w:val="13"/>
                <w:color w:val="auto"/>
              </w:rPr>
            </w:pP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5"/>
        </w:trPr>
        <w:tc>
          <w:tcPr>
            <w:tcW w:w="4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80" w:type="dxa"/>
            <w:vAlign w:val="bottom"/>
          </w:tcPr>
          <w:p>
            <w:pPr>
              <w:spacing w:after="0"/>
              <w:rPr>
                <w:sz w:val="16"/>
                <w:szCs w:val="16"/>
                <w:color w:val="auto"/>
              </w:rPr>
            </w:pPr>
          </w:p>
        </w:tc>
        <w:tc>
          <w:tcPr>
            <w:tcW w:w="4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CCCC</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333"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212529"/>
        </w:rPr>
        <w:t>Indicate by check mark whether the registrant is an emerging growth company as defined in Rule 405 of the Securities Act of 1933 (§ 230.405 of this chapter) or Rule 12b-2 of the Securities Exchange Act of 1934 (§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Emerging growth company </w:t>
      </w:r>
      <w:r>
        <w:rPr>
          <w:rFonts w:ascii="Wingdings" w:cs="Wingdings" w:eastAsia="Wingdings" w:hAnsi="Wingdings"/>
          <w:sz w:val="18"/>
          <w:szCs w:val="18"/>
          <w:b w:val="1"/>
          <w:bCs w:val="1"/>
          <w:color w:val="212529"/>
        </w:rPr>
        <w:t>o</w:t>
      </w:r>
    </w:p>
    <w:p>
      <w:pPr>
        <w:spacing w:after="0" w:line="2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212529"/>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Item 2.05 Costs Associated with Exit or Disposal Activities.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12529"/>
        </w:rPr>
        <w:t>On January 9, 2024, C4 Therapeutics, Inc. (the “Company”) announced that, following a strategic review, it was focusing its capital allocation on programs with the highest potential for value creation and patient impact. The Company is making purpose-led changes to align with its mission and vision and ensure the Company is well positioned for the future. These changes are designed to optimize the Company’s cost structure by reducing the size of its workforce (the “Restructuring”). The Company is prioritizing investment in the execution of its Phase 1/2 clinical trial of CFT7455, an oral degrader of IKZF1/3 for the potential treatment of relapsed refractory multiple myeloma and relapsed refractory non-Hodgkin’s lymphomas and its Phase 1/2 clinical trial of CFT1946, an oral degrader targeting BRAF V600X mutations for the potential treatment of solid tumors including non-small cell lung cancer, colorectal cancer and melanoma; supporting collaboration partners in drug discovery efforts; and advancing the Company’s proprietary internal programs. The employees impacted by the strategic imperatives and resulting Restructuring were notified on January 9, 2024 and represent approximately 30% of the workforce or 45 positions. The reductions will be substantially complete by the end of the first quarter of 2024.</w:t>
      </w:r>
    </w:p>
    <w:p>
      <w:pPr>
        <w:spacing w:after="0" w:line="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12529"/>
        </w:rPr>
        <w:t>As a result of these changes, the Company estimates that it will incur charges of approximately $3 million. The Company anticipates recognizing the majority of these expenses in the first quarter of 2024.</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12529"/>
        </w:rPr>
        <w:t>The estimates of costs, expenses and savings that the Company expects to incur in connection with the changes are contingent upon various assumptions and actual results may differ materially. The Company may also incur additional costs not currently contemplated due to events related to or resulting from these strategic steps.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7.01 Regulation FD Disclosure.</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212529"/>
        </w:rPr>
        <w:t>On January 9, 2024, the Company issued a press release announcing the Restructuring, its key milestones for 2024, and preliminary financial information, including its unaudited cash, cash equivalents, and marketable securities as of January 5, 2024. The full text of the press release is furnished herewith as Exhibit 99.1 to this Current Report on Form 8-K.</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including Exhibit 99.1 attached hereto, is being furnished and shall not be deemed “filed” for the purposes of Section 18 of the Securities Exchange Act of 1934, as amended (the “Exchange Act”), or otherwise subject to the liabilities of that Section, nor shall it be deemed subject to the requirements of amended Item 10 of Regulation S-K, nor shall it be deemed incorporated by reference into any filing of the Company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are made pursuant to the safe harbor provisions of the Private Securities Litigation Reform Act of 1995, including the Company’s expectations regarding the timing and results of the Restructuring; the estimated charges and costs expected to be incurred therewith; the Company’s ability to successfully implement its cost-saving initiatives and to capture expected efficiencies; and expectation that the Restructuring will preserve its cash runway into 2027. The use of words such as “anticipate,” “believe,” “continue,” “could,” “endeavor,” “estimate,” “expect,” “anticipate,” “intend,” “may,” “might,” “plan,” “potential,” “predict,” “project,” “seek,” “should,” “target,” “will” or “would” or the negative of such words or other similar expressions can be used to identify forward-looking statements. Each forward-looking statement is subject to risks and uncertainties that could cause actual results to differ materially from those expressed or implied in such statement. These and other risks and uncertainties are described in additional detail in the section entitled “Risk Factors” in the Company’s Annual Report on Form 10-K filed February 23, 2023, its Quarterly Reports on Form 10-Q filed on May 4, 2023, August 8, 2023, and November 10, 2023, and its other filings made with the Securities and Exchange Commission from time to time. Although the Company’s forward-looking statements reflect the good faith judgment of its management, these statements are based only on facts and factors currently known by the Company. As a result, you are cautioned not to rely on these forward-looking statements. Any forward-looking statement made in this Current Report on Form 8-K speaks only as of the date on which it is made. Except as required by applicable law, the Company undertakes no obligation to publicly update or revise any forward-looking statement, whether as a result of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212529"/>
        </w:rPr>
        <w:t>Item 9.01 Financial Statements and Exhibits.</w:t>
      </w:r>
    </w:p>
    <w:p>
      <w:pPr>
        <w:spacing w:after="0" w:line="229" w:lineRule="exact"/>
        <w:rPr>
          <w:sz w:val="20"/>
          <w:szCs w:val="20"/>
          <w:color w:val="auto"/>
        </w:rPr>
      </w:pPr>
    </w:p>
    <w:p>
      <w:pPr>
        <w:ind w:right="40" w:firstLine="8"/>
        <w:spacing w:after="0" w:line="282" w:lineRule="auto"/>
        <w:tabs>
          <w:tab w:leader="none" w:pos="255"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u w:val="single" w:color="auto"/>
          <w:color w:val="212529"/>
        </w:rPr>
        <w:t>Exhibits</w:t>
      </w:r>
      <w:r>
        <w:rPr>
          <w:rFonts w:ascii="Times New Roman" w:cs="Times New Roman" w:eastAsia="Times New Roman" w:hAnsi="Times New Roman"/>
          <w:sz w:val="18"/>
          <w:szCs w:val="18"/>
          <w:color w:val="212529"/>
        </w:rPr>
        <w:t>. The exhibits shall be deemed to be filed or furnished, depending on the relevant item requiring such exhibit, in accordance with the provisions of Item 601 of Regulation S-K (17 CFR 229.601) and Instruction B.2 to this form.</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7580" w:type="dxa"/>
            <w:vAlign w:val="bottom"/>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spacing w:after="0"/>
              <w:rPr>
                <w:sz w:val="16"/>
                <w:szCs w:val="16"/>
                <w:color w:val="auto"/>
              </w:rPr>
            </w:pPr>
          </w:p>
        </w:tc>
        <w:tc>
          <w:tcPr>
            <w:tcW w:w="758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issued January 9, 2024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7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60"/>
        </w:trPr>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212529"/>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C4 Therapeutics, Inc.</w:t>
      </w:r>
    </w:p>
    <w:p>
      <w:pPr>
        <w:spacing w:after="0" w:line="360" w:lineRule="exact"/>
        <w:rPr>
          <w:sz w:val="20"/>
          <w:szCs w:val="20"/>
          <w:color w:val="auto"/>
        </w:rPr>
      </w:pPr>
    </w:p>
    <w:p>
      <w:pPr>
        <w:ind w:left="20"/>
        <w:spacing w:after="0"/>
        <w:tabs>
          <w:tab w:leader="none" w:pos="5400" w:val="left"/>
          <w:tab w:leader="none" w:pos="5820" w:val="left"/>
        </w:tabs>
        <w:rPr>
          <w:sz w:val="20"/>
          <w:szCs w:val="20"/>
          <w:color w:val="auto"/>
        </w:rPr>
      </w:pPr>
      <w:r>
        <w:rPr>
          <w:rFonts w:ascii="Times New Roman" w:cs="Times New Roman" w:eastAsia="Times New Roman" w:hAnsi="Times New Roman"/>
          <w:sz w:val="18"/>
          <w:szCs w:val="18"/>
          <w:color w:val="auto"/>
        </w:rPr>
        <w:t xml:space="preserve">Date: January </w:t>
      </w:r>
      <w:r>
        <w:rPr>
          <w:rFonts w:ascii="Times New Roman" w:cs="Times New Roman" w:eastAsia="Times New Roman" w:hAnsi="Times New Roman"/>
          <w:sz w:val="18"/>
          <w:szCs w:val="18"/>
          <w:color w:val="212529"/>
        </w:rPr>
        <w:t>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Kendra R.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43180</wp:posOffset>
            </wp:positionV>
            <wp:extent cx="34290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8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Kendra R. Adams</w:t>
      </w:r>
    </w:p>
    <w:p>
      <w:pPr>
        <w:spacing w:after="0" w:line="9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00"/>
          </w:cols>
          <w:pgMar w:left="320" w:top="1143"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1602740"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340" w:right="240"/>
        <w:spacing w:after="0" w:line="273" w:lineRule="auto"/>
        <w:rPr>
          <w:sz w:val="20"/>
          <w:szCs w:val="20"/>
          <w:color w:val="auto"/>
        </w:rPr>
      </w:pPr>
      <w:r>
        <w:rPr>
          <w:rFonts w:ascii="Times New Roman" w:cs="Times New Roman" w:eastAsia="Times New Roman" w:hAnsi="Times New Roman"/>
          <w:sz w:val="20"/>
          <w:szCs w:val="20"/>
          <w:b w:val="1"/>
          <w:bCs w:val="1"/>
          <w:color w:val="auto"/>
        </w:rPr>
        <w:t>C4 Therapeutics Announces 2024 Priorities and Extended Cash Runway to Advance Portfolio of Targeted Protein Degradation Medicines</w:t>
      </w:r>
    </w:p>
    <w:p>
      <w:pPr>
        <w:spacing w:after="0" w:line="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Multiple 2024 Clinical Updates Expected, Including Data from the Ongoing CFT7455 and CFT1946 Phase 1 Dose Escalation Trials</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Prioritization of CFT7455, CFT1946, Discovery Collaborations and Focused Discovery Research Efforts Results in Workforce Reduction of</w:t>
      </w:r>
    </w:p>
    <w:p>
      <w:pPr>
        <w:spacing w:after="0" w:line="4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i w:val="1"/>
          <w:iCs w:val="1"/>
          <w:color w:val="auto"/>
        </w:rPr>
        <w:t>Approximately 30%</w:t>
      </w:r>
    </w:p>
    <w:p>
      <w:pPr>
        <w:spacing w:after="0" w:line="1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Unaudited Cash, Cash Equivalents and Marketable Securities Totaling Approximately $330 million as of January 5, 2024, Combined with</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Cost Savings from Restructured Operations, Results in Cash Runway into 2027</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Company to Present at the 42</w:t>
      </w:r>
      <w:r>
        <w:rPr>
          <w:rFonts w:ascii="Times New Roman" w:cs="Times New Roman" w:eastAsia="Times New Roman" w:hAnsi="Times New Roman"/>
          <w:sz w:val="25"/>
          <w:szCs w:val="25"/>
          <w:i w:val="1"/>
          <w:iCs w:val="1"/>
          <w:color w:val="auto"/>
          <w:vertAlign w:val="superscript"/>
        </w:rPr>
        <w:t>nd</w:t>
      </w:r>
      <w:r>
        <w:rPr>
          <w:rFonts w:ascii="Times New Roman" w:cs="Times New Roman" w:eastAsia="Times New Roman" w:hAnsi="Times New Roman"/>
          <w:sz w:val="20"/>
          <w:szCs w:val="20"/>
          <w:i w:val="1"/>
          <w:iCs w:val="1"/>
          <w:color w:val="auto"/>
        </w:rPr>
        <w:t xml:space="preserve"> Annual J.P. Morgan Healthcare Conference on January 11</w:t>
      </w:r>
    </w:p>
    <w:p>
      <w:pPr>
        <w:spacing w:after="0" w:line="5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WATERTOWN, Mass., January 9, 2024 (GLOBE NEWSWIRE) -- C4 Therapeutics, Inc. (C4T) (Nasdaq: CCCC), a clinical-stage biopharmaceutical company dedicated to advancing targeted protein degradation science, today announced 2024 priorities to execute against its strategic plan to leverage the benefits of targeted protein degradation across drug discovery and clinical development to create and deliver breakthrough therapies for patients. These priorities capitalize upon recent clinical data and key decisions, resulting in a sharpened focus on executing high-potential programs to ensure achievement of near-term milestones that position C4T for future success.</w:t>
      </w:r>
    </w:p>
    <w:p>
      <w:pPr>
        <w:spacing w:after="0" w:line="6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Key 2024 priorities include advancing the CFT7455 and CFT1946 clinical programs to value-inflection milestones, supporting CFT8919 Phase 1 development in China by partner Betta Pharmaceuticals, delivering on three discovery collaborations and progressing a streamlined internal discovery effort. As a result of this prioritized portfolio, C4T is restructuring its operations and reducing its workforce by approximately 30%.</w:t>
      </w:r>
    </w:p>
    <w:p>
      <w:pPr>
        <w:spacing w:after="0" w:line="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C4T has strengthened its balance sheet to ensure sufficient runway to execute through and beyond critical value-inflecting clinical and discovery milestones. C4T has recently received additional capital of approximately $107 million comprised of the previously announced $25 million equity investment from a subsidiary of Betta Pharmaceuticals, the $10 million upfront payment from collaborator Merck for the Degrader-Antibody Conjugate (DAC) collaboration and approximately $72 million in net proceeds generated by leveraging the company’s at-the-market (or ATM) facility. During the fourth quarter of 2023, C4T sold approximately 13.7 million shares under the ATM, at an average price of $5.42 per share, resulting in $72 million of new equity capital, net of commissions and fees.</w:t>
      </w:r>
    </w:p>
    <w:p>
      <w:pPr>
        <w:spacing w:after="0" w:line="7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“Building on recent momentum, we are well positioned to make meaningful advances across our portfolio in 2024. Data from the CFT7455 Phase 1 trial highlighted that the schedule adjustment is yielding expected results, including IMWG responses, and we remain focused on advancing the program to unlock its potential. In addition, we are encouraged by the early pharmacokinetic and pharmacodynamic data from the CFT1946 Phase 1 dose escalation, which confirms oral bioavailability and dose proportional exposure increases, which are associated with deep BRAF degradation,” said Andrew Hirsch, president and chief executive officer of C4 Therapeutics. “Our sharpened focus on progressing CFT7455 and CFT1946 to critical clinical milestones, along with advancing targeted protein degradation research through our discovery collaborations with Roche, Biogen and Merck and our internal research efforts, will help C4T deliver breakthrough therapies for patients with cancer and other diseases. Our</w:t>
      </w:r>
    </w:p>
    <w:p>
      <w:pPr>
        <w:sectPr>
          <w:pgSz w:w="11900" w:h="16838" w:orient="portrait"/>
          <w:cols w:equalWidth="0" w:num="1">
            <w:col w:w="11220"/>
          </w:cols>
          <w:pgMar w:left="320" w:top="1440" w:right="359" w:bottom="1440" w:gutter="0" w:footer="0" w:header="0"/>
        </w:sectPr>
      </w:pPr>
    </w:p>
    <w:bookmarkStart w:id="5" w:name="page6"/>
    <w:bookmarkEnd w:id="5"/>
    <w:p>
      <w:pPr>
        <w:spacing w:after="0" w:line="81"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20"/>
          <w:szCs w:val="20"/>
          <w:color w:val="auto"/>
        </w:rPr>
        <w:t>strengthened balance sheet, coupled with cost savings from our restructuring, provide sufficient runway to execute through and beyond critical milestones across the portfolio.”</w:t>
      </w:r>
    </w:p>
    <w:p>
      <w:pPr>
        <w:spacing w:after="0" w:line="3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auto"/>
        </w:rPr>
        <w:t>Mr. Hirsch continued, “While we believe we are making mission-driven decisions to prioritize our portfolio, restructuring our company and impacting talented colleagues was not a decision we made lightly. We are grateful for their contributions to C4T and are treating our departing colleagues with compassion and support.”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 xml:space="preserve">2024 </w:t>
      </w:r>
      <w:r>
        <w:rPr>
          <w:rFonts w:ascii="Times New Roman" w:cs="Times New Roman" w:eastAsia="Times New Roman" w:hAnsi="Times New Roman"/>
          <w:sz w:val="20"/>
          <w:szCs w:val="20"/>
          <w:b w:val="1"/>
          <w:bCs w:val="1"/>
          <w:u w:val="single" w:color="auto"/>
          <w:color w:val="auto"/>
          <w:highlight w:val="white"/>
        </w:rPr>
        <w:t>ANTICIPATED MILESTONES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announced the following key milestones for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CFT7455</w:t>
      </w:r>
    </w:p>
    <w:p>
      <w:pPr>
        <w:spacing w:after="0" w:line="125"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Present updated data from the ongoing Phase 1 dose escalation trial in relapsed/refractory multiple myeloma (R/R MM) in 2H 2024</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Present data from the ongoing Phase 1 dose escalation trial in relapsed/refractory non-Hodgkin’s lymphomas (R/R NHL) in 2H 2024</w:t>
      </w:r>
    </w:p>
    <w:p>
      <w:pPr>
        <w:spacing w:after="0" w:line="132"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Phase 1 dose exploration in R/R MM and NHL by year-end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CFT1946</w:t>
      </w:r>
    </w:p>
    <w:p>
      <w:pPr>
        <w:spacing w:after="0" w:line="112" w:lineRule="exact"/>
        <w:rPr>
          <w:sz w:val="20"/>
          <w:szCs w:val="20"/>
          <w:color w:val="auto"/>
        </w:rPr>
      </w:pPr>
    </w:p>
    <w:p>
      <w:pPr>
        <w:ind w:left="660" w:right="280" w:hanging="328"/>
        <w:spacing w:after="0" w:line="283"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Present preclinical data demonstrating differentiated activity in preclinical models of BRAF V600X melanoma, colorectal cancer, non-small cell lung cancer and brain metastasis in 1H 2024</w:t>
      </w:r>
    </w:p>
    <w:p>
      <w:pPr>
        <w:spacing w:after="0" w:line="38" w:lineRule="exact"/>
        <w:rPr>
          <w:rFonts w:ascii="Times New Roman" w:cs="Times New Roman" w:eastAsia="Times New Roman" w:hAnsi="Times New Roman"/>
          <w:sz w:val="20"/>
          <w:szCs w:val="20"/>
          <w:color w:val="auto"/>
        </w:rPr>
      </w:pPr>
    </w:p>
    <w:p>
      <w:pPr>
        <w:ind w:left="660" w:right="380" w:hanging="328"/>
        <w:spacing w:after="0" w:line="283"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Present data from the ongoing Phase 1 dose escalation trial in melanoma, colorectal cancer, non-small cell lung cancer and other cancers with BRAF V600X mutations in 2H 2024</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CFT8919</w:t>
      </w:r>
    </w:p>
    <w:p>
      <w:pPr>
        <w:spacing w:after="0" w:line="112" w:lineRule="exact"/>
        <w:rPr>
          <w:sz w:val="20"/>
          <w:szCs w:val="20"/>
          <w:color w:val="auto"/>
        </w:rPr>
      </w:pPr>
    </w:p>
    <w:p>
      <w:pPr>
        <w:ind w:left="660" w:right="220" w:hanging="328"/>
        <w:spacing w:after="0" w:line="283"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 study start-up activities related to the Phase 1 dose escalation trial in EGFR L858R mutated non-small cell lung cancer by partner Betta Pharmaceuticals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RECENT ACHIEVEMENTS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CFT7455</w:t>
      </w:r>
    </w:p>
    <w:p>
      <w:pPr>
        <w:spacing w:after="0" w:line="112" w:lineRule="exact"/>
        <w:rPr>
          <w:sz w:val="20"/>
          <w:szCs w:val="20"/>
          <w:color w:val="auto"/>
        </w:rPr>
      </w:pPr>
    </w:p>
    <w:p>
      <w:pPr>
        <w:ind w:left="660" w:right="240" w:hanging="328"/>
        <w:spacing w:after="0" w:line="268"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December 2023, presented positive clinical data from the ongoing CFT7455 Phase 1/2 trial in R/R MM. The data demonstrated anti-myeloma activity, including International Myeloma Working Group (IMWG) responses in patients who have undergone numerous lines of prior therapy for multiple myeloma, including BCMA therapies.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CFT1946</w:t>
      </w:r>
    </w:p>
    <w:p>
      <w:pPr>
        <w:spacing w:after="0" w:line="125" w:lineRule="exact"/>
        <w:rPr>
          <w:sz w:val="20"/>
          <w:szCs w:val="20"/>
          <w:color w:val="auto"/>
        </w:rPr>
      </w:pPr>
    </w:p>
    <w:p>
      <w:pPr>
        <w:ind w:left="660" w:hanging="328"/>
        <w:spacing w:after="0" w:line="261"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Pharmacokinetic (PK) and pharmacodynamic (PD) data from the initial escalation cohorts of the ongoing CFT1946 Phase 1/2 trial in BRAF V600X mutant solid tumors demonstrate dose proportional exposure and oral bioavailability, which are associated with deep BRAF degradation.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Partnerships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Betta Pharmaceuticals</w:t>
      </w:r>
    </w:p>
    <w:p>
      <w:pPr>
        <w:spacing w:after="0" w:line="125" w:lineRule="exact"/>
        <w:rPr>
          <w:sz w:val="20"/>
          <w:szCs w:val="20"/>
          <w:color w:val="auto"/>
        </w:rPr>
      </w:pPr>
    </w:p>
    <w:p>
      <w:pPr>
        <w:ind w:left="660" w:right="700" w:hanging="328"/>
        <w:spacing w:after="0" w:line="269"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January 2024, the previously announced $25 million stock purchase by a subsidiary of partner Betta Pharmaceuticals was completed.</w:t>
      </w:r>
    </w:p>
    <w:p>
      <w:pPr>
        <w:spacing w:after="0" w:line="64"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December 2023, partner Betta Pharmaceuticals received approval from the Chinese National Medical Products Administration for the Investigational New Drug application for CFT8919.</w:t>
      </w:r>
    </w:p>
    <w:p>
      <w:pPr>
        <w:sectPr>
          <w:pgSz w:w="11900" w:h="16838" w:orient="portrait"/>
          <w:cols w:equalWidth="0" w:num="1">
            <w:col w:w="11180"/>
          </w:cols>
          <w:pgMar w:left="320" w:top="1440" w:right="399" w:bottom="1440" w:gutter="0" w:footer="0" w:header="0"/>
        </w:sectPr>
      </w:pPr>
    </w:p>
    <w:bookmarkStart w:id="6" w:name="page7"/>
    <w:bookmarkEnd w:id="6"/>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Merck</w:t>
      </w:r>
    </w:p>
    <w:p>
      <w:pPr>
        <w:spacing w:after="0" w:line="125" w:lineRule="exact"/>
        <w:rPr>
          <w:sz w:val="20"/>
          <w:szCs w:val="20"/>
          <w:color w:val="auto"/>
        </w:rPr>
      </w:pPr>
    </w:p>
    <w:p>
      <w:pPr>
        <w:ind w:left="660" w:hanging="328"/>
        <w:spacing w:after="0" w:line="253"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December 2023, C4T and Merck entered into a license and research collaboration to discover and develop DACs. Under the terms of the agreement, C4T and Merck will collaborate to develop DACs directed to an initial undisclosed oncology target exclusive to the collaboration; in January 2024, C4T received the $10 million upfront payment for this initial target. C4T is eligible to receive milestone payments totaling approximately $600 million, as well as tiered royalties on future sales, for DACs directed to this initial target.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GUIDANCE</w:t>
      </w:r>
    </w:p>
    <w:p>
      <w:pPr>
        <w:spacing w:after="0" w:line="112"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20"/>
          <w:szCs w:val="20"/>
          <w:color w:val="auto"/>
        </w:rPr>
        <w:t>Unaudited cash, cash equivalents, and marketable securities as of January 5, 2024 were approximately $330 million. The company expects that its cash, cash equivalents and marketable securities as of January 5, 2024, together with anticipated cost savings from the restructuring, will enable the company to fund its operating plan into 2027.</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J.P. MORGAN PRESENTATION</w:t>
      </w:r>
    </w:p>
    <w:p>
      <w:pPr>
        <w:spacing w:after="0" w:line="114"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0"/>
          <w:szCs w:val="20"/>
          <w:color w:val="auto"/>
        </w:rPr>
        <w:t>C4T will present at the 42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Annual J.P. Morgan Healthcare Conference on Thursday, January 11, 2024 at 9:00 am PST (12:00 pm EST). A live webcast will be available under “Events &amp; Presentations” in the Investors section of the company’s website at </w:t>
      </w:r>
      <w:r>
        <w:rPr>
          <w:rFonts w:ascii="Times New Roman" w:cs="Times New Roman" w:eastAsia="Times New Roman" w:hAnsi="Times New Roman"/>
          <w:sz w:val="20"/>
          <w:szCs w:val="20"/>
          <w:u w:val="single" w:color="auto"/>
          <w:color w:val="0563C1"/>
        </w:rPr>
        <w:t>www.c4therapeutics.com</w:t>
      </w:r>
      <w:r>
        <w:rPr>
          <w:rFonts w:ascii="Times New Roman" w:cs="Times New Roman" w:eastAsia="Times New Roman" w:hAnsi="Times New Roman"/>
          <w:sz w:val="20"/>
          <w:szCs w:val="20"/>
          <w:color w:val="auto"/>
        </w:rPr>
        <w:t>. A replay of the webcast will be archived on the C4T website for at least two weeks following the presentation.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C4 Therapeutics</w:t>
      </w:r>
    </w:p>
    <w:p>
      <w:pPr>
        <w:spacing w:after="0" w:line="3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0"/>
          <w:szCs w:val="20"/>
          <w:color w:val="auto"/>
        </w:rPr>
        <w:t>C4 Therapeutics (C4T) (Nasdaq: CCCC) is a clinical-stage biopharmaceutical company dedicated to delivering on the promise of targeted protein degradation science to create a new generation of medicines that transforms patients’ lives. C4T is progressing targeted oncology programs through clinical studies and leveraging its TORPEDO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platform to efficiently design and optimize small-molecule medicines to address difficult-to-treat diseases. C4T’s degrader medicines are designed to harness the body’s natural protein recycling system to rapidly degrade disease-causing proteins, offering the potential to overcome drug resistance, drug undruggable targets and improve patient outcomes. For more information, please visit </w:t>
      </w:r>
      <w:r>
        <w:rPr>
          <w:rFonts w:ascii="Times New Roman" w:cs="Times New Roman" w:eastAsia="Times New Roman" w:hAnsi="Times New Roman"/>
          <w:sz w:val="20"/>
          <w:szCs w:val="20"/>
          <w:u w:val="single" w:color="auto"/>
          <w:color w:val="0563C1"/>
        </w:rPr>
        <w:t>www.c4therapeutics.com</w:t>
      </w:r>
      <w:r>
        <w:rPr>
          <w:rFonts w:ascii="Times New Roman" w:cs="Times New Roman" w:eastAsia="Times New Roman" w:hAnsi="Times New Roman"/>
          <w:sz w:val="20"/>
          <w:szCs w:val="20"/>
          <w:color w:val="auto"/>
        </w:rPr>
        <w: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CFT7455</w:t>
      </w:r>
    </w:p>
    <w:p>
      <w:pPr>
        <w:spacing w:after="0" w:line="32"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CFT7455 is an orally bioavailable MonoDAC™ degrader designed to be highly potent and selective against its intended targets of Ikaros (IKZF1) and Aiolos (IKZF3) and overcome shortcomings of currently approved therapies to treat multiple myeloma (MM) and non-Hodgkin’s lymphoma (NHL). CFT7455 is currently in a Phase 1 dose escalation study in MM and NHL. Initial clinical data show CFT7455 is well tolerated, demonstrates anti-myeloma activity and displays evidence of immunomodulatory effects. More information about this trial may be accessed at www.clinicaltrials.gov (identifier: NCT04756726).</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CFT1946</w:t>
      </w:r>
    </w:p>
    <w:p>
      <w:pPr>
        <w:spacing w:after="0" w:line="3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color w:val="auto"/>
        </w:rPr>
        <w:t xml:space="preserve">CFT1946 is an orally bioavailable BiDAC™ degrader designed to be potent and selective against BRAF V600X mutant targets. In preclinical studies, CFT1946 is active </w:t>
      </w:r>
      <w:r>
        <w:rPr>
          <w:rFonts w:ascii="Times New Roman" w:cs="Times New Roman" w:eastAsia="Times New Roman" w:hAnsi="Times New Roman"/>
          <w:sz w:val="19"/>
          <w:szCs w:val="19"/>
          <w:i w:val="1"/>
          <w:iCs w:val="1"/>
          <w:color w:val="auto"/>
        </w:rPr>
        <w:t>in vivo</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in vitro</w:t>
      </w:r>
      <w:r>
        <w:rPr>
          <w:rFonts w:ascii="Times New Roman" w:cs="Times New Roman" w:eastAsia="Times New Roman" w:hAnsi="Times New Roman"/>
          <w:sz w:val="19"/>
          <w:szCs w:val="19"/>
          <w:color w:val="auto"/>
        </w:rPr>
        <w:t xml:space="preserve"> in models with BRAF V600E-driven disease and in models resistant to BRAF inhibitors. CFT1946 is currently in a Phase 1 dose escalation study in BRAF V600 mutant solid tumors including non-small cell lung cancer, colorectal cancer, and melanoma. More information about this trial may be accessed at www.clinicaltrials.gov (identifier: NCT05668585).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CFT8919</w:t>
      </w:r>
    </w:p>
    <w:p>
      <w:pPr>
        <w:spacing w:after="0" w:line="32" w:lineRule="exact"/>
        <w:rPr>
          <w:sz w:val="20"/>
          <w:szCs w:val="20"/>
          <w:color w:val="auto"/>
        </w:rPr>
      </w:pPr>
    </w:p>
    <w:p>
      <w:pPr>
        <w:ind w:right="460"/>
        <w:spacing w:after="0" w:line="253" w:lineRule="auto"/>
        <w:rPr>
          <w:sz w:val="20"/>
          <w:szCs w:val="20"/>
          <w:color w:val="auto"/>
        </w:rPr>
      </w:pPr>
      <w:r>
        <w:rPr>
          <w:rFonts w:ascii="Times New Roman" w:cs="Times New Roman" w:eastAsia="Times New Roman" w:hAnsi="Times New Roman"/>
          <w:sz w:val="20"/>
          <w:szCs w:val="20"/>
          <w:color w:val="auto"/>
        </w:rPr>
        <w:t xml:space="preserve">CFT8919 is an orally bioavailable allosteric BiDAC™ degrader that is designed to be potent and selective against EGFR bearing an oncogenic L858R mutation. In preclinical studies, CFT8919 is active in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in vivo</w:t>
      </w:r>
      <w:r>
        <w:rPr>
          <w:rFonts w:ascii="Times New Roman" w:cs="Times New Roman" w:eastAsia="Times New Roman" w:hAnsi="Times New Roman"/>
          <w:sz w:val="20"/>
          <w:szCs w:val="20"/>
          <w:color w:val="auto"/>
        </w:rPr>
        <w:t xml:space="preserve"> models of L858R driven non-small cell lung cancer. Importantly, in preclinical studies,</w:t>
      </w:r>
    </w:p>
    <w:p>
      <w:pPr>
        <w:sectPr>
          <w:pgSz w:w="11900" w:h="16838" w:orient="portrait"/>
          <w:cols w:equalWidth="0" w:num="1">
            <w:col w:w="11240"/>
          </w:cols>
          <w:pgMar w:left="320" w:top="1440" w:right="339" w:bottom="1440" w:gutter="0" w:footer="0" w:header="0"/>
        </w:sectPr>
      </w:pPr>
    </w:p>
    <w:bookmarkStart w:id="7" w:name="page8"/>
    <w:bookmarkEnd w:id="7"/>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CFT8919 retains full activity against additional EGFR mutations that confer resistance against approved EGFR inhibitors including L858R-C797S, L858R-T790M, and L858R-T790M-C797S. In 2023, C4T and Betta Pharmaceuticals entered into an exclusive licensing and collaboration agreement for the development and commercialization of CFT8919 in Greater China, including Hong Kong SAR, Macau SAR and Taiwan.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3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This press release contains “forward-looking statements” of C4 Therapeutics, Inc. within the meaning of the Private Securities Litigation Reform Act of 1995. These forward-looking statements may include, but may not be limited to, express or implied statements regarding our ability to develop potential therapies for patients; the design and potential efficacy of our therapeutic approaches; the predictive capability of our TORPEDO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platform in the development of novel, selective, orally bioavailable BiDAC™ and MonoDAC™ degraders; the potential timing, design and advancement of our preclinical studies and clinical trials, including the potential timing for and receipt of regulatory authorization related to clinical trials and other clinical development activities including clinical trial commencement; our ability and the potential to successfully manufacture and supply our product candidates for clinical trials; our ability to replicate results achieved in our preclinical studies or clinical trials in any future studies or trials; our ability to replicate interim or early-stage results from our clinical trials in the results obtained when those clinical trials are completed or when those therapies complete later stage clinical trials; regulatory developments in the United States and foreign countries; the potential timing for updates on our clinical and research programs; and our ability to fund our future operations. Any forward-looking statements in this press release are based on management’s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uncertainties related to the initiation, timing, advancement and conduct of preclinical and clinical studies and other development requirements for our product candidates; the risk that any one or more of our product candidates will cost more to develop or may not be successfully developed and commercialized; and the risk that the results of preclinical studies and/or clinical trials will or will not be predictive of results in connection with future studies or trials. For a discussion of these and other risks and uncertainties, and other important factors, any of which could cause our actual results to differ from those contained in the forward-looking statements, see the section entitled “Risk Factors” in C4 Therapeutics’ most recent Annual Report on Form 10-K and/or Quarterly Report on Form 10-Q, as filed with the Securities and Exchange Commission. All information in this press release is as of the date of the release and C4 Therapeutics undertakes no duty to update this information unless required by law.</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Courtney Solberg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Manager, 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CSolberg@c4therapeutics.com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Loraine Spreen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Director, Corporate Communications &amp; Patient Advocacy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LSpreen@c4therapeutics.com</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2024-01-09T15:17:02Z</dcterms:created>
  <dcterms:modified xsi:type="dcterms:W3CDTF">2024-01-09T15:17:02Z</dcterms:modified>
</cp:coreProperties>
</file>